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    </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FORM 10-Q</w:t>
      </w:r>
    </w:p>
    <w:p>
      <w:pPr>
        <w:pStyle w:val="TextBody"/>
        <w:bidi w:val="0"/>
        <w:spacing w:lineRule="auto" w:line="288" w:before="120" w:after="283"/>
        <w:jc w:val="left"/>
        <w:rPr>
          <w:rFonts w:ascii="Times New Roman;serif" w:hAnsi="Times New Roman;serif"/>
          <w:b/>
          <w:color w:val="000000"/>
          <w:sz w:val="18"/>
        </w:rPr>
      </w:pPr>
      <w:r>
        <w:rPr>
          <w:rFonts w:ascii="Times New Roman;serif" w:hAnsi="Times New Roman;serif"/>
          <w:b/>
          <w:color w:val="000000"/>
          <w:sz w:val="18"/>
        </w:rPr>
        <w:t>(Mark One)</w:t>
      </w:r>
    </w:p>
    <w:p>
      <w:pPr>
        <w:pStyle w:val="TextBody"/>
        <w:bidi w:val="0"/>
        <w:spacing w:lineRule="auto" w:line="288" w:before="0" w:after="0"/>
        <w:ind w:left="0" w:right="0" w:hanging="720"/>
        <w:jc w:val="left"/>
        <w:rPr/>
      </w:pPr>
      <w:r>
        <w:rPr>
          <w:rFonts w:ascii="Wingdings;sans-serif" w:hAnsi="Wingdings;sans-serif"/>
          <w:b/>
          <w:color w:val="000000"/>
          <w:sz w:val="16"/>
        </w:rPr>
        <w:t>x</w:t>
      </w:r>
      <w:r>
        <w:rPr>
          <w:color w:val="000000"/>
        </w:rPr>
        <w:t>    </w:t>
      </w:r>
      <w:r>
        <w:rPr>
          <w:rFonts w:ascii="Times New Roman;serif" w:hAnsi="Times New Roman;serif"/>
          <w:b/>
          <w:color w:val="000000"/>
          <w:sz w:val="18"/>
        </w:rPr>
        <w:t>QUARTERLY REPORT PURSUANT TO SECTION 13 OR 15(d) OF THE SECURITIES EXCHANGE ACT OF 1934</w:t>
      </w:r>
    </w:p>
    <w:p>
      <w:pPr>
        <w:pStyle w:val="TextBody"/>
        <w:bidi w:val="0"/>
        <w:spacing w:lineRule="auto" w:line="288" w:before="0" w:after="0"/>
        <w:ind w:left="0" w:right="0" w:firstLine="720"/>
        <w:jc w:val="left"/>
        <w:rPr>
          <w:rFonts w:ascii="Times New Roman;serif" w:hAnsi="Times New Roman;serif"/>
          <w:b/>
          <w:color w:val="000000"/>
          <w:sz w:val="18"/>
        </w:rPr>
      </w:pPr>
      <w:r>
        <w:rPr>
          <w:rFonts w:ascii="Times New Roman;serif" w:hAnsi="Times New Roman;serif"/>
          <w:b/>
          <w:color w:val="000000"/>
          <w:sz w:val="18"/>
        </w:rPr>
        <w:t>For the quarterly period ended March 31, 2026</w:t>
      </w:r>
    </w:p>
    <w:p>
      <w:pPr>
        <w:pStyle w:val="TextBody"/>
        <w:bidi w:val="0"/>
        <w:spacing w:lineRule="auto" w:line="288" w:before="60" w:after="283"/>
        <w:jc w:val="center"/>
        <w:rPr>
          <w:rFonts w:ascii="Times New Roman;serif" w:hAnsi="Times New Roman;serif"/>
          <w:b/>
          <w:color w:val="000000"/>
          <w:sz w:val="17"/>
        </w:rPr>
      </w:pPr>
      <w:r>
        <w:rPr>
          <w:rFonts w:ascii="Times New Roman;serif" w:hAnsi="Times New Roman;serif"/>
          <w:b/>
          <w:color w:val="000000"/>
          <w:sz w:val="17"/>
        </w:rPr>
        <w:t>or</w:t>
      </w:r>
    </w:p>
    <w:p>
      <w:pPr>
        <w:pStyle w:val="TextBody"/>
        <w:bidi w:val="0"/>
        <w:spacing w:lineRule="auto" w:line="288" w:before="60" w:after="283"/>
        <w:ind w:left="0" w:right="0" w:hanging="720"/>
        <w:jc w:val="left"/>
        <w:rPr/>
      </w:pPr>
      <w:r>
        <w:rPr>
          <w:rFonts w:ascii="Wingdings;sans-serif" w:hAnsi="Wingdings;sans-serif"/>
          <w:b/>
          <w:color w:val="000000"/>
          <w:sz w:val="16"/>
        </w:rPr>
        <w:t>o</w:t>
      </w:r>
      <w:r>
        <w:rPr>
          <w:color w:val="000000"/>
        </w:rPr>
        <w:t>    </w:t>
      </w:r>
      <w:r>
        <w:rPr>
          <w:rFonts w:ascii="Times New Roman;serif" w:hAnsi="Times New Roman;serif"/>
          <w:b/>
          <w:color w:val="000000"/>
          <w:sz w:val="18"/>
        </w:rPr>
        <w:t>TRANSITION REPORT 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Commission file number 001-15749</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_______________________________________</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BREAD FINANCIAL HOLDINGS,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before="120" w:after="283"/>
        <w:jc w:val="center"/>
        <w:rPr/>
      </w:pPr>
      <w:r>
        <w:rPr/>
        <w:drawing>
          <wp:inline distT="0" distB="0" distL="0" distR="0">
            <wp:extent cx="3810000"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0000" cy="533400"/>
                    </a:xfrm>
                    <a:prstGeom prst="rect">
                      <a:avLst/>
                    </a:prstGeom>
                  </pic:spPr>
                </pic:pic>
              </a:graphicData>
            </a:graphic>
          </wp:inline>
        </w:drawing>
      </w:r>
      <w:bookmarkStart w:id="0" w:name="i-1"/>
      <w:bookmarkEnd w:id="0"/>
    </w:p>
    <w:tbl>
      <w:tblPr>
        <w:tblW w:w="4635" w:type="dxa"/>
        <w:jc w:val="left"/>
        <w:tblInd w:w="0" w:type="dxa"/>
        <w:tblLayout w:type="fixed"/>
        <w:tblCellMar>
          <w:top w:w="28" w:type="dxa"/>
          <w:left w:w="28" w:type="dxa"/>
          <w:bottom w:w="28" w:type="dxa"/>
          <w:right w:w="28" w:type="dxa"/>
        </w:tblCellMar>
      </w:tblPr>
      <w:tblGrid>
        <w:gridCol w:w="1110"/>
        <w:gridCol w:w="980"/>
        <w:gridCol w:w="985"/>
        <w:gridCol w:w="455"/>
        <w:gridCol w:w="455"/>
        <w:gridCol w:w="650"/>
      </w:tblGrid>
      <w:tr>
        <w:trPr/>
        <w:tc>
          <w:tcPr>
            <w:tcW w:w="111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31-1429215</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(State or other jurisdiction of</w:t>
              <w:br/>
              <w:t>incorporation or organization)</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(I.R.S. Employer</w:t>
              <w:br/>
              <w:t>Identification No.)</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3095 Loyalty Circle</w:t>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Columbus, Ohio</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43219</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(Zip Code)</w:t>
            </w:r>
          </w:p>
        </w:tc>
      </w:tr>
    </w:tbl>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(614) 729-4000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374"/>
        <w:gridCol w:w="1889"/>
        <w:gridCol w:w="1915"/>
        <w:gridCol w:w="109"/>
        <w:gridCol w:w="109"/>
        <w:gridCol w:w="109"/>
        <w:gridCol w:w="337"/>
        <w:gridCol w:w="337"/>
        <w:gridCol w:w="339"/>
        <w:gridCol w:w="109"/>
        <w:gridCol w:w="109"/>
        <w:gridCol w:w="109"/>
        <w:gridCol w:w="690"/>
        <w:gridCol w:w="690"/>
        <w:gridCol w:w="980"/>
      </w:tblGrid>
      <w:tr>
        <w:trPr/>
        <w:tc>
          <w:tcPr>
            <w:tcW w:w="2374"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r>
      <w:tr>
        <w:trPr/>
        <w:tc>
          <w:tcPr>
            <w:tcW w:w="6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6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BFH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NYSE</w:t>
            </w:r>
          </w:p>
        </w:tc>
      </w:tr>
      <w:tr>
        <w:trPr/>
        <w:tc>
          <w:tcPr>
            <w:tcW w:w="617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Depositary Shares, Each Representing a 1/40th Interest in a Share of 8.625% Non-Cumulative Perpetual Preferred Stock, Series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BFH PrA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NYSE</w:t>
            </w:r>
          </w:p>
        </w:tc>
      </w:tr>
    </w:tbl>
    <w:p>
      <w:pPr>
        <w:pStyle w:val="TextBody"/>
        <w:bidi w:val="0"/>
        <w:spacing w:lineRule="auto" w:line="288" w:before="120" w:after="283"/>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serif" w:hAnsi="Times New Roman;serif"/>
          <w:b w:val="false"/>
          <w:color w:val="000000"/>
          <w:sz w:val="16"/>
        </w:rPr>
        <w:t xml:space="preserve">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283"/>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serif" w:hAnsi="Times New Roman;serif"/>
          <w:b w:val="false"/>
          <w:color w:val="000000"/>
          <w:sz w:val="16"/>
        </w:rPr>
        <w:t xml:space="preserve">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lineRule="auto" w:line="288" w:before="120" w:after="283"/>
        <w:jc w:val="left"/>
        <w:rPr/>
      </w:pPr>
      <w:r>
        <w:rPr>
          <w:rFonts w:ascii="Times New Roman;serif" w:hAnsi="Times New Roman;serif"/>
          <w:b w:val="false"/>
          <w:color w:val="000000"/>
          <w:sz w:val="18"/>
        </w:rPr>
        <w:t xml:space="preserve">Large accelerated filer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8"/>
        </w:rPr>
        <w:t xml:space="preserve">Accelerated filer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8"/>
        </w:rPr>
        <w:t xml:space="preserve">Non-accelerated filer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8"/>
        </w:rPr>
        <w:t xml:space="preserve">Smaller reporting company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8"/>
        </w:rPr>
        <w:t xml:space="preserve">Emerging growth company </w:t>
      </w:r>
      <w:r>
        <w:rPr>
          <w:rFonts w:ascii="Wingdings;sans-serif" w:hAnsi="Wingdings;sans-serif"/>
          <w:b w:val="false"/>
          <w:color w:val="000000"/>
          <w:sz w:val="16"/>
        </w:rPr>
        <w:t>o</w:t>
      </w:r>
    </w:p>
    <w:p>
      <w:pPr>
        <w:pStyle w:val="TextBody"/>
        <w:bidi w:val="0"/>
        <w:spacing w:lineRule="auto" w:line="288" w:before="120" w:after="283"/>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120" w:after="283"/>
        <w:jc w:val="left"/>
        <w:rPr/>
      </w:pPr>
      <w:r>
        <w:rPr>
          <w:rFonts w:ascii="Times New Roman;serif" w:hAnsi="Times New Roman;serif"/>
          <w:b w:val="false"/>
          <w:color w:val="000000"/>
          <w:sz w:val="18"/>
        </w:rPr>
        <w:t xml:space="preserve">Indicate by check mark whether the registrant is a shell company (as defined in Rule 12b-2 of the Act). </w:t>
      </w:r>
      <w:r>
        <w:rPr>
          <w:rFonts w:ascii="Times New Roman;serif" w:hAnsi="Times New Roman;serif"/>
          <w:b w:val="false"/>
          <w:color w:val="000000"/>
          <w:sz w:val="16"/>
        </w:rPr>
        <w:t xml:space="preserve">Yes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As of April 22, 2026, 40,407,065 shares of common stock were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480060"/>
                <wp:effectExtent l="0" t="0" r="0" b="0"/>
                <wp:wrapNone/>
                <wp:docPr id="2" name="Frame1"/>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before="480" w:after="547"/>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480" w:after="547"/>
                        <w:jc w:val="center"/>
                        <w:rPr/>
                      </w:pPr>
                      <w:r>
                        <w:rPr/>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left"/>
        <w:tblInd w:w="0" w:type="dxa"/>
        <w:tblLayout w:type="fixed"/>
        <w:tblCellMar>
          <w:top w:w="28" w:type="dxa"/>
          <w:left w:w="28" w:type="dxa"/>
          <w:bottom w:w="28" w:type="dxa"/>
          <w:right w:w="28" w:type="dxa"/>
        </w:tblCellMar>
      </w:tblPr>
      <w:tblGrid>
        <w:gridCol w:w="284"/>
        <w:gridCol w:w="250"/>
        <w:gridCol w:w="251"/>
        <w:gridCol w:w="2713"/>
        <w:gridCol w:w="2713"/>
        <w:gridCol w:w="2719"/>
        <w:gridCol w:w="372"/>
        <w:gridCol w:w="372"/>
        <w:gridCol w:w="531"/>
      </w:tblGrid>
      <w:tr>
        <w:trPr/>
        <w:tc>
          <w:tcPr>
            <w:tcW w:w="28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 Number</w:t>
            </w:r>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042b5414b6429fab769eb95422460a_10">
              <w:r>
                <w:rPr>
                  <w:rStyle w:val="InternetLink"/>
                  <w:rFonts w:ascii="Times New Roman;serif" w:hAnsi="Times New Roman;serif"/>
                  <w:b/>
                  <w:color w:val="0000FF"/>
                  <w:sz w:val="20"/>
                  <w:u w:val="single"/>
                </w:rPr>
                <w:t>Part I: FINANCIAL INFORMATION</w:t>
              </w:r>
            </w:hyperlink>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13">
              <w:r>
                <w:rPr>
                  <w:rStyle w:val="InternetLink"/>
                  <w:rFonts w:ascii="Times New Roman;serif" w:hAnsi="Times New Roman;serif"/>
                  <w:b w:val="false"/>
                  <w:color w:val="0000FF"/>
                  <w:sz w:val="20"/>
                  <w:u w:val="single"/>
                </w:rPr>
                <w:t>Item 1.</w:t>
              </w:r>
            </w:hyperlink>
          </w:p>
        </w:tc>
        <w:tc>
          <w:tcPr>
            <w:tcW w:w="8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13">
              <w:r>
                <w:rPr>
                  <w:rStyle w:val="InternetLink"/>
                  <w:rFonts w:ascii="Times New Roman;serif" w:hAnsi="Times New Roman;serif"/>
                  <w:b w:val="false"/>
                  <w:color w:val="0000FF"/>
                  <w:sz w:val="20"/>
                  <w:u w:val="single"/>
                </w:rPr>
                <w:t>Financial Statements (unaudited)</w:t>
              </w:r>
            </w:hyperlink>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16">
              <w:r>
                <w:rPr>
                  <w:rStyle w:val="InternetLink"/>
                  <w:rFonts w:ascii="Times New Roman;serif" w:hAnsi="Times New Roman;serif"/>
                  <w:b w:val="false"/>
                  <w:color w:val="0000FF"/>
                  <w:sz w:val="20"/>
                  <w:u w:val="single"/>
                </w:rPr>
                <w:t>Consolidated Statements of Income for the three months ended March 31, 2026 and 2025</w:t>
              </w:r>
            </w:hyperlink>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9042b5414b6429fab769eb95422460a_16">
              <w:r>
                <w:rPr>
                  <w:rStyle w:val="InternetLink"/>
                  <w:rFonts w:ascii="Times New Roman;serif" w:hAnsi="Times New Roman;serif"/>
                  <w:b w:val="false"/>
                  <w:strike w:val="false"/>
                  <w:dstrike w:val="false"/>
                  <w:color w:val="000000"/>
                  <w:sz w:val="20"/>
                  <w:u w:val="none"/>
                  <w:effect w:val="none"/>
                </w:rPr>
                <w:t>24</w:t>
              </w:r>
            </w:hyperlink>
          </w:p>
        </w:tc>
      </w:tr>
      <w:tr>
        <w:trPr/>
        <w:tc>
          <w:tcPr>
            <w:tcW w:w="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19">
              <w:r>
                <w:rPr>
                  <w:rStyle w:val="InternetLink"/>
                  <w:rFonts w:ascii="Times New Roman;serif" w:hAnsi="Times New Roman;serif"/>
                  <w:b w:val="false"/>
                  <w:color w:val="0000FF"/>
                  <w:sz w:val="20"/>
                  <w:u w:val="single"/>
                </w:rPr>
                <w:t>Consolidated Statements of Comprehensive Income for the three months ended March 31, 2026 and 2025</w:t>
              </w:r>
            </w:hyperlink>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9042b5414b6429fab769eb95422460a_19">
              <w:r>
                <w:rPr>
                  <w:rStyle w:val="InternetLink"/>
                  <w:rFonts w:ascii="Times New Roman;serif" w:hAnsi="Times New Roman;serif"/>
                  <w:b w:val="false"/>
                  <w:strike w:val="false"/>
                  <w:dstrike w:val="false"/>
                  <w:color w:val="000000"/>
                  <w:sz w:val="20"/>
                  <w:u w:val="none"/>
                  <w:effect w:val="none"/>
                </w:rPr>
                <w:t>25</w:t>
              </w:r>
            </w:hyperlink>
          </w:p>
        </w:tc>
      </w:tr>
      <w:tr>
        <w:trPr/>
        <w:tc>
          <w:tcPr>
            <w:tcW w:w="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22">
              <w:r>
                <w:rPr>
                  <w:rStyle w:val="InternetLink"/>
                  <w:rFonts w:ascii="Times New Roman;serif" w:hAnsi="Times New Roman;serif"/>
                  <w:b w:val="false"/>
                  <w:color w:val="0000FF"/>
                  <w:sz w:val="20"/>
                  <w:u w:val="single"/>
                </w:rPr>
                <w:t>Consolidated Balance Sheets as of March 31, 2026 and December 31, 2025</w:t>
              </w:r>
            </w:hyperlink>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9042b5414b6429fab769eb95422460a_22">
              <w:r>
                <w:rPr>
                  <w:rStyle w:val="InternetLink"/>
                  <w:rFonts w:ascii="Times New Roman;serif" w:hAnsi="Times New Roman;serif"/>
                  <w:b w:val="false"/>
                  <w:strike w:val="false"/>
                  <w:dstrike w:val="false"/>
                  <w:color w:val="000000"/>
                  <w:sz w:val="20"/>
                  <w:u w:val="none"/>
                  <w:effect w:val="none"/>
                </w:rPr>
                <w:t>26</w:t>
              </w:r>
            </w:hyperlink>
          </w:p>
        </w:tc>
      </w:tr>
      <w:tr>
        <w:trPr/>
        <w:tc>
          <w:tcPr>
            <w:tcW w:w="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25">
              <w:r>
                <w:rPr>
                  <w:rStyle w:val="InternetLink"/>
                  <w:rFonts w:ascii="Times New Roman;serif" w:hAnsi="Times New Roman;serif"/>
                  <w:b w:val="false"/>
                  <w:color w:val="0000FF"/>
                  <w:sz w:val="20"/>
                  <w:u w:val="single"/>
                </w:rPr>
                <w:t>Consolidated Statements of Stockholders’ Equity for the three months ended March 31, 2026 and 2025</w:t>
              </w:r>
            </w:hyperlink>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9042b5414b6429fab769eb95422460a_25">
              <w:r>
                <w:rPr>
                  <w:rStyle w:val="InternetLink"/>
                  <w:rFonts w:ascii="Times New Roman;serif" w:hAnsi="Times New Roman;serif"/>
                  <w:b w:val="false"/>
                  <w:strike w:val="false"/>
                  <w:dstrike w:val="false"/>
                  <w:color w:val="000000"/>
                  <w:sz w:val="20"/>
                  <w:u w:val="none"/>
                  <w:effect w:val="none"/>
                </w:rPr>
                <w:t>27</w:t>
              </w:r>
            </w:hyperlink>
          </w:p>
        </w:tc>
      </w:tr>
      <w:tr>
        <w:trPr/>
        <w:tc>
          <w:tcPr>
            <w:tcW w:w="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28">
              <w:r>
                <w:rPr>
                  <w:rStyle w:val="InternetLink"/>
                  <w:rFonts w:ascii="Times New Roman;serif" w:hAnsi="Times New Roman;serif"/>
                  <w:b w:val="false"/>
                  <w:color w:val="0000FF"/>
                  <w:sz w:val="20"/>
                  <w:u w:val="single"/>
                </w:rPr>
                <w:t>Consolidated Statements of Cash Flows for the three months ended March 31, 2026 and 2025</w:t>
              </w:r>
            </w:hyperlink>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9042b5414b6429fab769eb95422460a_28">
              <w:r>
                <w:rPr>
                  <w:rStyle w:val="InternetLink"/>
                  <w:rFonts w:ascii="Times New Roman;serif" w:hAnsi="Times New Roman;serif"/>
                  <w:b w:val="false"/>
                  <w:strike w:val="false"/>
                  <w:dstrike w:val="false"/>
                  <w:color w:val="000000"/>
                  <w:sz w:val="20"/>
                  <w:u w:val="none"/>
                  <w:effect w:val="none"/>
                </w:rPr>
                <w:t>28</w:t>
              </w:r>
            </w:hyperlink>
          </w:p>
        </w:tc>
      </w:tr>
      <w:tr>
        <w:trPr/>
        <w:tc>
          <w:tcPr>
            <w:tcW w:w="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31">
              <w:r>
                <w:rPr>
                  <w:rStyle w:val="InternetLink"/>
                  <w:rFonts w:ascii="Times New Roman;serif" w:hAnsi="Times New Roman;serif"/>
                  <w:b w:val="false"/>
                  <w:color w:val="000080"/>
                  <w:sz w:val="20"/>
                  <w:u w:val="single"/>
                </w:rPr>
                <w:t xml:space="preserve">Notes to </w:t>
              </w:r>
            </w:hyperlink>
            <w:hyperlink w:anchor="i99042b5414b6429fab769eb95422460a_31">
              <w:r>
                <w:rPr>
                  <w:rStyle w:val="InternetLink"/>
                  <w:rFonts w:ascii="Times New Roman;serif" w:hAnsi="Times New Roman;serif"/>
                  <w:b w:val="false"/>
                  <w:color w:val="000080"/>
                  <w:sz w:val="20"/>
                  <w:u w:val="single"/>
                </w:rPr>
                <w:t>Consolidated Financial Statements</w:t>
              </w:r>
            </w:hyperlink>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9042b5414b6429fab769eb95422460a_31">
              <w:r>
                <w:rPr>
                  <w:rStyle w:val="InternetLink"/>
                  <w:rFonts w:ascii="Times New Roman;serif" w:hAnsi="Times New Roman;serif"/>
                  <w:b w:val="false"/>
                  <w:strike w:val="false"/>
                  <w:dstrike w:val="false"/>
                  <w:color w:val="000000"/>
                  <w:sz w:val="20"/>
                  <w:u w:val="none"/>
                  <w:effect w:val="none"/>
                </w:rPr>
                <w:t>29</w:t>
              </w:r>
            </w:hyperlink>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82">
              <w:r>
                <w:rPr>
                  <w:rStyle w:val="InternetLink"/>
                  <w:rFonts w:ascii="Times New Roman;serif" w:hAnsi="Times New Roman;serif"/>
                  <w:b w:val="false"/>
                  <w:color w:val="0000FF"/>
                  <w:sz w:val="20"/>
                  <w:u w:val="single"/>
                </w:rPr>
                <w:t>Item 2.</w:t>
              </w:r>
            </w:hyperlink>
          </w:p>
        </w:tc>
        <w:tc>
          <w:tcPr>
            <w:tcW w:w="8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82">
              <w:r>
                <w:rPr>
                  <w:rStyle w:val="InternetLink"/>
                  <w:rFonts w:ascii="Times New Roman;serif" w:hAnsi="Times New Roman;serif"/>
                  <w:b w:val="false"/>
                  <w:color w:val="0000FF"/>
                  <w:sz w:val="20"/>
                  <w:u w:val="single"/>
                </w:rPr>
                <w:t>Management’s Discussion and Analysis of Financial Condition and Results of Operations (MD&amp;A)</w:t>
              </w:r>
            </w:hyperlink>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9042b5414b6429fab769eb95422460a_82">
              <w:r>
                <w:rPr>
                  <w:rStyle w:val="InternetLink"/>
                  <w:rFonts w:ascii="Times New Roman;serif" w:hAnsi="Times New Roman;serif"/>
                  <w:b w:val="false"/>
                  <w:strike w:val="false"/>
                  <w:dstrike w:val="false"/>
                  <w:color w:val="000000"/>
                  <w:sz w:val="20"/>
                  <w:u w:val="none"/>
                  <w:effect w:val="none"/>
                </w:rPr>
                <w:t>1</w:t>
              </w:r>
            </w:hyperlink>
          </w:p>
        </w:tc>
      </w:tr>
      <w:tr>
        <w:trPr/>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115">
              <w:r>
                <w:rPr>
                  <w:rStyle w:val="InternetLink"/>
                  <w:rFonts w:ascii="Times New Roman;serif" w:hAnsi="Times New Roman;serif"/>
                  <w:b w:val="false"/>
                  <w:color w:val="0000FF"/>
                  <w:sz w:val="20"/>
                  <w:u w:val="single"/>
                </w:rPr>
                <w:t>Item 3.</w:t>
              </w:r>
            </w:hyperlink>
          </w:p>
        </w:tc>
        <w:tc>
          <w:tcPr>
            <w:tcW w:w="8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115">
              <w:r>
                <w:rPr>
                  <w:rStyle w:val="InternetLink"/>
                  <w:rFonts w:ascii="Times New Roman;serif" w:hAnsi="Times New Roman;serif"/>
                  <w:b w:val="false"/>
                  <w:color w:val="0000FF"/>
                  <w:sz w:val="20"/>
                  <w:u w:val="single"/>
                </w:rPr>
                <w:t>Quantitative and Qualitative Disclosures About Market Risk</w:t>
              </w:r>
            </w:hyperlink>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9042b5414b6429fab769eb95422460a_115">
              <w:r>
                <w:rPr>
                  <w:rStyle w:val="InternetLink"/>
                  <w:rFonts w:ascii="Times New Roman;serif" w:hAnsi="Times New Roman;serif"/>
                  <w:b w:val="false"/>
                  <w:strike w:val="false"/>
                  <w:dstrike w:val="false"/>
                  <w:color w:val="000000"/>
                  <w:sz w:val="20"/>
                  <w:u w:val="none"/>
                  <w:effect w:val="none"/>
                </w:rPr>
                <w:t>51</w:t>
              </w:r>
            </w:hyperlink>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118">
              <w:r>
                <w:rPr>
                  <w:rStyle w:val="InternetLink"/>
                  <w:rFonts w:ascii="Times New Roman;serif" w:hAnsi="Times New Roman;serif"/>
                  <w:b w:val="false"/>
                  <w:color w:val="0000FF"/>
                  <w:sz w:val="20"/>
                  <w:u w:val="single"/>
                </w:rPr>
                <w:t>Item 4.</w:t>
              </w:r>
            </w:hyperlink>
          </w:p>
        </w:tc>
        <w:tc>
          <w:tcPr>
            <w:tcW w:w="8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118">
              <w:r>
                <w:rPr>
                  <w:rStyle w:val="InternetLink"/>
                  <w:rFonts w:ascii="Times New Roman;serif" w:hAnsi="Times New Roman;serif"/>
                  <w:b w:val="false"/>
                  <w:color w:val="0000FF"/>
                  <w:sz w:val="20"/>
                  <w:u w:val="single"/>
                </w:rPr>
                <w:t>Controls and Procedures</w:t>
              </w:r>
            </w:hyperlink>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9042b5414b6429fab769eb95422460a_118">
              <w:r>
                <w:rPr>
                  <w:rStyle w:val="InternetLink"/>
                  <w:rFonts w:ascii="Times New Roman;serif" w:hAnsi="Times New Roman;serif"/>
                  <w:b w:val="false"/>
                  <w:strike w:val="false"/>
                  <w:dstrike w:val="false"/>
                  <w:color w:val="000000"/>
                  <w:sz w:val="20"/>
                  <w:u w:val="none"/>
                  <w:effect w:val="none"/>
                </w:rPr>
                <w:t>51</w:t>
              </w:r>
            </w:hyperlink>
          </w:p>
        </w:tc>
      </w:tr>
      <w:tr>
        <w:trPr/>
        <w:tc>
          <w:tcPr>
            <w:tcW w:w="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9042b5414b6429fab769eb95422460a_121">
              <w:r>
                <w:rPr>
                  <w:rStyle w:val="InternetLink"/>
                  <w:rFonts w:ascii="Times New Roman;serif" w:hAnsi="Times New Roman;serif"/>
                  <w:b/>
                  <w:color w:val="0000FF"/>
                  <w:sz w:val="20"/>
                  <w:u w:val="single"/>
                </w:rPr>
                <w:t>Part II: OTHER INFORMATION</w:t>
              </w:r>
            </w:hyperlink>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124">
              <w:r>
                <w:rPr>
                  <w:rStyle w:val="InternetLink"/>
                  <w:rFonts w:ascii="Times New Roman;serif" w:hAnsi="Times New Roman;serif"/>
                  <w:b w:val="false"/>
                  <w:color w:val="0000FF"/>
                  <w:sz w:val="20"/>
                  <w:u w:val="single"/>
                </w:rPr>
                <w:t>Item 1.</w:t>
              </w:r>
            </w:hyperlink>
          </w:p>
        </w:tc>
        <w:tc>
          <w:tcPr>
            <w:tcW w:w="8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124">
              <w:r>
                <w:rPr>
                  <w:rStyle w:val="InternetLink"/>
                  <w:rFonts w:ascii="Times New Roman;serif" w:hAnsi="Times New Roman;serif"/>
                  <w:b w:val="false"/>
                  <w:color w:val="0000FF"/>
                  <w:sz w:val="20"/>
                  <w:u w:val="single"/>
                </w:rPr>
                <w:t>Legal Proceedings</w:t>
              </w:r>
            </w:hyperlink>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9042b5414b6429fab769eb95422460a_124">
              <w:r>
                <w:rPr>
                  <w:rStyle w:val="InternetLink"/>
                  <w:rFonts w:ascii="Times New Roman;serif" w:hAnsi="Times New Roman;serif"/>
                  <w:b w:val="false"/>
                  <w:strike w:val="false"/>
                  <w:dstrike w:val="false"/>
                  <w:color w:val="000000"/>
                  <w:sz w:val="20"/>
                  <w:u w:val="none"/>
                  <w:effect w:val="none"/>
                </w:rPr>
                <w:t>52</w:t>
              </w:r>
            </w:hyperlink>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127">
              <w:r>
                <w:rPr>
                  <w:rStyle w:val="InternetLink"/>
                  <w:rFonts w:ascii="Times New Roman;serif" w:hAnsi="Times New Roman;serif"/>
                  <w:b w:val="false"/>
                  <w:color w:val="0000FF"/>
                  <w:sz w:val="20"/>
                  <w:u w:val="single"/>
                </w:rPr>
                <w:t>Item 1A.</w:t>
              </w:r>
            </w:hyperlink>
          </w:p>
        </w:tc>
        <w:tc>
          <w:tcPr>
            <w:tcW w:w="8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127">
              <w:r>
                <w:rPr>
                  <w:rStyle w:val="InternetLink"/>
                  <w:rFonts w:ascii="Times New Roman;serif" w:hAnsi="Times New Roman;serif"/>
                  <w:b w:val="false"/>
                  <w:color w:val="0000FF"/>
                  <w:sz w:val="20"/>
                  <w:u w:val="single"/>
                </w:rPr>
                <w:t>Risk Factors</w:t>
              </w:r>
            </w:hyperlink>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9042b5414b6429fab769eb95422460a_127">
              <w:r>
                <w:rPr>
                  <w:rStyle w:val="InternetLink"/>
                  <w:rFonts w:ascii="Times New Roman;serif" w:hAnsi="Times New Roman;serif"/>
                  <w:b w:val="false"/>
                  <w:strike w:val="false"/>
                  <w:dstrike w:val="false"/>
                  <w:color w:val="000000"/>
                  <w:sz w:val="20"/>
                  <w:u w:val="none"/>
                  <w:effect w:val="none"/>
                </w:rPr>
                <w:t>52</w:t>
              </w:r>
            </w:hyperlink>
          </w:p>
        </w:tc>
      </w:tr>
      <w:tr>
        <w:trPr/>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130">
              <w:r>
                <w:rPr>
                  <w:rStyle w:val="InternetLink"/>
                  <w:rFonts w:ascii="Times New Roman;serif" w:hAnsi="Times New Roman;serif"/>
                  <w:b w:val="false"/>
                  <w:color w:val="0000FF"/>
                  <w:sz w:val="20"/>
                  <w:u w:val="single"/>
                </w:rPr>
                <w:t>Item 2.</w:t>
              </w:r>
            </w:hyperlink>
          </w:p>
        </w:tc>
        <w:tc>
          <w:tcPr>
            <w:tcW w:w="8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130">
              <w:r>
                <w:rPr>
                  <w:rStyle w:val="InternetLink"/>
                  <w:rFonts w:ascii="Times New Roman;serif" w:hAnsi="Times New Roman;serif"/>
                  <w:b w:val="false"/>
                  <w:color w:val="0000FF"/>
                  <w:sz w:val="20"/>
                  <w:u w:val="single"/>
                </w:rPr>
                <w:t>Unregistered Sales of Equity Securities and Use of Proceeds</w:t>
              </w:r>
            </w:hyperlink>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9042b5414b6429fab769eb95422460a_130">
              <w:r>
                <w:rPr>
                  <w:rStyle w:val="InternetLink"/>
                  <w:rFonts w:ascii="Times New Roman;serif" w:hAnsi="Times New Roman;serif"/>
                  <w:b w:val="false"/>
                  <w:strike w:val="false"/>
                  <w:dstrike w:val="false"/>
                  <w:color w:val="000000"/>
                  <w:sz w:val="20"/>
                  <w:u w:val="none"/>
                  <w:effect w:val="none"/>
                </w:rPr>
                <w:t>52</w:t>
              </w:r>
            </w:hyperlink>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133">
              <w:r>
                <w:rPr>
                  <w:rStyle w:val="InternetLink"/>
                  <w:rFonts w:ascii="Times New Roman;serif" w:hAnsi="Times New Roman;serif"/>
                  <w:b w:val="false"/>
                  <w:color w:val="0000FF"/>
                  <w:sz w:val="20"/>
                  <w:u w:val="single"/>
                </w:rPr>
                <w:t>Item 3.</w:t>
              </w:r>
            </w:hyperlink>
          </w:p>
        </w:tc>
        <w:tc>
          <w:tcPr>
            <w:tcW w:w="8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133">
              <w:r>
                <w:rPr>
                  <w:rStyle w:val="InternetLink"/>
                  <w:rFonts w:ascii="Times New Roman;serif" w:hAnsi="Times New Roman;serif"/>
                  <w:b w:val="false"/>
                  <w:color w:val="0000FF"/>
                  <w:sz w:val="20"/>
                  <w:u w:val="single"/>
                </w:rPr>
                <w:t>Defaults Upon Senior Securities</w:t>
              </w:r>
            </w:hyperlink>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9042b5414b6429fab769eb95422460a_133">
              <w:r>
                <w:rPr>
                  <w:rStyle w:val="InternetLink"/>
                  <w:rFonts w:ascii="Times New Roman;serif" w:hAnsi="Times New Roman;serif"/>
                  <w:b w:val="false"/>
                  <w:strike w:val="false"/>
                  <w:dstrike w:val="false"/>
                  <w:color w:val="000000"/>
                  <w:sz w:val="20"/>
                  <w:u w:val="none"/>
                  <w:effect w:val="none"/>
                </w:rPr>
                <w:t>52</w:t>
              </w:r>
            </w:hyperlink>
          </w:p>
        </w:tc>
      </w:tr>
      <w:tr>
        <w:trPr/>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136">
              <w:r>
                <w:rPr>
                  <w:rStyle w:val="InternetLink"/>
                  <w:rFonts w:ascii="Times New Roman;serif" w:hAnsi="Times New Roman;serif"/>
                  <w:b w:val="false"/>
                  <w:color w:val="0000FF"/>
                  <w:sz w:val="20"/>
                  <w:u w:val="single"/>
                </w:rPr>
                <w:t>Item 4.</w:t>
              </w:r>
            </w:hyperlink>
          </w:p>
        </w:tc>
        <w:tc>
          <w:tcPr>
            <w:tcW w:w="8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136">
              <w:r>
                <w:rPr>
                  <w:rStyle w:val="InternetLink"/>
                  <w:rFonts w:ascii="Times New Roman;serif" w:hAnsi="Times New Roman;serif"/>
                  <w:b w:val="false"/>
                  <w:color w:val="0000FF"/>
                  <w:sz w:val="20"/>
                  <w:u w:val="single"/>
                </w:rPr>
                <w:t>Mine Safety Disclosures</w:t>
              </w:r>
            </w:hyperlink>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9042b5414b6429fab769eb95422460a_136">
              <w:r>
                <w:rPr>
                  <w:rStyle w:val="InternetLink"/>
                  <w:rFonts w:ascii="Times New Roman;serif" w:hAnsi="Times New Roman;serif"/>
                  <w:b w:val="false"/>
                  <w:strike w:val="false"/>
                  <w:dstrike w:val="false"/>
                  <w:color w:val="000000"/>
                  <w:sz w:val="20"/>
                  <w:u w:val="none"/>
                  <w:effect w:val="none"/>
                </w:rPr>
                <w:t>52</w:t>
              </w:r>
            </w:hyperlink>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139">
              <w:r>
                <w:rPr>
                  <w:rStyle w:val="InternetLink"/>
                  <w:rFonts w:ascii="Times New Roman;serif" w:hAnsi="Times New Roman;serif"/>
                  <w:b w:val="false"/>
                  <w:color w:val="0000FF"/>
                  <w:sz w:val="20"/>
                  <w:u w:val="single"/>
                </w:rPr>
                <w:t>Item 5.</w:t>
              </w:r>
            </w:hyperlink>
          </w:p>
        </w:tc>
        <w:tc>
          <w:tcPr>
            <w:tcW w:w="8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139">
              <w:r>
                <w:rPr>
                  <w:rStyle w:val="InternetLink"/>
                  <w:rFonts w:ascii="Times New Roman;serif" w:hAnsi="Times New Roman;serif"/>
                  <w:b w:val="false"/>
                  <w:color w:val="0000FF"/>
                  <w:sz w:val="20"/>
                  <w:u w:val="single"/>
                </w:rPr>
                <w:t>Other Information</w:t>
              </w:r>
            </w:hyperlink>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9042b5414b6429fab769eb95422460a_139">
              <w:r>
                <w:rPr>
                  <w:rStyle w:val="InternetLink"/>
                  <w:rFonts w:ascii="Times New Roman;serif" w:hAnsi="Times New Roman;serif"/>
                  <w:b w:val="false"/>
                  <w:strike w:val="false"/>
                  <w:dstrike w:val="false"/>
                  <w:color w:val="000000"/>
                  <w:sz w:val="20"/>
                  <w:u w:val="none"/>
                  <w:effect w:val="none"/>
                </w:rPr>
                <w:t>52</w:t>
              </w:r>
            </w:hyperlink>
          </w:p>
        </w:tc>
      </w:tr>
      <w:tr>
        <w:trPr/>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142">
              <w:r>
                <w:rPr>
                  <w:rStyle w:val="InternetLink"/>
                  <w:rFonts w:ascii="Times New Roman;serif" w:hAnsi="Times New Roman;serif"/>
                  <w:b w:val="false"/>
                  <w:color w:val="0000FF"/>
                  <w:sz w:val="20"/>
                  <w:u w:val="single"/>
                </w:rPr>
                <w:t>Item 6.</w:t>
              </w:r>
            </w:hyperlink>
          </w:p>
        </w:tc>
        <w:tc>
          <w:tcPr>
            <w:tcW w:w="8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142">
              <w:r>
                <w:rPr>
                  <w:rStyle w:val="InternetLink"/>
                  <w:rFonts w:ascii="Times New Roman;serif" w:hAnsi="Times New Roman;serif"/>
                  <w:b w:val="false"/>
                  <w:color w:val="0000FF"/>
                  <w:sz w:val="20"/>
                  <w:u w:val="single"/>
                </w:rPr>
                <w:t>Exhibits</w:t>
              </w:r>
            </w:hyperlink>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9042b5414b6429fab769eb95422460a_142">
              <w:r>
                <w:rPr>
                  <w:rStyle w:val="InternetLink"/>
                  <w:rFonts w:ascii="Times New Roman;serif" w:hAnsi="Times New Roman;serif"/>
                  <w:b w:val="false"/>
                  <w:strike w:val="false"/>
                  <w:dstrike w:val="false"/>
                  <w:color w:val="000000"/>
                  <w:sz w:val="20"/>
                  <w:u w:val="none"/>
                  <w:effect w:val="none"/>
                </w:rPr>
                <w:t>54</w:t>
              </w:r>
            </w:hyperlink>
          </w:p>
        </w:tc>
      </w:tr>
      <w:tr>
        <w:trPr/>
        <w:tc>
          <w:tcPr>
            <w:tcW w:w="8930"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145">
              <w:r>
                <w:rPr>
                  <w:rStyle w:val="InternetLink"/>
                  <w:rFonts w:ascii="Times New Roman;serif" w:hAnsi="Times New Roman;serif"/>
                  <w:b/>
                  <w:color w:val="0000FF"/>
                  <w:sz w:val="20"/>
                  <w:u w:val="single"/>
                </w:rPr>
                <w:t>SIGNATURES</w:t>
              </w:r>
            </w:hyperlink>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9042b5414b6429fab769eb95422460a_145">
              <w:r>
                <w:rPr>
                  <w:rStyle w:val="InternetLink"/>
                  <w:rFonts w:ascii="Times New Roman;serif" w:hAnsi="Times New Roman;serif"/>
                  <w:b w:val="false"/>
                  <w:strike w:val="false"/>
                  <w:dstrike w:val="false"/>
                  <w:color w:val="000000"/>
                  <w:sz w:val="20"/>
                  <w:u w:val="none"/>
                  <w:effect w:val="none"/>
                </w:rPr>
                <w:t>56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80060"/>
                <wp:effectExtent l="0" t="0" r="0" b="0"/>
                <wp:wrapNone/>
                <wp:docPr id="3" name="Frame2"/>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before="480" w:after="547"/>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480" w:after="547"/>
                        <w:jc w:val="center"/>
                        <w:rPr/>
                      </w:pPr>
                      <w:r>
                        <w:rPr/>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1: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 (MD&amp;A).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results of operations and financial condition should be read in conjunction with our unaudited Consolidated Financial Statements and related Notes included elsewhere in this quarterly report, and our audited Consolidated Financial Statements and related Notes included in our Annual Report on Form 10-K for the year ended December 31, 2025, filed with the Securities and Exchange Commission (the SEC) on February 13, 2026 (the 2025 Form 10-K). Some of the information contained in this discussion and analysis constitutes forward-looking statements that involve risks and uncertainties. Actual results could differ materially from those discussed in these forward-looking statements. See “Cautionary Note Regarding Forward-Looking Statements” included elsewhere in this report. Factors that could cause or contribute to these differences include, but are not limited to, those discussed below and those identified in our other filings with the SEC, including in the “Risk Factors” and “Management’s Discussion and Analysis of Financial Condition and Results of Operations” sections of our 2025 Form 10-K and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a tech-forward financial services company that provides simple, personalized payment, lending and saving solutions to millions of U.S. consumers. Our payment solutions deliver growth for some of the most recognized brands in travel and entertainment, specialty apparel, health and beauty, jewelry, sporting goods, technology and electronics, as well as home and furniture through our co-brand and private label credit cards and pay-over-time products providing choice and value to our shared customers. Additionally, we offer Bread Financial general purpose credit cards and saving products that empower our customers and their passions for a better life.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continued to diversify our product mix with our brand partners through growth of our co-brand credit card programs, which, relative to our private label credit card programs, have higher credit sales per account and an improved credit risk mix that generally results in higher transactor balances, lower delinquencies and late fees, as well as lower losses. We also offer our proprietary credit cards along with the expansion of our Bread Pay products, which are our installment loans and “split-pay” offerings.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partner base consists of large consumer-based businesses, including well-known brands such as (alphabetically) AAA, Academy Sports + Outdoors, Caesars, Dell Technologies, Hard Rock International, the NFL, Raymour &amp; Flanigan, Saks Fifth Avenue, Signet, Ulta and Victoria’s Secret, as well as small- and medium-sized businesses (SMBs). Our partner base is well diversified across a broad range of industries and retail verticals, including travel and entertainment, specialty apparel, health and beauty, jewelry, sporting goods, technology and electronics, as well as home and furniture. We believe our comprehensive suite of payment, lending and saving solutions, along with our related marketing and data and analytics, offers us a significant competitive advantage with products relevant across all customer segments (Gen Z, Millennial, Gen X and Baby Boomers). The breadth and quality of our product and service offerings, coupled with our customer-centric approach, have enabled us to establish and maintain long-standing partner relationships. We operate our business through a single reportable segment, with our primary source of revenue being from Interest and fees on loans from our various credit card and other loan products, and to a lesser extent from contractual relationships with our brand partners.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Throughout this report, unless stated or the context implies otherwise, the terms “Bread Financial,” “BFH,” the “Company,” “we,” “our” or “us” refer to Bread Financial Holdings, Inc. and its subsidiaries on a consolidated basis. References to “Parent Company” refer to Bread Financial Holdings, Inc. on a parent-only standalone basis. In addition, in this report we may refer to the retailers and other companies with whom we do business as our “partners,” “brand partners,” or “clients,” provided that the use of the term “partner,” “partnering” or any similar term does not mean or imply a formal legal partnership, and is not meant in any way to alter the terms of Bread Financial’s relationship with any third parties. We offer our credit products through our insured depository institution subsidiaries, Comenity Bank and Comenity Capital Bank, which together are referred to herein as the “Banks.”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prepare our Consolidated Financial Statements in accordance with accounting principles generally accepted in the United States of America (GAAP). However, certain information included herein constitutes Non-GAAP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Measures. Our calculations of Non-GAAP Financial Measures may differ from the calculations of similarly titled measures by other companies. In particular: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Pretax pre-provision earnings</w:t>
      </w:r>
      <w:r>
        <w:rPr>
          <w:color w:val="000000"/>
        </w:rPr>
        <w:t xml:space="preserve"> </w:t>
      </w:r>
      <w:r>
        <w:rPr>
          <w:rFonts w:ascii="Times New Roman;serif" w:hAnsi="Times New Roman;serif"/>
          <w:b w:val="false"/>
          <w:color w:val="000000"/>
          <w:sz w:val="20"/>
        </w:rPr>
        <w:t xml:space="preserve">(PPNR) represents Income from continuing operations before income taxes and the Provision for credit losses. We use </w:t>
      </w:r>
      <w:r>
        <w:rPr>
          <w:rFonts w:ascii="Times New Roman;serif" w:hAnsi="Times New Roman;serif"/>
          <w:b w:val="false"/>
          <w:i/>
          <w:color w:val="000000"/>
          <w:sz w:val="20"/>
        </w:rPr>
        <w:t>PPNR</w:t>
      </w:r>
      <w:r>
        <w:rPr>
          <w:color w:val="000000"/>
        </w:rPr>
        <w:t xml:space="preserve"> </w:t>
      </w:r>
      <w:r>
        <w:rPr>
          <w:rFonts w:ascii="Times New Roman;serif" w:hAnsi="Times New Roman;serif"/>
          <w:b w:val="false"/>
          <w:color w:val="000000"/>
          <w:sz w:val="20"/>
        </w:rPr>
        <w:t>as a metric to evaluate our results of operations before income taxes, excluding the movements that can occur within Provision for credit losses.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Return on average tangible common equity</w:t>
      </w:r>
      <w:r>
        <w:rPr>
          <w:color w:val="000000"/>
        </w:rPr>
        <w:t xml:space="preserve"> </w:t>
      </w:r>
      <w:r>
        <w:rPr>
          <w:rFonts w:ascii="Times New Roman;serif" w:hAnsi="Times New Roman;serif"/>
          <w:b w:val="false"/>
          <w:color w:val="000000"/>
          <w:sz w:val="20"/>
        </w:rPr>
        <w:t>(ROTCE) represents annualized Income from continuing operations less Dividends to preferred stockholders, divided by average Tangible common equity. Tangible common equity (TCE) represents Total stockholders’ equity reduced by Preferred stock and Goodwill and intangible assets, net. We use ROTCE as a metric to evaluate the Company’s performance.</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Tangible book value per common share</w:t>
      </w:r>
      <w:r>
        <w:rPr>
          <w:color w:val="000000"/>
        </w:rPr>
        <w:t xml:space="preserve"> </w:t>
      </w:r>
      <w:r>
        <w:rPr>
          <w:rFonts w:ascii="Times New Roman;serif" w:hAnsi="Times New Roman;serif"/>
          <w:b w:val="false"/>
          <w:color w:val="000000"/>
          <w:sz w:val="20"/>
        </w:rPr>
        <w:t xml:space="preserve">represents TCE divided by common shares outstanding. We use </w:t>
      </w:r>
      <w:r>
        <w:rPr>
          <w:rFonts w:ascii="Times New Roman;serif" w:hAnsi="Times New Roman;serif"/>
          <w:b w:val="false"/>
          <w:i/>
          <w:color w:val="000000"/>
          <w:sz w:val="20"/>
        </w:rPr>
        <w:t>Tangible book value per common share</w:t>
      </w:r>
      <w:r>
        <w:rPr>
          <w:rFonts w:ascii="Times New Roman;serif" w:hAnsi="Times New Roman;serif"/>
          <w:b w:val="false"/>
          <w:color w:val="000000"/>
          <w:sz w:val="20"/>
        </w:rPr>
        <w:t>, a metric used across the industry, to assess capital and performance, in conjunction with ROTCE.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We believe the use of these Non-GAAP financial measures provide additional clarity in understanding our results of operations and trends. For a reconciliation of these Non-GAAP financial measures to the most directly comparable GAAP measures, please see </w:t>
      </w:r>
      <w:r>
        <w:rPr>
          <w:rFonts w:ascii="Times New Roman;serif" w:hAnsi="Times New Roman;serif"/>
          <w:b/>
          <w:color w:val="000000"/>
          <w:sz w:val="20"/>
        </w:rPr>
        <w:t>Table 6: Reconciliation of GAAP to Non-GAAP Financial Measures.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BUSINESS ENVIRONMENT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Business Environment section provides an overview of our results of operations and financial position for the first quarter of 2026, as well as our related outlook for the remainder of 2026 and certain of the uncertainties associated with achieving that outlook. This section should be read in conjunction with the other information included or incorporated by reference in this Form 10-Q, including “Consolidated Results of Operations,” “Cautionary Note Regarding Forward-Looking Statements” and “Risk Factors” herein, and in our 2025 Form 10-K, which provide further discussion of variances in our results of operations over the periods of comparison, along with other factors that could impact future results and the Company achieving its outlook. Unless otherwise specified, the discussion included herein is for the three months ended March 31, 2026, compared with the same period in the prior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Credit sales of $6.5 billion were up 7% year-over-year driven by new partner growth and increased general-purpose spending. Average and end-of-period credit card and other loans increased 1% to $18.3 billion and 2% to $18.1 billion, respectively, driven by increased credit sales and lower gross credit losses. Total interest income was up 2% from the first quarter of 2025, primarily as a result of the ongoing effects of pricing actions (such as increases to our annual percentage rates), higher Average credit card and other loans balances and lower reversals of finance charges and late fees, resulting from lower gross credit losses, partially offset by both a lower average Prime interest rate, which affects variable rate Credit card and other loans, and lower billed late fees. Our improved delinquency trends across our loan portfolio, as well as the gradual shift in product mix to a declining proportion of private label accounts, which tend to have higher billed late fees, have resulted in lower overall billed late fees. Net interest margin increased year-over-year to 19.25%, from 18.06%, and improved sequentially from 18.94%, as both, loan yields continued to benefit from the effects of pricing actions, and funding costs continued to improve. We anticipate the year-over-year benefits associated with our pricing actions to slow throughout the year as the majority of our credit card loan portfolio will have repriced. Net interest margin will also be affected by the ongoing gradual improvement in our payment and delinquency rate trends, and the continued shift in our product and risk mix. Non-interest income decreased $13 million from the first quarter of 2025, driven by increased costs associated with brand partner retailer share arrangements, partially offset by both an increase in merchant discount fees due to the addition of new brand partners, and an increase in revenue from our payment protection products as a result of new enrollment channels. We expect Non-interest income will continue to decrease throughout the year as a result of both, higher credit sales-related payments to brand partners, and higher brand partner profit sharing as a result of improving loan yields and gross credit losses. Overall, Total net interest and non-interest income for the quarter was $1.0 billion, up 5% versus the first quarter of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credit losses increased during the three months ended March 31, 2026 driven by a $28 million reserve release and net principal losses of $331 million, compared with a $69 million reserve release and net principal losses of $365 million in the prior year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Allowance for credit losses decreased as of March 31, 2026, relative to December 31, 2025, due primarily to a lower Credit card and other loans balance, as seasonally higher transactor balances from the fourth quarter of 2025 were paid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down in the first quarter of 2026. Our reserve rate was 11.46% and 12.19% as of March 31, 2026 and 2025, respectively, reflecting our improving credit metrics and higher-quality new account acquisitions. We continue to maintain appropriately prudent weightings on the economic scenarios in our credit reserve modeling to ensure the adequacy of our Allowance for credit losses given the wide range of potential macroeconomic dynamics, including ongoing uncertainty regarding trade policy and global conflicts, and downstream impacts on inflation and unemployment. From an overall credit quality perspective, our percentage of customers with Vantage scores greater than 650 remains above pre-pandemic levels due to prudent credit management and a more diversified product mix, in particular with co-brand cards representing a larger proportion of our portfolio.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non-interest expenses of $472 million decreased 1% year-over year. The decrease reflects ongoing expense discipline, as well as a credit received in the current quarter which lowered outsourced data processing costs; partially offset by increased Employee compensation and benefits from increased wages.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 increased $7 million year-over-year primarily driven by an increase in Income from continuing operations before income taxes.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Our efforts to strengthen and optimize our Consolidated Balance Sheet continued in the first quarter of 2026. During the quarter we retired 1.5 million shares of common stock from the full termination and unwind of our capped call transactions, as well as repurchased $150 million, or 2.0 million shares of common stock. In February, we announced a $600 million increase to our Board-approved common stock repurchase authorization, resulting in $690 million of outstanding share repurchase authorization as of March 31, 2026. Additionally, we repurchased $50 million of our 8.375% Fixed-Rate Reset Subordinated Notes Due 2035 utilizing cash on hand, and have $350 million in remaining principal outstanding as of March 31, 2026.</w:t>
      </w:r>
      <w:r>
        <w:rPr>
          <w:color w:val="EE2724"/>
        </w:rPr>
        <w:t xml:space="preserve"> </w:t>
      </w:r>
      <w:r>
        <w:rPr>
          <w:rFonts w:ascii="Times New Roman;serif" w:hAnsi="Times New Roman;serif"/>
          <w:b w:val="false"/>
          <w:color w:val="000000"/>
          <w:sz w:val="20"/>
        </w:rPr>
        <w:t>Our Common equity tier one capital ratio (CET1) of 13.3% increased from 12.0% in the first quarter of 2025, driven by net earnings over the period, partially offset by the effects from our actions mentioned above related to our common stock and debt securities. Sequentially, our CET1 ratio improved to 13.3% from 13.0%. Additionally, relative to the first quarter of 2025 direct-to-consumer (DTC) deposits increased 10% to $8.7 billion as of March 31, 2026, with average DTC deposits representing 48% of our total funding, up from 43% a year ago.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2026 financial outlook is unchanged and reflects continued consumer resilience, inflation remaining above the Federal Reserve Board’s (FRB) target rate of 2%, and a generally stable labor market.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Based on our current economic outlook and visibility into our new business pipeline and partner growth, as well as both the expected continued improvement in our Net principal loss rate and our ongoing expectations for strong cardholder payment rates, we expect growth in 2026 Average credit card and other loans to be up low-single digits on a percentage point basis from full year 2025. Growth in Total net interest and non-interest income is also anticipated to be up in the low-single digits on a percentage point basis from 2025, in line with the growth in Average credit card and other loans. We anticipate our full year Net interest margin to be higher than 2025 as a result of continued, albeit slowing benefits from implemented pricing actions and an improving cost of funds, partially offset by lower billed late fees from improving delinquency trends, and continued shifts in risk and product mix which are driving improvement in our payment rate trends. We continually focus on expanding and diversifying our product offerings, including ways to leverage our loan origination and servicing capabilities.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Expense growth is managed based on revenue generation and investment opportunities. We expect to deliver positive operating leverage in 2026, excluding the pretax impacts from our debt repurchases, a Non-GAAP financial measure. We continue to invest in AI capabilities, technology modernization, marketing, and product innovation to drive growth and efficiencies.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2026 financial outlook assumes a full year Net principal loss rate ranging from 7.2% to 7.4% given a resilient consumer, our disciplined credit management, and continued risk and product mix shifts.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our 2026 financial outlook, we expect our full year normalized effective tax rate to be in the range of 25% to 27% with quarter-over-quarter variability due to the timing of certain discrete items.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first quarter results demonstrate our success in driving responsible growth, and our ongoing focus on strategic capital allocation and disciplined credit risk management. We remain confident in our ability to generate strong returns and increased value for our stockholders in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We are unable to provide a quantitative reconciliation of the forward-looking 2026 financial outlook for the Non-GAAP financial measure above, to its most directly comparable forward-looking GAAP measure, as we cannot reliably predict all of the necessary components of such a forward-looking GAAP measure without unreasonable effort.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discussion provides commentary on the variances in our results of operations for the three months ended March 31, 2026, compared with the same period in the prior year, as presented in the accompanying tables. This discussion should be read in conjunction with the discussion under “Business Environment” above.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1: Summary of Our Financial Performance</w:t>
      </w:r>
    </w:p>
    <w:tbl>
      <w:tblPr>
        <w:tblW w:w="10205" w:type="dxa"/>
        <w:jc w:val="left"/>
        <w:tblInd w:w="0" w:type="dxa"/>
        <w:tblLayout w:type="fixed"/>
        <w:tblCellMar>
          <w:top w:w="28" w:type="dxa"/>
          <w:left w:w="28" w:type="dxa"/>
          <w:bottom w:w="28" w:type="dxa"/>
          <w:right w:w="28" w:type="dxa"/>
        </w:tblCellMar>
      </w:tblPr>
      <w:tblGrid>
        <w:gridCol w:w="1657"/>
        <w:gridCol w:w="1443"/>
        <w:gridCol w:w="1447"/>
        <w:gridCol w:w="211"/>
        <w:gridCol w:w="616"/>
        <w:gridCol w:w="271"/>
        <w:gridCol w:w="109"/>
        <w:gridCol w:w="109"/>
        <w:gridCol w:w="109"/>
        <w:gridCol w:w="211"/>
        <w:gridCol w:w="511"/>
        <w:gridCol w:w="271"/>
        <w:gridCol w:w="109"/>
        <w:gridCol w:w="109"/>
        <w:gridCol w:w="109"/>
        <w:gridCol w:w="265"/>
        <w:gridCol w:w="265"/>
        <w:gridCol w:w="266"/>
        <w:gridCol w:w="109"/>
        <w:gridCol w:w="109"/>
        <w:gridCol w:w="109"/>
        <w:gridCol w:w="290"/>
        <w:gridCol w:w="290"/>
        <w:gridCol w:w="291"/>
        <w:gridCol w:w="109"/>
        <w:gridCol w:w="109"/>
        <w:gridCol w:w="109"/>
        <w:gridCol w:w="109"/>
        <w:gridCol w:w="109"/>
        <w:gridCol w:w="109"/>
        <w:gridCol w:w="109"/>
        <w:gridCol w:w="156"/>
      </w:tblGrid>
      <w:tr>
        <w:trPr/>
        <w:tc>
          <w:tcPr>
            <w:tcW w:w="1657"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gridSpan w:val="6"/>
            <w:tcBorders/>
          </w:tcPr>
          <w:p>
            <w:pPr>
              <w:pStyle w:val="TableContents"/>
              <w:bidi w:val="0"/>
              <w:spacing w:before="0" w:after="283"/>
              <w:jc w:val="left"/>
              <w:rPr>
                <w:sz w:val="4"/>
                <w:szCs w:val="4"/>
              </w:rPr>
            </w:pPr>
            <w:r>
              <w:rPr>
                <w:sz w:val="4"/>
                <w:szCs w:val="4"/>
              </w:rPr>
            </w:r>
          </w:p>
        </w:tc>
      </w:tr>
      <w:tr>
        <w:trPr/>
        <w:tc>
          <w:tcPr>
            <w:tcW w:w="4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 except per share amounts and percentages)</w:t>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interest and non-interest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income taxes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Loss from discontinued operations, net of income taxes </w:t>
            </w:r>
            <w:r>
              <w:rPr>
                <w:rFonts w:ascii="Times New Roman;serif" w:hAnsi="Times New Roman;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to preferred stockholders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to common stockholders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diluted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interest margin </w:t>
            </w:r>
            <w:r>
              <w:rPr>
                <w:rFonts w:ascii="Times New Roman;serif" w:hAnsi="Times New Roman;serif"/>
                <w:b w:val="false"/>
                <w:color w:val="000000"/>
                <w:sz w:val="13"/>
              </w:rPr>
              <w:t>(2)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Return on average tangible common equity </w:t>
            </w:r>
            <w:r>
              <w:rPr>
                <w:rFonts w:ascii="Times New Roman;serif" w:hAnsi="Times New Roman;serif"/>
                <w:b w:val="false"/>
                <w:color w:val="000000"/>
                <w:sz w:val="13"/>
              </w:rPr>
              <w:t>*(3)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 — continuing operations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8"/>
        </w:rPr>
        <w:t xml:space="preserve">*Represents a Non-GAAP financial measure. See “Non-GAAP Financial Measures” and </w:t>
      </w:r>
      <w:r>
        <w:rPr>
          <w:rFonts w:ascii="Times New Roman;serif" w:hAnsi="Times New Roman;serif"/>
          <w:b/>
          <w:color w:val="000000"/>
          <w:sz w:val="18"/>
        </w:rPr>
        <w:t>Table 6: Reconciliation of GAAP to Non-GAAP Financial Measures</w:t>
      </w:r>
      <w:r>
        <w:rPr>
          <w:rFonts w:ascii="Times New Roman;serif" w:hAnsi="Times New Roman;serif"/>
          <w:b w:val="false"/>
          <w:color w:val="000000"/>
          <w:sz w:val="18"/>
        </w:rPr>
        <w:t>.</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Includes amounts that related to the previously disclosed discontinued operations associated with the spinoff of our former LoyaltyOne segment in 2021 and the sale of our former Epsilon segment in 2019. For additional information, refer to Note 1, “Description of Business, Basis of Presentation and Significant Accounting Policies” to the unaudited Consolidated Financial Statements.</w:t>
      </w:r>
    </w:p>
    <w:p>
      <w:pPr>
        <w:pStyle w:val="TextBody"/>
        <w:bidi w:val="0"/>
        <w:spacing w:lineRule="auto" w:line="288" w:before="0" w:after="0"/>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 xml:space="preserve">Net interest margin represents annualized Net interest income divided by average Total interest-earning assets. See also </w:t>
      </w:r>
      <w:r>
        <w:rPr>
          <w:rFonts w:ascii="Times New Roman;serif" w:hAnsi="Times New Roman;serif"/>
          <w:b/>
          <w:color w:val="000000"/>
          <w:sz w:val="18"/>
        </w:rPr>
        <w:t>Table 5: Net Interest Margin.</w:t>
      </w:r>
    </w:p>
    <w:p>
      <w:pPr>
        <w:pStyle w:val="TextBody"/>
        <w:bidi w:val="0"/>
        <w:spacing w:lineRule="auto" w:line="288" w:before="0" w:after="0"/>
        <w:ind w:left="0" w:right="0" w:hanging="360"/>
        <w:jc w:val="left"/>
        <w:rPr/>
      </w:pPr>
      <w:r>
        <w:rPr>
          <w:rFonts w:ascii="Times New Roman;serif" w:hAnsi="Times New Roman;serif"/>
          <w:b w:val="false"/>
          <w:color w:val="000000"/>
          <w:sz w:val="12"/>
        </w:rPr>
        <w:t>(3)</w:t>
      </w:r>
      <w:r>
        <w:rPr>
          <w:rFonts w:ascii="Times New Roman;serif" w:hAnsi="Times New Roman;serif"/>
          <w:b w:val="false"/>
          <w:color w:val="000000"/>
          <w:sz w:val="18"/>
        </w:rPr>
        <w:t>Return on average tangible common equity (ROTCE) represents annualized Income from continuing operations, less Dividends to preferred stockholders, divided by average Tangible common equity. Tangible common equity (TCE) represents Total stockholders’ equity reduced by Preferred stock and Goodwill and intangible assets, net.</w:t>
      </w:r>
    </w:p>
    <w:p>
      <w:pPr>
        <w:pStyle w:val="TextBody"/>
        <w:bidi w:val="0"/>
        <w:spacing w:lineRule="auto" w:line="288" w:before="0" w:after="0"/>
        <w:jc w:val="left"/>
        <w:rPr/>
      </w:pPr>
      <w:r>
        <w:rPr>
          <w:rFonts w:ascii="Times New Roman;serif" w:hAnsi="Times New Roman;serif"/>
          <w:b w:val="false"/>
          <w:color w:val="000000"/>
          <w:sz w:val="12"/>
        </w:rPr>
        <w:t xml:space="preserve">(nm) </w:t>
      </w:r>
      <w:r>
        <w:rPr>
          <w:rFonts w:ascii="Times New Roman;serif" w:hAnsi="Times New Roman;serif"/>
          <w:b w:val="false"/>
          <w:color w:val="000000"/>
          <w:sz w:val="18"/>
        </w:rPr>
        <w:t>Not meaningful, denoting a variance of 1,000 percent or more.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Table 2: Summary of Total Net Interest and Non-interest Income, After Provision for Credit Losses</w:t>
      </w:r>
    </w:p>
    <w:p>
      <w:pPr>
        <w:pStyle w:val="TextBody"/>
        <w:bidi w:val="0"/>
        <w:spacing w:before="0" w:after="0"/>
        <w:ind w:left="0" w:right="0" w:hanging="360"/>
        <w:jc w:val="left"/>
        <w:rPr/>
      </w:pPr>
      <w:r>
        <w:rPr/>
      </w:r>
    </w:p>
    <w:tbl>
      <w:tblPr>
        <w:tblW w:w="10205" w:type="dxa"/>
        <w:jc w:val="left"/>
        <w:tblInd w:w="0" w:type="dxa"/>
        <w:tblLayout w:type="fixed"/>
        <w:tblCellMar>
          <w:top w:w="28" w:type="dxa"/>
          <w:left w:w="28" w:type="dxa"/>
          <w:bottom w:w="28" w:type="dxa"/>
          <w:right w:w="28" w:type="dxa"/>
        </w:tblCellMar>
      </w:tblPr>
      <w:tblGrid>
        <w:gridCol w:w="1768"/>
        <w:gridCol w:w="1497"/>
        <w:gridCol w:w="1502"/>
        <w:gridCol w:w="211"/>
        <w:gridCol w:w="616"/>
        <w:gridCol w:w="109"/>
        <w:gridCol w:w="109"/>
        <w:gridCol w:w="109"/>
        <w:gridCol w:w="109"/>
        <w:gridCol w:w="211"/>
        <w:gridCol w:w="616"/>
        <w:gridCol w:w="109"/>
        <w:gridCol w:w="109"/>
        <w:gridCol w:w="109"/>
        <w:gridCol w:w="109"/>
        <w:gridCol w:w="265"/>
        <w:gridCol w:w="265"/>
        <w:gridCol w:w="266"/>
        <w:gridCol w:w="109"/>
        <w:gridCol w:w="109"/>
        <w:gridCol w:w="109"/>
        <w:gridCol w:w="290"/>
        <w:gridCol w:w="290"/>
        <w:gridCol w:w="291"/>
        <w:gridCol w:w="109"/>
        <w:gridCol w:w="109"/>
        <w:gridCol w:w="109"/>
        <w:gridCol w:w="109"/>
        <w:gridCol w:w="109"/>
        <w:gridCol w:w="109"/>
        <w:gridCol w:w="109"/>
        <w:gridCol w:w="155"/>
      </w:tblGrid>
      <w:tr>
        <w:trPr/>
        <w:tc>
          <w:tcPr>
            <w:tcW w:w="1768"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0" w:type="dxa"/>
            <w:gridSpan w:val="6"/>
            <w:tcBorders/>
          </w:tcPr>
          <w:p>
            <w:pPr>
              <w:pStyle w:val="TableContents"/>
              <w:bidi w:val="0"/>
              <w:spacing w:before="0" w:after="283"/>
              <w:jc w:val="left"/>
              <w:rPr>
                <w:sz w:val="4"/>
                <w:szCs w:val="4"/>
              </w:rPr>
            </w:pPr>
            <w:r>
              <w:rPr>
                <w:sz w:val="4"/>
                <w:szCs w:val="4"/>
              </w:rPr>
            </w:r>
          </w:p>
        </w:tc>
      </w:tr>
      <w:tr>
        <w:trPr/>
        <w:tc>
          <w:tcPr>
            <w:tcW w:w="4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 except percentages)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income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fees on loans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cash and investment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deposits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borrowings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interest income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income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Interchange revenue, net of retailer share arrangements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income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interest and non-interest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Provision for credit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interest and non-interest income, after provision for credit losses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Total Net Interest and Non-interest Income, After Provision for Credit Losses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Interest income:</w:t>
      </w:r>
      <w:r>
        <w:rPr>
          <w:color w:val="000000"/>
        </w:rPr>
        <w:t xml:space="preserve"> </w:t>
      </w:r>
      <w:r>
        <w:rPr>
          <w:rFonts w:ascii="Times New Roman;serif" w:hAnsi="Times New Roman;serif"/>
          <w:b w:val="false"/>
          <w:color w:val="000000"/>
          <w:sz w:val="20"/>
        </w:rPr>
        <w:t>Total interest income increased for the three months ended March 31, 2026, due to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Interest and fees on loans</w:t>
      </w:r>
      <w:r>
        <w:rPr>
          <w:color w:val="000000"/>
        </w:rPr>
        <w:t xml:space="preserve"> </w:t>
      </w:r>
      <w:r>
        <w:rPr>
          <w:rFonts w:ascii="Times New Roman;serif" w:hAnsi="Times New Roman;serif"/>
          <w:b w:val="false"/>
          <w:color w:val="000000"/>
          <w:sz w:val="20"/>
        </w:rPr>
        <w:t>increased due to the ongoing effects of pricing actions, higher Average credit card and other loans balances and lower reversals of finance charges and late fees, resulting from lower gross credit losses, partially offset by both lower average interest rates which affects variable rate Credit card and other loans, and lower billed late fees; collectively increasing the yield from finance charges and late fees by approximately 68 basis points. Our lower delinquency volumes and the gradual shift in product mix to a lower proportion of private label accounts, which tend to have higher billed late fees, have resulted in lower overall billed late fees.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Interest on cash and investment securities</w:t>
      </w:r>
      <w:r>
        <w:rPr>
          <w:color w:val="000000"/>
        </w:rPr>
        <w:t xml:space="preserve"> </w:t>
      </w:r>
      <w:r>
        <w:rPr>
          <w:rFonts w:ascii="Times New Roman;serif" w:hAnsi="Times New Roman;serif"/>
          <w:b w:val="false"/>
          <w:color w:val="000000"/>
          <w:sz w:val="20"/>
        </w:rPr>
        <w:t>decreased due to lower average interest rates, which decreased</w:t>
      </w:r>
      <w:r>
        <w:rPr>
          <w:color w:val="000000"/>
        </w:rPr>
        <w:t xml:space="preserve"> </w:t>
      </w:r>
      <w:r>
        <w:rPr>
          <w:rFonts w:ascii="Times New Roman;serif" w:hAnsi="Times New Roman;serif"/>
          <w:b w:val="false"/>
          <w:color w:val="000000"/>
          <w:sz w:val="20"/>
        </w:rPr>
        <w:t>interest income by $6 million, as well as lower average balances, which decreased interest income by $4 million.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Interest expense:</w:t>
      </w:r>
      <w:r>
        <w:rPr>
          <w:color w:val="000000"/>
        </w:rPr>
        <w:t xml:space="preserve"> </w:t>
      </w:r>
      <w:r>
        <w:rPr>
          <w:rFonts w:ascii="Times New Roman;serif" w:hAnsi="Times New Roman;serif"/>
          <w:b w:val="false"/>
          <w:color w:val="000000"/>
          <w:sz w:val="20"/>
        </w:rPr>
        <w:t>Total interest expense decreased for the three months ended March 31, 2026, due to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Interest on deposits</w:t>
      </w:r>
      <w:r>
        <w:rPr>
          <w:color w:val="000000"/>
        </w:rPr>
        <w:t xml:space="preserve"> </w:t>
      </w:r>
      <w:r>
        <w:rPr>
          <w:rFonts w:ascii="Times New Roman;serif" w:hAnsi="Times New Roman;serif"/>
          <w:b w:val="false"/>
          <w:color w:val="000000"/>
          <w:sz w:val="20"/>
        </w:rPr>
        <w:t>decreased due to lower average interest rates, which decreased interest expense by $15 million, partially offset by higher average DTC deposit balances, which increased funding costs by $10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Interest on borrowings</w:t>
      </w:r>
      <w:r>
        <w:rPr>
          <w:color w:val="000000"/>
        </w:rPr>
        <w:t xml:space="preserve"> </w:t>
      </w:r>
      <w:r>
        <w:rPr>
          <w:rFonts w:ascii="Times New Roman;serif" w:hAnsi="Times New Roman;serif"/>
          <w:b w:val="false"/>
          <w:color w:val="000000"/>
          <w:sz w:val="20"/>
        </w:rPr>
        <w:t>decreased due to lower average borrowings, which decreased funding costs by $20 million, and lower average interest rates, which decreased funding costs by $7 million.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Non-interest income:</w:t>
      </w:r>
      <w:r>
        <w:rPr>
          <w:color w:val="000000"/>
        </w:rPr>
        <w:t xml:space="preserve"> </w:t>
      </w:r>
      <w:r>
        <w:rPr>
          <w:rFonts w:ascii="Times New Roman;serif" w:hAnsi="Times New Roman;serif"/>
          <w:b w:val="false"/>
          <w:color w:val="000000"/>
          <w:sz w:val="20"/>
        </w:rPr>
        <w:t>Total non-interest income decreased for the three months ended March 31, 2026, due to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Interchange revenue, net of retailer share arrangements</w:t>
      </w:r>
      <w:r>
        <w:rPr>
          <w:rFonts w:ascii="Times New Roman;serif" w:hAnsi="Times New Roman;serif"/>
          <w:b w:val="false"/>
          <w:color w:val="000000"/>
          <w:sz w:val="20"/>
        </w:rPr>
        <w:t>, typically a contra-revenue item for us, increased due to an increase in costs associated with brand partner retailer share arrangements, partially offset by an increase in merchant discount fees due to the addition of new brand partners over the periods of comparison.</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Other</w:t>
      </w:r>
      <w:r>
        <w:rPr>
          <w:color w:val="000000"/>
        </w:rPr>
        <w:t xml:space="preserve"> </w:t>
      </w:r>
      <w:r>
        <w:rPr>
          <w:rFonts w:ascii="Times New Roman;serif" w:hAnsi="Times New Roman;serif"/>
          <w:b w:val="false"/>
          <w:color w:val="000000"/>
          <w:sz w:val="20"/>
        </w:rPr>
        <w:t>increased due primarily to an increase in revenue from our payment protection products as a result of new enrollment channels.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Provision for credit losses </w:t>
      </w:r>
      <w:r>
        <w:rPr>
          <w:rFonts w:ascii="Times New Roman;serif" w:hAnsi="Times New Roman;serif"/>
          <w:b w:val="false"/>
          <w:color w:val="000000"/>
          <w:sz w:val="20"/>
        </w:rPr>
        <w:t>increased during the three months ended March 31, 2026 driven by a $28 million reserve release and net principal losses of $331 million, compared with a $69 million reserve release and net principal losses of $365 million in the prior year period. Our reserve rate was 11.46% and 12.19% as of March 31, 2026 and 2025, respectively, reflecting our improving credit metrics and higher-quality new account acquisitions. We continue to maintain appropriately prudent weightings on the economic scenarios in our credit reserve modeling to ensure the adequacy of our Allowance for credit losses given the wide range of potential macroeconomic dynamics, including ongoing uncertainty regarding trade policy and global conflicts, and downstream impacts on inflation and unemployment.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3: Summary of Total Non-interest Expenses</w:t>
      </w:r>
    </w:p>
    <w:p>
      <w:pPr>
        <w:pStyle w:val="TextBody"/>
        <w:bidi w:val="0"/>
        <w:spacing w:before="0" w:after="0"/>
        <w:jc w:val="left"/>
        <w:rPr/>
      </w:pPr>
      <w:r>
        <w:rPr/>
      </w:r>
    </w:p>
    <w:tbl>
      <w:tblPr>
        <w:tblW w:w="8797" w:type="dxa"/>
        <w:jc w:val="left"/>
        <w:tblInd w:w="0" w:type="dxa"/>
        <w:tblLayout w:type="fixed"/>
        <w:tblCellMar>
          <w:top w:w="28" w:type="dxa"/>
          <w:left w:w="28" w:type="dxa"/>
          <w:bottom w:w="28" w:type="dxa"/>
          <w:right w:w="28" w:type="dxa"/>
        </w:tblCellMar>
      </w:tblPr>
      <w:tblGrid>
        <w:gridCol w:w="1323"/>
        <w:gridCol w:w="1167"/>
        <w:gridCol w:w="1170"/>
        <w:gridCol w:w="211"/>
        <w:gridCol w:w="466"/>
        <w:gridCol w:w="109"/>
        <w:gridCol w:w="109"/>
        <w:gridCol w:w="109"/>
        <w:gridCol w:w="109"/>
        <w:gridCol w:w="211"/>
        <w:gridCol w:w="466"/>
        <w:gridCol w:w="109"/>
        <w:gridCol w:w="109"/>
        <w:gridCol w:w="109"/>
        <w:gridCol w:w="109"/>
        <w:gridCol w:w="265"/>
        <w:gridCol w:w="265"/>
        <w:gridCol w:w="266"/>
        <w:gridCol w:w="109"/>
        <w:gridCol w:w="109"/>
        <w:gridCol w:w="109"/>
        <w:gridCol w:w="290"/>
        <w:gridCol w:w="290"/>
        <w:gridCol w:w="291"/>
        <w:gridCol w:w="109"/>
        <w:gridCol w:w="109"/>
        <w:gridCol w:w="109"/>
        <w:gridCol w:w="109"/>
        <w:gridCol w:w="109"/>
        <w:gridCol w:w="109"/>
        <w:gridCol w:w="109"/>
        <w:gridCol w:w="154"/>
      </w:tblGrid>
      <w:tr>
        <w:trPr/>
        <w:tc>
          <w:tcPr>
            <w:tcW w:w="1323"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 except percentages)</w:t>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Non-interest expenses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Card and processing expenses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Information processing and communication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expenses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non-interest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Total Non-interest Expenses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Non-interest expenses:</w:t>
      </w:r>
      <w:r>
        <w:rPr>
          <w:color w:val="000000"/>
        </w:rPr>
        <w:t xml:space="preserve"> </w:t>
      </w:r>
      <w:r>
        <w:rPr>
          <w:rFonts w:ascii="Times New Roman;serif" w:hAnsi="Times New Roman;serif"/>
          <w:b w:val="false"/>
          <w:color w:val="000000"/>
          <w:sz w:val="20"/>
        </w:rPr>
        <w:t>Total non-interest expenses decreased for the three months ended March 31, 2026, due to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Employee compensation and benefits</w:t>
      </w:r>
      <w:r>
        <w:rPr>
          <w:color w:val="000000"/>
        </w:rPr>
        <w:t xml:space="preserve"> </w:t>
      </w:r>
      <w:r>
        <w:rPr>
          <w:rFonts w:ascii="Times New Roman;serif" w:hAnsi="Times New Roman;serif"/>
          <w:b w:val="false"/>
          <w:color w:val="000000"/>
          <w:sz w:val="20"/>
        </w:rPr>
        <w:t>increased primarily due to higher wages related to annual merit increases and incentive compensation, partially offset by operational excellence initiatives.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Information processing and communication</w:t>
      </w:r>
      <w:r>
        <w:rPr>
          <w:color w:val="000000"/>
        </w:rPr>
        <w:t xml:space="preserve"> </w:t>
      </w:r>
      <w:r>
        <w:rPr>
          <w:rFonts w:ascii="Times New Roman;serif" w:hAnsi="Times New Roman;serif"/>
          <w:b w:val="false"/>
          <w:color w:val="000000"/>
          <w:sz w:val="20"/>
        </w:rPr>
        <w:t xml:space="preserve">decreased due primarily to a credit received in the quarter, lowering outsourced data processing costs.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Income Taxes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The Provision for income taxes increased for the </w:t>
      </w:r>
      <w:r>
        <w:rPr>
          <w:rFonts w:ascii="Times New Roman;serif" w:hAnsi="Times New Roman;serif"/>
          <w:b w:val="false"/>
          <w:color w:val="000000"/>
          <w:sz w:val="20"/>
        </w:rPr>
        <w:t>three months</w:t>
      </w:r>
      <w:r>
        <w:rPr>
          <w:color w:val="000000"/>
          <w:shd w:fill="FFFFFF" w:val="clear"/>
        </w:rPr>
        <w:t xml:space="preserve"> </w:t>
      </w:r>
      <w:r>
        <w:rPr>
          <w:rFonts w:ascii="Times New Roman;serif" w:hAnsi="Times New Roman;serif"/>
          <w:b w:val="false"/>
          <w:color w:val="000000"/>
          <w:sz w:val="20"/>
          <w:shd w:fill="FFFFFF" w:val="clear"/>
        </w:rPr>
        <w:t xml:space="preserve">ended </w:t>
      </w:r>
      <w:r>
        <w:rPr>
          <w:rFonts w:ascii="Times New Roman;serif" w:hAnsi="Times New Roman;serif"/>
          <w:b w:val="false"/>
          <w:color w:val="000000"/>
          <w:sz w:val="20"/>
        </w:rPr>
        <w:t xml:space="preserve">March 31, 2026, primarily driven by an increase in Income from continuing operations before income taxes. </w:t>
      </w:r>
      <w:r>
        <w:rPr>
          <w:rFonts w:ascii="Times New Roman;serif" w:hAnsi="Times New Roman;serif"/>
          <w:b w:val="false"/>
          <w:color w:val="000000"/>
          <w:sz w:val="20"/>
          <w:shd w:fill="FFFFFF" w:val="clear"/>
        </w:rPr>
        <w:t>The effective tax rate w</w:t>
      </w:r>
      <w:r>
        <w:rPr>
          <w:rFonts w:ascii="Times New Roman;serif" w:hAnsi="Times New Roman;serif"/>
          <w:b w:val="false"/>
          <w:color w:val="000000"/>
          <w:sz w:val="20"/>
        </w:rPr>
        <w:t>as 25.3% and 28.1% for the three-month periods ended March 31, 2026 and 2025, respectively. The decrease in the effective tax rate was due to a discrete tax benefit in the current year period.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Discontinued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Loss from discontinued operations, net of income taxes includes amounts that relate to the previously disclosed discontinued operations associated with the spinoff of our former LoyaltyOne segment in 2021 and the sale of our former Epsilon segment in 2019, and primarily relates to contractual indemnification and tax-related matters. For additional information refer to Note 22, “Discontinued Operations and Bank Holding Company Financial Presentation” to the Consolidated Financial Statements included in our Annual Report on Form 10-K for the year ended December 31, 2021.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4: Summary Financial Highlights – Continuing Operations</w:t>
      </w:r>
    </w:p>
    <w:tbl>
      <w:tblPr>
        <w:tblW w:w="8869" w:type="dxa"/>
        <w:jc w:val="left"/>
        <w:tblInd w:w="0" w:type="dxa"/>
        <w:tblLayout w:type="fixed"/>
        <w:tblCellMar>
          <w:top w:w="28" w:type="dxa"/>
          <w:left w:w="28" w:type="dxa"/>
          <w:bottom w:w="28" w:type="dxa"/>
          <w:right w:w="28" w:type="dxa"/>
        </w:tblCellMar>
      </w:tblPr>
      <w:tblGrid>
        <w:gridCol w:w="1497"/>
        <w:gridCol w:w="1319"/>
        <w:gridCol w:w="1323"/>
        <w:gridCol w:w="405"/>
        <w:gridCol w:w="211"/>
        <w:gridCol w:w="436"/>
        <w:gridCol w:w="175"/>
        <w:gridCol w:w="175"/>
        <w:gridCol w:w="175"/>
        <w:gridCol w:w="405"/>
        <w:gridCol w:w="211"/>
        <w:gridCol w:w="436"/>
        <w:gridCol w:w="175"/>
        <w:gridCol w:w="175"/>
        <w:gridCol w:w="175"/>
        <w:gridCol w:w="293"/>
        <w:gridCol w:w="293"/>
        <w:gridCol w:w="291"/>
        <w:gridCol w:w="109"/>
        <w:gridCol w:w="109"/>
        <w:gridCol w:w="109"/>
        <w:gridCol w:w="109"/>
        <w:gridCol w:w="109"/>
        <w:gridCol w:w="154"/>
      </w:tblGrid>
      <w:tr>
        <w:trPr/>
        <w:tc>
          <w:tcPr>
            <w:tcW w:w="1497"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or 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 except per share amounts and percentages)</w:t>
            </w:r>
          </w:p>
        </w:tc>
        <w:tc>
          <w:tcPr>
            <w:tcW w:w="10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sales</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6,510</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6,106</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PPNR</w:t>
            </w:r>
            <w:r>
              <w:rPr>
                <w:color w:val="000000"/>
              </w:rPr>
              <w:t xml:space="preserve"> </w:t>
            </w:r>
            <w:r>
              <w:rPr>
                <w:rFonts w:ascii="Times New Roman;serif" w:hAnsi="Times New Roman;serif"/>
                <w:b w:val="false"/>
                <w:color w:val="000000"/>
                <w:sz w:val="13"/>
              </w:rPr>
              <w:t>*(1)</w:t>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credit card and other loans</w:t>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18,283</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18,164</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End-of-period credit card and other loans</w:t>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18,135</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17,815</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End-of-period direct-to-consumer (retail) deposits</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8,708</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7,922</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Return on average assets </w:t>
            </w:r>
            <w:r>
              <w:rPr>
                <w:rFonts w:ascii="Times New Roman;serif" w:hAnsi="Times New Roman;serif"/>
                <w:b w:val="false"/>
                <w:color w:val="000000"/>
                <w:sz w:val="13"/>
              </w:rPr>
              <w:t>(2)</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Return on average equity </w:t>
            </w:r>
            <w:r>
              <w:rPr>
                <w:rFonts w:ascii="Times New Roman;serif" w:hAnsi="Times New Roman;serif"/>
                <w:b w:val="false"/>
                <w:color w:val="000000"/>
                <w:sz w:val="13"/>
              </w:rPr>
              <w:t>(3)</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Return on average tangible common equity</w:t>
            </w:r>
            <w:r>
              <w:rPr>
                <w:color w:val="000000"/>
              </w:rPr>
              <w:t xml:space="preserve"> </w:t>
            </w:r>
            <w:r>
              <w:rPr>
                <w:rFonts w:ascii="Times New Roman;serif" w:hAnsi="Times New Roman;serif"/>
                <w:b w:val="false"/>
                <w:color w:val="000000"/>
                <w:sz w:val="13"/>
              </w:rPr>
              <w:t>*(4)</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interest margin </w:t>
            </w:r>
            <w:r>
              <w:rPr>
                <w:rFonts w:ascii="Times New Roman;serif" w:hAnsi="Times New Roman;serif"/>
                <w:b w:val="false"/>
                <w:color w:val="000000"/>
                <w:sz w:val="13"/>
              </w:rPr>
              <w:t>(5)</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Loan yield </w:t>
            </w:r>
            <w:r>
              <w:rPr>
                <w:rFonts w:ascii="Times New Roman;serif" w:hAnsi="Times New Roman;serif"/>
                <w:b w:val="false"/>
                <w:color w:val="000000"/>
                <w:sz w:val="13"/>
              </w:rPr>
              <w:t>(6)</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27.14 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Efficiency ratio </w:t>
            </w:r>
            <w:r>
              <w:rPr>
                <w:rFonts w:ascii="Times New Roman;serif" w:hAnsi="Times New Roman;serif"/>
                <w:b w:val="false"/>
                <w:color w:val="000000"/>
                <w:sz w:val="13"/>
              </w:rPr>
              <w:t>(7)</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Common equity tier 1 capital ratio </w:t>
            </w:r>
            <w:r>
              <w:rPr>
                <w:rFonts w:ascii="Times New Roman;serif" w:hAnsi="Times New Roman;serif"/>
                <w:b w:val="false"/>
                <w:color w:val="000000"/>
                <w:sz w:val="13"/>
              </w:rPr>
              <w:t>(8)</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Book value per common share</w:t>
            </w:r>
            <w:r>
              <w:rPr>
                <w:color w:val="000000"/>
              </w:rPr>
              <w:t xml:space="preserve"> </w:t>
            </w:r>
            <w:r>
              <w:rPr>
                <w:rFonts w:ascii="Times New Roman;serif" w:hAnsi="Times New Roman;serif"/>
                <w:b w:val="false"/>
                <w:color w:val="000000"/>
                <w:sz w:val="13"/>
              </w:rPr>
              <w:t>(9)</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78.72</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64.42</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Tangible book value per common share</w:t>
            </w:r>
            <w:r>
              <w:rPr>
                <w:color w:val="000000"/>
              </w:rPr>
              <w:t xml:space="preserve"> </w:t>
            </w:r>
            <w:r>
              <w:rPr>
                <w:rFonts w:ascii="Times New Roman;serif" w:hAnsi="Times New Roman;serif"/>
                <w:b w:val="false"/>
                <w:color w:val="000000"/>
                <w:sz w:val="13"/>
              </w:rPr>
              <w:t>*(10)</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61.57</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48.92</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 per preferred share</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 per common share</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Payment rate </w:t>
            </w:r>
            <w:r>
              <w:rPr>
                <w:rFonts w:ascii="Times New Roman;serif" w:hAnsi="Times New Roman;serif"/>
                <w:b w:val="false"/>
                <w:color w:val="000000"/>
                <w:sz w:val="13"/>
              </w:rPr>
              <w:t>(11)</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Delinquency rate </w:t>
            </w:r>
            <w:r>
              <w:rPr>
                <w:rFonts w:ascii="Times New Roman;serif" w:hAnsi="Times New Roman;serif"/>
                <w:b w:val="false"/>
                <w:color w:val="000000"/>
                <w:sz w:val="13"/>
              </w:rPr>
              <w:t>(12)</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principal loss rate </w:t>
            </w:r>
            <w:r>
              <w:rPr>
                <w:rFonts w:ascii="Times New Roman;serif" w:hAnsi="Times New Roman;serif"/>
                <w:b w:val="false"/>
                <w:color w:val="000000"/>
                <w:sz w:val="13"/>
              </w:rPr>
              <w:t>(13)</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Reserve rate </w:t>
            </w:r>
            <w:r>
              <w:rPr>
                <w:rFonts w:ascii="Times New Roman;serif" w:hAnsi="Times New Roman;serif"/>
                <w:b w:val="false"/>
                <w:color w:val="000000"/>
                <w:sz w:val="13"/>
              </w:rPr>
              <w:t>(14)</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8"/>
        </w:rPr>
        <w:t xml:space="preserve">*Represents a Non-GAAP financial measure. See “Non-GAAP Financial Measures” and </w:t>
      </w:r>
      <w:r>
        <w:rPr>
          <w:rFonts w:ascii="Times New Roman;serif" w:hAnsi="Times New Roman;serif"/>
          <w:b/>
          <w:color w:val="000000"/>
          <w:sz w:val="18"/>
        </w:rPr>
        <w:t>Table 6: Reconciliation of GAAP to Non-GAAP Financial Measures</w:t>
      </w:r>
      <w:r>
        <w:rPr>
          <w:rFonts w:ascii="Times New Roman;serif" w:hAnsi="Times New Roman;serif"/>
          <w:b w:val="false"/>
          <w:color w:val="000000"/>
          <w:sz w:val="18"/>
        </w:rPr>
        <w:t>.</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PPNR represents Income from continuing operations before income taxes and the Provision for credit losses.</w:t>
      </w:r>
    </w:p>
    <w:p>
      <w:pPr>
        <w:pStyle w:val="TextBody"/>
        <w:bidi w:val="0"/>
        <w:spacing w:lineRule="auto" w:line="288" w:before="0" w:after="0"/>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Return on average assets represents annualized Income from continuing operations divided by average Total assets.</w:t>
      </w:r>
    </w:p>
    <w:p>
      <w:pPr>
        <w:pStyle w:val="TextBody"/>
        <w:bidi w:val="0"/>
        <w:spacing w:lineRule="auto" w:line="288" w:before="0" w:after="0"/>
        <w:ind w:left="0" w:right="0" w:hanging="360"/>
        <w:jc w:val="left"/>
        <w:rPr/>
      </w:pPr>
      <w:r>
        <w:rPr>
          <w:rFonts w:ascii="Times New Roman;serif" w:hAnsi="Times New Roman;serif"/>
          <w:b w:val="false"/>
          <w:color w:val="000000"/>
          <w:sz w:val="12"/>
        </w:rPr>
        <w:t>(3)</w:t>
      </w:r>
      <w:r>
        <w:rPr>
          <w:rFonts w:ascii="Times New Roman;serif" w:hAnsi="Times New Roman;serif"/>
          <w:b w:val="false"/>
          <w:color w:val="000000"/>
          <w:sz w:val="18"/>
        </w:rPr>
        <w:t>Return on average equity represents annualized Income from continuing operations divided by average Total stockholders’ equity.</w:t>
      </w:r>
    </w:p>
    <w:p>
      <w:pPr>
        <w:pStyle w:val="TextBody"/>
        <w:bidi w:val="0"/>
        <w:spacing w:lineRule="auto" w:line="288" w:before="0" w:after="0"/>
        <w:ind w:left="0" w:right="0" w:hanging="360"/>
        <w:jc w:val="left"/>
        <w:rPr/>
      </w:pPr>
      <w:r>
        <w:rPr>
          <w:rFonts w:ascii="Times New Roman;serif" w:hAnsi="Times New Roman;serif"/>
          <w:b w:val="false"/>
          <w:color w:val="000000"/>
          <w:sz w:val="12"/>
        </w:rPr>
        <w:t>(4)</w:t>
      </w:r>
      <w:r>
        <w:rPr>
          <w:rFonts w:ascii="Times New Roman;serif" w:hAnsi="Times New Roman;serif"/>
          <w:b w:val="false"/>
          <w:color w:val="000000"/>
          <w:sz w:val="18"/>
        </w:rPr>
        <w:t>Return on average tangible common equity (ROTCE) represents annualized Income from continuing operations, less Dividends to preferred stockholders, divided by average Tangible common equity. Tangible common equity (TCE) represents Total stockholders’ equity reduced by Preferred stock and Goodwill and intangible assets, net.</w:t>
      </w:r>
    </w:p>
    <w:p>
      <w:pPr>
        <w:pStyle w:val="TextBody"/>
        <w:bidi w:val="0"/>
        <w:spacing w:lineRule="auto" w:line="288" w:before="0" w:after="0"/>
        <w:ind w:left="0" w:right="0" w:hanging="360"/>
        <w:jc w:val="left"/>
        <w:rPr/>
      </w:pPr>
      <w:r>
        <w:rPr>
          <w:rFonts w:ascii="Times New Roman;serif" w:hAnsi="Times New Roman;serif"/>
          <w:b w:val="false"/>
          <w:color w:val="000000"/>
          <w:sz w:val="12"/>
        </w:rPr>
        <w:t>(5)</w:t>
      </w:r>
      <w:r>
        <w:rPr>
          <w:rFonts w:ascii="Times New Roman;serif" w:hAnsi="Times New Roman;serif"/>
          <w:b w:val="false"/>
          <w:color w:val="000000"/>
          <w:sz w:val="18"/>
        </w:rPr>
        <w:t xml:space="preserve">Net interest margin represents annualized Net interest income divided by average Total interest-earning assets. See also </w:t>
      </w:r>
      <w:r>
        <w:rPr>
          <w:rFonts w:ascii="Times New Roman;serif" w:hAnsi="Times New Roman;serif"/>
          <w:b/>
          <w:color w:val="000000"/>
          <w:sz w:val="18"/>
        </w:rPr>
        <w:t>Table 5: Net Interest Margin</w:t>
      </w:r>
      <w:r>
        <w:rPr>
          <w:rFonts w:ascii="Times New Roman;serif" w:hAnsi="Times New Roman;serif"/>
          <w:b w:val="false"/>
          <w:color w:val="000000"/>
          <w:sz w:val="18"/>
        </w:rPr>
        <w:t>.</w:t>
      </w:r>
    </w:p>
    <w:p>
      <w:pPr>
        <w:pStyle w:val="TextBody"/>
        <w:bidi w:val="0"/>
        <w:spacing w:lineRule="auto" w:line="288" w:before="0" w:after="0"/>
        <w:ind w:left="0" w:right="0" w:hanging="360"/>
        <w:jc w:val="left"/>
        <w:rPr/>
      </w:pPr>
      <w:r>
        <w:rPr>
          <w:rFonts w:ascii="Times New Roman;serif" w:hAnsi="Times New Roman;serif"/>
          <w:b w:val="false"/>
          <w:color w:val="000000"/>
          <w:sz w:val="12"/>
        </w:rPr>
        <w:t>(6)</w:t>
      </w:r>
      <w:r>
        <w:rPr>
          <w:rFonts w:ascii="Times New Roman;serif" w:hAnsi="Times New Roman;serif"/>
          <w:b w:val="false"/>
          <w:color w:val="000000"/>
          <w:sz w:val="18"/>
        </w:rPr>
        <w:t>Loan yield represents annualized Interest and fees on loans divided by Average credit card and other loans.</w:t>
      </w:r>
    </w:p>
    <w:p>
      <w:pPr>
        <w:pStyle w:val="TextBody"/>
        <w:bidi w:val="0"/>
        <w:spacing w:lineRule="auto" w:line="288" w:before="0" w:after="0"/>
        <w:ind w:left="0" w:right="0" w:hanging="360"/>
        <w:jc w:val="left"/>
        <w:rPr/>
      </w:pPr>
      <w:r>
        <w:rPr>
          <w:rFonts w:ascii="Times New Roman;serif" w:hAnsi="Times New Roman;serif"/>
          <w:b w:val="false"/>
          <w:color w:val="000000"/>
          <w:sz w:val="12"/>
        </w:rPr>
        <w:t>(7)</w:t>
      </w:r>
      <w:r>
        <w:rPr>
          <w:rFonts w:ascii="Times New Roman;serif" w:hAnsi="Times New Roman;serif"/>
          <w:b w:val="false"/>
          <w:color w:val="000000"/>
          <w:sz w:val="18"/>
        </w:rPr>
        <w:t>Efficiency ratio represents Total non-interest expenses divided by Total net interest and non-interest income.</w:t>
      </w:r>
    </w:p>
    <w:p>
      <w:pPr>
        <w:pStyle w:val="TextBody"/>
        <w:bidi w:val="0"/>
        <w:spacing w:lineRule="auto" w:line="288" w:before="0" w:after="0"/>
        <w:ind w:left="0" w:right="0" w:hanging="360"/>
        <w:jc w:val="left"/>
        <w:rPr/>
      </w:pPr>
      <w:r>
        <w:rPr>
          <w:rFonts w:ascii="Times New Roman;serif" w:hAnsi="Times New Roman;serif"/>
          <w:b w:val="false"/>
          <w:color w:val="000000"/>
          <w:sz w:val="12"/>
        </w:rPr>
        <w:t>(8)</w:t>
      </w:r>
      <w:r>
        <w:rPr>
          <w:rFonts w:ascii="Times New Roman;serif" w:hAnsi="Times New Roman;serif"/>
          <w:b w:val="false"/>
          <w:color w:val="000000"/>
          <w:sz w:val="18"/>
        </w:rPr>
        <w:t xml:space="preserve">Common equity tier 1 capital ratio represents tier 1 capital reduced by Preferred stock divided by total risk-weighted assets. In the calculation of tier 1 capital, we follow the Basel III Standardized Approach and therefore Total stockholders’ equity has been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reduced by Goodwill and intangible assets, net. For additional information, see “Legislative, Regulatory Matters and Capital Adequacy” included elsewhere in this report.</w:t>
      </w:r>
    </w:p>
    <w:p>
      <w:pPr>
        <w:pStyle w:val="TextBody"/>
        <w:bidi w:val="0"/>
        <w:spacing w:lineRule="auto" w:line="288" w:before="0" w:after="0"/>
        <w:ind w:left="0" w:right="0" w:hanging="360"/>
        <w:jc w:val="left"/>
        <w:rPr/>
      </w:pPr>
      <w:r>
        <w:rPr>
          <w:rFonts w:ascii="Times New Roman;serif" w:hAnsi="Times New Roman;serif"/>
          <w:b w:val="false"/>
          <w:color w:val="000000"/>
          <w:sz w:val="12"/>
        </w:rPr>
        <w:t>(9)</w:t>
      </w:r>
      <w:r>
        <w:rPr>
          <w:rFonts w:ascii="Times New Roman;serif" w:hAnsi="Times New Roman;serif"/>
          <w:b w:val="false"/>
          <w:color w:val="000000"/>
          <w:sz w:val="18"/>
        </w:rPr>
        <w:t>Book value per common share represents Total stockholders' equity less Preferred stock, divided by common shares outstanding.</w:t>
      </w:r>
    </w:p>
    <w:p>
      <w:pPr>
        <w:pStyle w:val="TextBody"/>
        <w:bidi w:val="0"/>
        <w:spacing w:lineRule="auto" w:line="288" w:before="0" w:after="0"/>
        <w:ind w:left="0" w:right="0" w:hanging="360"/>
        <w:jc w:val="left"/>
        <w:rPr/>
      </w:pPr>
      <w:r>
        <w:rPr>
          <w:rFonts w:ascii="Times New Roman;serif" w:hAnsi="Times New Roman;serif"/>
          <w:b w:val="false"/>
          <w:color w:val="000000"/>
          <w:sz w:val="12"/>
        </w:rPr>
        <w:t>(10)</w:t>
      </w:r>
      <w:r>
        <w:rPr>
          <w:rFonts w:ascii="Times New Roman;serif" w:hAnsi="Times New Roman;serif"/>
          <w:b w:val="false"/>
          <w:color w:val="000000"/>
          <w:sz w:val="18"/>
        </w:rPr>
        <w:t>Tangible book value per common share represents TCE divided by common shares outstanding.</w:t>
      </w:r>
    </w:p>
    <w:p>
      <w:pPr>
        <w:pStyle w:val="TextBody"/>
        <w:bidi w:val="0"/>
        <w:spacing w:lineRule="auto" w:line="288" w:before="0" w:after="0"/>
        <w:ind w:left="0" w:right="0" w:hanging="360"/>
        <w:jc w:val="left"/>
        <w:rPr/>
      </w:pPr>
      <w:r>
        <w:rPr>
          <w:rFonts w:ascii="Times New Roman;serif" w:hAnsi="Times New Roman;serif"/>
          <w:b w:val="false"/>
          <w:color w:val="000000"/>
          <w:sz w:val="12"/>
        </w:rPr>
        <w:t>(11)</w:t>
      </w:r>
      <w:r>
        <w:rPr>
          <w:rFonts w:ascii="Times New Roman;serif" w:hAnsi="Times New Roman;serif"/>
          <w:b w:val="false"/>
          <w:color w:val="000000"/>
          <w:sz w:val="18"/>
        </w:rPr>
        <w:t>Payment rate represents consumer payments during the period, divided by the aggregate of the opening monthly Credit card and other loans balances during the period, including held for sale in applicable periods.</w:t>
      </w:r>
    </w:p>
    <w:p>
      <w:pPr>
        <w:pStyle w:val="TextBody"/>
        <w:bidi w:val="0"/>
        <w:spacing w:lineRule="auto" w:line="288" w:before="0" w:after="0"/>
        <w:ind w:left="0" w:right="0" w:hanging="360"/>
        <w:jc w:val="left"/>
        <w:rPr/>
      </w:pPr>
      <w:r>
        <w:rPr>
          <w:rFonts w:ascii="Times New Roman;serif" w:hAnsi="Times New Roman;serif"/>
          <w:b w:val="false"/>
          <w:color w:val="000000"/>
          <w:sz w:val="12"/>
        </w:rPr>
        <w:t>(12)</w:t>
      </w:r>
      <w:r>
        <w:rPr>
          <w:rFonts w:ascii="Times New Roman;serif" w:hAnsi="Times New Roman;serif"/>
          <w:b w:val="false"/>
          <w:color w:val="000000"/>
          <w:sz w:val="18"/>
        </w:rPr>
        <w:t xml:space="preserve">Delinquency rate represents outstanding balances that are contractually delinquent (i.e., principal balances 30 days past due or more) as of the end of the period, divided by the outstanding principal amount of Credit card and other loans as of the same period-end. </w:t>
      </w:r>
    </w:p>
    <w:p>
      <w:pPr>
        <w:pStyle w:val="TextBody"/>
        <w:bidi w:val="0"/>
        <w:spacing w:lineRule="auto" w:line="288" w:before="0" w:after="0"/>
        <w:ind w:left="0" w:right="0" w:hanging="360"/>
        <w:jc w:val="left"/>
        <w:rPr/>
      </w:pPr>
      <w:r>
        <w:rPr>
          <w:rFonts w:ascii="Times New Roman;serif" w:hAnsi="Times New Roman;serif"/>
          <w:b w:val="false"/>
          <w:color w:val="000000"/>
          <w:sz w:val="12"/>
        </w:rPr>
        <w:t>(13)</w:t>
      </w:r>
      <w:r>
        <w:rPr>
          <w:rFonts w:ascii="Times New Roman;serif" w:hAnsi="Times New Roman;serif"/>
          <w:b w:val="false"/>
          <w:color w:val="000000"/>
          <w:sz w:val="18"/>
        </w:rPr>
        <w:t>Net principal loss rate, an annualized rate, represents net principal losses for the period divided by Average credit card and other loans for the same period, using an average daily balance calculation methodology.</w:t>
      </w:r>
    </w:p>
    <w:p>
      <w:pPr>
        <w:pStyle w:val="TextBody"/>
        <w:bidi w:val="0"/>
        <w:spacing w:lineRule="auto" w:line="288" w:before="0" w:after="0"/>
        <w:ind w:left="0" w:right="0" w:hanging="360"/>
        <w:jc w:val="left"/>
        <w:rPr/>
      </w:pPr>
      <w:r>
        <w:rPr>
          <w:rFonts w:ascii="Times New Roman;serif" w:hAnsi="Times New Roman;serif"/>
          <w:b w:val="false"/>
          <w:color w:val="000000"/>
          <w:sz w:val="12"/>
        </w:rPr>
        <w:t>(14)</w:t>
      </w:r>
      <w:r>
        <w:rPr>
          <w:rFonts w:ascii="Times New Roman;serif" w:hAnsi="Times New Roman;serif"/>
          <w:b w:val="false"/>
          <w:color w:val="000000"/>
          <w:sz w:val="18"/>
        </w:rPr>
        <w:t>Reserve rate represents the Allowance for credit losses divided by End-of-period credit card and other loans.</w:t>
      </w:r>
    </w:p>
    <w:p>
      <w:pPr>
        <w:pStyle w:val="TextBody"/>
        <w:bidi w:val="0"/>
        <w:spacing w:lineRule="auto" w:line="288" w:before="0" w:after="0"/>
        <w:ind w:left="0" w:right="0" w:hanging="360"/>
        <w:jc w:val="left"/>
        <w:rPr/>
      </w:pPr>
      <w:r>
        <w:rPr>
          <w:rFonts w:ascii="Times New Roman;serif" w:hAnsi="Times New Roman;serif"/>
          <w:b w:val="false"/>
          <w:color w:val="000000"/>
          <w:sz w:val="12"/>
        </w:rPr>
        <w:t xml:space="preserve">(nm) </w:t>
      </w:r>
      <w:r>
        <w:rPr>
          <w:rFonts w:ascii="Times New Roman;serif" w:hAnsi="Times New Roman;serif"/>
          <w:b w:val="false"/>
          <w:color w:val="000000"/>
          <w:sz w:val="18"/>
        </w:rPr>
        <w:t>Not meaningful, denoting a variance of 1,000 percent or more.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5: Net Interest Margin</w:t>
      </w:r>
    </w:p>
    <w:p>
      <w:pPr>
        <w:pStyle w:val="TextBody"/>
        <w:bidi w:val="0"/>
        <w:spacing w:before="0" w:after="0"/>
        <w:ind w:left="0" w:right="0" w:hanging="360"/>
        <w:jc w:val="left"/>
        <w:rPr/>
      </w:pPr>
      <w:r>
        <w:rPr/>
      </w:r>
    </w:p>
    <w:tbl>
      <w:tblPr>
        <w:tblW w:w="10205" w:type="dxa"/>
        <w:jc w:val="left"/>
        <w:tblInd w:w="0" w:type="dxa"/>
        <w:tblLayout w:type="fixed"/>
        <w:tblCellMar>
          <w:top w:w="28" w:type="dxa"/>
          <w:left w:w="28" w:type="dxa"/>
          <w:bottom w:w="28" w:type="dxa"/>
          <w:right w:w="28" w:type="dxa"/>
        </w:tblCellMar>
      </w:tblPr>
      <w:tblGrid>
        <w:gridCol w:w="859"/>
        <w:gridCol w:w="472"/>
        <w:gridCol w:w="436"/>
        <w:gridCol w:w="214"/>
        <w:gridCol w:w="707"/>
        <w:gridCol w:w="119"/>
        <w:gridCol w:w="109"/>
        <w:gridCol w:w="109"/>
        <w:gridCol w:w="109"/>
        <w:gridCol w:w="238"/>
        <w:gridCol w:w="677"/>
        <w:gridCol w:w="312"/>
        <w:gridCol w:w="109"/>
        <w:gridCol w:w="109"/>
        <w:gridCol w:w="109"/>
        <w:gridCol w:w="370"/>
        <w:gridCol w:w="229"/>
        <w:gridCol w:w="505"/>
        <w:gridCol w:w="109"/>
        <w:gridCol w:w="109"/>
        <w:gridCol w:w="109"/>
        <w:gridCol w:w="214"/>
        <w:gridCol w:w="707"/>
        <w:gridCol w:w="119"/>
        <w:gridCol w:w="109"/>
        <w:gridCol w:w="109"/>
        <w:gridCol w:w="109"/>
        <w:gridCol w:w="238"/>
        <w:gridCol w:w="677"/>
        <w:gridCol w:w="312"/>
        <w:gridCol w:w="109"/>
        <w:gridCol w:w="109"/>
        <w:gridCol w:w="109"/>
        <w:gridCol w:w="347"/>
        <w:gridCol w:w="241"/>
        <w:gridCol w:w="577"/>
      </w:tblGrid>
      <w:tr>
        <w:trPr/>
        <w:tc>
          <w:tcPr>
            <w:tcW w:w="85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r>
      <w:tr>
        <w:trPr/>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Income /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Yield /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Income /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Yield / Rate</w:t>
            </w:r>
          </w:p>
        </w:tc>
      </w:tr>
      <w:tr>
        <w:trPr/>
        <w:tc>
          <w:tcPr>
            <w:tcW w:w="1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 except percentages)</w:t>
            </w:r>
          </w:p>
        </w:tc>
        <w:tc>
          <w:tcPr>
            <w:tcW w:w="1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investment securities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 card and other loans</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18,283 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27.14 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18,164 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26.47 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interest-earning assets</w:t>
            </w:r>
          </w:p>
        </w:tc>
        <w:tc>
          <w:tcPr>
            <w:tcW w:w="9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22,467 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22.75 </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22,587 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22.10 </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Direct-to-consumer (retail) deposits</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Wholesale deposits</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Interest-bearing deposits</w:t>
            </w:r>
          </w:p>
        </w:tc>
        <w:tc>
          <w:tcPr>
            <w:tcW w:w="9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13,932 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4.31 </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Secured borrowings</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Unsecured borrowings</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Interest-bearing borrowings</w:t>
            </w:r>
          </w:p>
        </w:tc>
        <w:tc>
          <w:tcPr>
            <w:tcW w:w="9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6.02 </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6.68 </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interest-bearing liabilities</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5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18,296 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4.99 </w:t>
            </w:r>
          </w:p>
        </w:tc>
        <w:tc>
          <w:tcPr>
            <w:tcW w:w="5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interest income</w:t>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Net interest margin </w:t>
            </w:r>
            <w:r>
              <w:rPr>
                <w:rFonts w:ascii="Times New Roman;serif" w:hAnsi="Times New Roman;serif"/>
                <w:b/>
                <w:color w:val="000000"/>
                <w:sz w:val="12"/>
              </w:rPr>
              <w:t>(1)</w:t>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19.25 </w:t>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18.06 </w:t>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Net interest margin represents annualized Net interest income divided by average Total interest-earning assets.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6: Reconciliation of GAAP to Non-GAAP Financial Measures</w:t>
      </w:r>
    </w:p>
    <w:p>
      <w:pPr>
        <w:pStyle w:val="TextBody"/>
        <w:bidi w:val="0"/>
        <w:spacing w:before="0" w:after="0"/>
        <w:jc w:val="left"/>
        <w:rPr/>
      </w:pPr>
      <w:r>
        <w:rPr/>
      </w:r>
    </w:p>
    <w:tbl>
      <w:tblPr>
        <w:tblW w:w="9027" w:type="dxa"/>
        <w:jc w:val="left"/>
        <w:tblInd w:w="0" w:type="dxa"/>
        <w:tblLayout w:type="fixed"/>
        <w:tblCellMar>
          <w:top w:w="28" w:type="dxa"/>
          <w:left w:w="28" w:type="dxa"/>
          <w:bottom w:w="28" w:type="dxa"/>
          <w:right w:w="28" w:type="dxa"/>
        </w:tblCellMar>
      </w:tblPr>
      <w:tblGrid>
        <w:gridCol w:w="1470"/>
        <w:gridCol w:w="1295"/>
        <w:gridCol w:w="1299"/>
        <w:gridCol w:w="252"/>
        <w:gridCol w:w="716"/>
        <w:gridCol w:w="140"/>
        <w:gridCol w:w="140"/>
        <w:gridCol w:w="140"/>
        <w:gridCol w:w="140"/>
        <w:gridCol w:w="252"/>
        <w:gridCol w:w="716"/>
        <w:gridCol w:w="140"/>
        <w:gridCol w:w="140"/>
        <w:gridCol w:w="140"/>
        <w:gridCol w:w="140"/>
        <w:gridCol w:w="290"/>
        <w:gridCol w:w="290"/>
        <w:gridCol w:w="291"/>
        <w:gridCol w:w="109"/>
        <w:gridCol w:w="109"/>
        <w:gridCol w:w="109"/>
        <w:gridCol w:w="109"/>
        <w:gridCol w:w="109"/>
        <w:gridCol w:w="491"/>
      </w:tblGrid>
      <w:tr>
        <w:trPr/>
        <w:tc>
          <w:tcPr>
            <w:tcW w:w="147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or 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4"/>
            <w:tcBorders/>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 except percentages)</w:t>
            </w:r>
          </w:p>
        </w:tc>
        <w:tc>
          <w:tcPr>
            <w:tcW w:w="11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Pretax pre-provision earnings (PPNR)</w:t>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continuing operations before income taxes</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Pretax pre-provision earnings (PPNR)</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Average tangible common equity</w:t>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Average total stockholders’ equity</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Average preferred stock</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Average goodwill and intangible assets, net</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tangible common equity</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2,676 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2,502 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Tangible common equity (TCE)</w:t>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Preferred stock</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Goodwill and intangible assets, net</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Tangible common equity (TCE)</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2,545 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2,330 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jc w:val="left"/>
        <w:rPr/>
      </w:pPr>
      <w:r>
        <w:rPr>
          <w:rFonts w:ascii="Times New Roman;serif" w:hAnsi="Times New Roman;serif"/>
          <w:b w:val="false"/>
          <w:color w:val="000000"/>
          <w:sz w:val="12"/>
        </w:rPr>
        <w:t xml:space="preserve">(nm) </w:t>
      </w:r>
      <w:r>
        <w:rPr>
          <w:rFonts w:ascii="Times New Roman;serif" w:hAnsi="Times New Roman;serif"/>
          <w:b w:val="false"/>
          <w:color w:val="000000"/>
          <w:sz w:val="18"/>
        </w:rPr>
        <w:t>Not meaningful, denoting a variance of 1,000 percent or more.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ASSET QUALITY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Given the nature of our business, the credit quality of our assets, in particular our Credit card and other loans, is a key determinant underlying our ongoing financial performance and overall financial condition. When it comes to our Credit card and other loans portfolio, we closely monitor Delinquency rates and Net principal loss rates, which reflect, among other factors, our underwriting, the inherent credit risk in our portfolio and the success of our collection and recovery efforts. These rates also reflect, more broadly, the general macroeconomic conditions, including the compounding effect of persistent inflation relative to wage growth, and higher interest rates. Our Delinquency rates and Net principal loss rates are also impacted by the size of our Credit card and other loans portfolio, which serves as the denominator in the calculation of these rates. Accordingly, changes in the size of our portfolio (whether due to credit tightening, acquisitions or dispositions of portfolios, or otherwise) may cause movements in our Delinquency and Net principal loss rates that are not necessarily indicative of the underlying credit quality of the overall portfolio.</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Delinquencies:</w:t>
      </w:r>
      <w:r>
        <w:rPr>
          <w:color w:val="000000"/>
        </w:rPr>
        <w:t xml:space="preserve"> </w:t>
      </w:r>
      <w:r>
        <w:rPr>
          <w:rFonts w:ascii="Times New Roman;serif" w:hAnsi="Times New Roman;serif"/>
          <w:b w:val="false"/>
          <w:color w:val="000000"/>
          <w:sz w:val="20"/>
        </w:rPr>
        <w:t>An account is contractually delinquent if we do not receive the minimum payment due by the specified due date. Our policy is to continue to accrue interest and fee income on all accounts, except in limited circumstances, until the balance and all related interest and fees are paid or charged-off. After an account becomes 30 days past due, a proprietary collection scoring algorithm automatically scores the risk of the account becoming further delinquent; based upon the level of risk indicated, a collection strategy is deployed, which may include tech-enabled, targeted collections strategies to engage with cardholders in the most efficient communication channel. If after exhausting all in-house collection efforts we are unable to collect on the account, we may engage collection agencies or outside attorneys to continue those efforts, or sell the charged-off balances.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Delinquency rate is calculated by dividing outstanding principal balances that are contractually delinquent (i.e., principal balances 30 days past due or more) as of the end of the period, by the outstanding principal amount of Credit card and other loans as of the same period-end.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delinquency trends on our Credit card and other loans portfolio based on the principal balances outstanding as of the dates presented: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Table 7: Delinquency Trends on Credit Card and Other Loans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75"/>
        <w:gridCol w:w="1284"/>
        <w:gridCol w:w="1288"/>
        <w:gridCol w:w="251"/>
        <w:gridCol w:w="861"/>
        <w:gridCol w:w="130"/>
        <w:gridCol w:w="109"/>
        <w:gridCol w:w="109"/>
        <w:gridCol w:w="109"/>
        <w:gridCol w:w="360"/>
        <w:gridCol w:w="361"/>
        <w:gridCol w:w="483"/>
        <w:gridCol w:w="109"/>
        <w:gridCol w:w="109"/>
        <w:gridCol w:w="109"/>
        <w:gridCol w:w="296"/>
        <w:gridCol w:w="1014"/>
        <w:gridCol w:w="153"/>
        <w:gridCol w:w="109"/>
        <w:gridCol w:w="109"/>
        <w:gridCol w:w="109"/>
        <w:gridCol w:w="360"/>
        <w:gridCol w:w="361"/>
        <w:gridCol w:w="547"/>
      </w:tblGrid>
      <w:tr>
        <w:trPr/>
        <w:tc>
          <w:tcPr>
            <w:tcW w:w="1475"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4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r>
      <w:tr>
        <w:trPr/>
        <w:tc>
          <w:tcPr>
            <w:tcW w:w="40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 except percentages)</w:t>
            </w:r>
          </w:p>
        </w:tc>
        <w:tc>
          <w:tcPr>
            <w:tcW w:w="12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card and other loans outstanding ─ principal</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balances contractually delinquent:</w:t>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 to 59 days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60 to 89 days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 or more days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4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5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our collections strategy, we may offer temporary and short term programs in order to improve the likelihood of collections and meet the needs of our customers. Our modifications, for customers who have requested assistance and meet certain qualifying requirements, come in the form of reduced payment requirements, interest rate reductions and late fee waivers. We do not offer programs involving the forgiveness of principal. These temporary loan modifications may assist in cases where we believe the customer will recover from the short-term hardship and resume scheduled payments. Under these consumer relief programs, those accounts receiving relief may not advance to the next delinquency cycle, including charge-off, in the same time frame that would have occurred had the relief not been granted. We evaluate our consumer relief programs to determine if they represent a more than insignificant delay in payment granted to borrowers experiencing financial difficulty, in which case they would then be considered a Loan Modification. For additional information, see Note 2 “Credit Card and Other Loans – Modified Credit Card Loans” to our unaudited Consolidated Financial Statements.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Net Principal Losses: </w:t>
      </w:r>
      <w:r>
        <w:rPr>
          <w:rFonts w:ascii="Times New Roman;serif" w:hAnsi="Times New Roman;serif"/>
          <w:b w:val="false"/>
          <w:color w:val="000000"/>
          <w:sz w:val="20"/>
        </w:rPr>
        <w:t>Our net principal losses include the principal amount of Credit card and other loans that are deemed uncollectible, less recoveries, and exclude charged-off interest, fees and third-party fraud losses (including synthetic fraud). Charged-off interest and fees reduce Interest and fees on loans, while third-party fraud losses are recorded in Card and processing expenses. Our credit card loans, including unpaid interest and fees, are generally charged-off in the month during which an account becomes 180 days past due. Our pay-over-time products, which include installment loans and “split-pay” offerings, including unpaid interest, are generally charged-off when a loan becomes 120 days past due. However, in the case of a customer bankruptcy or death, Credit card and other loans, including unpaid interest and fees, as applicable, are charged-off 60 days after receipt of the notification of the bankruptcy or death, but in any case no later than 180 days past due for credit card loans and 120 days past due for installment loans and “split-pay” offerings.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Net principal loss rate is calculated by dividing net principal losses for the period by the Average credit card and other loans for the same period, using an average daily balance calculation methodology. The following table provides our net principal losses for the periods presented: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Table 8: Net Principal Losses on Credit Card and Other Loans </w:t>
      </w:r>
    </w:p>
    <w:p>
      <w:pPr>
        <w:pStyle w:val="TextBody"/>
        <w:bidi w:val="0"/>
        <w:spacing w:before="0" w:after="0"/>
        <w:jc w:val="left"/>
        <w:rPr/>
      </w:pPr>
      <w:r>
        <w:rPr/>
      </w:r>
    </w:p>
    <w:tbl>
      <w:tblPr>
        <w:tblW w:w="9273" w:type="dxa"/>
        <w:jc w:val="left"/>
        <w:tblInd w:w="0" w:type="dxa"/>
        <w:tblLayout w:type="fixed"/>
        <w:tblCellMar>
          <w:top w:w="28" w:type="dxa"/>
          <w:left w:w="28" w:type="dxa"/>
          <w:bottom w:w="28" w:type="dxa"/>
          <w:right w:w="28" w:type="dxa"/>
        </w:tblCellMar>
      </w:tblPr>
      <w:tblGrid>
        <w:gridCol w:w="2191"/>
        <w:gridCol w:w="1931"/>
        <w:gridCol w:w="1937"/>
        <w:gridCol w:w="211"/>
        <w:gridCol w:w="721"/>
        <w:gridCol w:w="271"/>
        <w:gridCol w:w="109"/>
        <w:gridCol w:w="109"/>
        <w:gridCol w:w="109"/>
        <w:gridCol w:w="211"/>
        <w:gridCol w:w="721"/>
        <w:gridCol w:w="271"/>
        <w:gridCol w:w="109"/>
        <w:gridCol w:w="109"/>
        <w:gridCol w:w="109"/>
        <w:gridCol w:w="154"/>
      </w:tblGrid>
      <w:tr>
        <w:trPr/>
        <w:tc>
          <w:tcPr>
            <w:tcW w:w="2191"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 except percentages)</w:t>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credit card and other loans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principal losses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principal losses as a percentage of average credit card and other loans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maintain a strong focus on liquidity and capital. Our funding, liquidity and capital policies are designed to ensure that our business has sufficient liquidity and capital resources necessary to support our daily operations, our business growth, and our credit ratings related to our Parent Company’s senior unsecured notes, subordinated notes, preferred stock and our public secured financings, and meet our regulatory and policy requirements, including capital and leverage ratio requirements applicable to Comenity Bank (CB) and Comenity Capital Bank (CCB) under Federal Deposit Insurance Corporation regulations, in a cost effective and prudent manner through both expected and unexpected market environments.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primary sources of liquidity include cash generated from operating activities, our bank credit facility, issuances of senior or subordinated unsecured notes and preferred stock by our Parent Company, as well as financings through our securitization programs, and deposits with the Banks. In particular, our DTC deposits increased 10% year-over-year to $8.7 billion as of March 31, 2026, with our average direct-to-consumer deposits representing 48% of total funding, up from 43% a year ago. More broadly, we continuously evaluate opportunities to renew and expand our various sources of liquidity. We aim to satisfy our financing needs with a diverse set of funding sources, and we seek to maintain diversity of funding sources by type of instrument, by tenor and by investor base, among other factors, which we believe will mitigate the impact of disruptions in any one type of instrument, tenor or investor.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primary uses of liquidity are for underwriting Credit card and other loans, scheduled payments of principal and interest on our debt, operational expenses, capital expenditures, including digital and product innovation and technology enhancements, repurchases of equity and debt securities, and payments of dividends.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have in the past, and may from time to time in the future, retire or repurchase our outstanding debt, including our senior or subordinated unsecured notes, through redemptions, cash purchases or exchanges for other securities, in open market purchases, tender offers, privately negotiated transactions or otherwise. Such repurchases or exchanges would depend on prevailing market conditions, our liquidity requirements, contractual restrictions and other factors, and may be funded through cash on hand, borrowings under our revolving credit facility, the issuance of new debt securities or other sources of liquidity. The amounts involved may be material.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will also need additional financing in the future to repay or refinance our existing debt at or prior to maturity, and to fund our growth, which may include the issuance of additional debt or equity securities or engaging in other capital markets or financing transactions. In 2025, as part of our financing strategy and capital structure optimization, we issued our inaugural series of subordinated notes and publicly-traded preferred stock, and in the future we may continue to seek to further optimize our capital structure. Given the maturities of certain of our outstanding debt instruments and depending on the prevailing macroeconomic conditions, it is possible that we may be required to repay, extend or refinance some or all of our future debt maturities in volatile and/or unfavorable markets.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Because of the alternatives available to us, as discussed above, we believe our short-term and long-term sources of liquidity are adequate to fund not only our current operations, but also our near-term and long-term funding requirements including dividend payments, debt service obligations and repayment of debt maturities and other amounts that may ultimately be paid in connection with contingencies. However, the adequacy of our liquidity could be impacted by various factors, including pending or future legislation, regulation or litigation, macroeconomic conditions and volatility in the financial and capital markets, limiting our access to or increasing our cost of capital, which could make capital unavailable, or available but on terms that are unfavorable to us. These factors could significantly reduce our financial flexibility and cause us to contract or not grow our business, which could have a material adverse effect on our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have a robust liquidity risk management framework in place which includes ongoing monitoring of our liquidity and funding positions against our risk appetite metrics and key risk indicators. During times where there may be potential risks from adverse developments in the banking industry and/or increased financial sector volatility, we may invoke our contingency funding plans to enhance daily monitoring of our liquidity and funding positions, determine potential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mitigating actions, if necessary, and provide enhanced reporting to our Boards of Directors, at both the Bread Financial and Bank-levels, and regulators.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maintain a significant majority of our liquidity portfolio on deposit within the Federal Reserve banking system, and we also have a small investment securities portfolio, classified as available-for-sale, which we hold in relation to the Community Reinvestment Act. We do not have any investment securities classified as held-to-maturity.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Credit Ratings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obtain credit ratings for our Parent Company from the three major credit rating agencies, Moody’s Investor Services (Moody’s), Standard &amp; Poor’s (S&amp;P) and Fitch Ratings (Fitch), in order to facilitate debt financings and broaden the investor base for our Parent Company debt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management approach is designed, among other things, to maintain appropriate and stable credit ratings from the credit rating agencies which help support our access to cost-effective unsecured funding as a component of our overall 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provides a summary of the credit ratings for the outstanding senior unsecured debt, subordinated debt and preferred stock of Bread Financial Holdings, Inc. In October 2025 all three credit rating agencies issued their updated credit ratings and related outlooks, which remain unchanged as of March 31, 2026, and were as follows:</w:t>
      </w:r>
    </w:p>
    <w:p>
      <w:pPr>
        <w:pStyle w:val="TextBody"/>
        <w:bidi w:val="0"/>
        <w:spacing w:before="0" w:after="0"/>
        <w:jc w:val="left"/>
        <w:rPr/>
      </w:pPr>
      <w:r>
        <w:rPr/>
      </w:r>
    </w:p>
    <w:tbl>
      <w:tblPr>
        <w:tblW w:w="6291" w:type="dxa"/>
        <w:jc w:val="left"/>
        <w:tblInd w:w="0" w:type="dxa"/>
        <w:tblLayout w:type="fixed"/>
        <w:tblCellMar>
          <w:top w:w="28" w:type="dxa"/>
          <w:left w:w="28" w:type="dxa"/>
          <w:bottom w:w="28" w:type="dxa"/>
          <w:right w:w="28" w:type="dxa"/>
        </w:tblCellMar>
      </w:tblPr>
      <w:tblGrid>
        <w:gridCol w:w="983"/>
        <w:gridCol w:w="863"/>
        <w:gridCol w:w="869"/>
        <w:gridCol w:w="109"/>
        <w:gridCol w:w="109"/>
        <w:gridCol w:w="109"/>
        <w:gridCol w:w="109"/>
        <w:gridCol w:w="109"/>
        <w:gridCol w:w="109"/>
        <w:gridCol w:w="280"/>
        <w:gridCol w:w="280"/>
        <w:gridCol w:w="281"/>
        <w:gridCol w:w="109"/>
        <w:gridCol w:w="109"/>
        <w:gridCol w:w="109"/>
        <w:gridCol w:w="275"/>
        <w:gridCol w:w="244"/>
        <w:gridCol w:w="247"/>
        <w:gridCol w:w="109"/>
        <w:gridCol w:w="109"/>
        <w:gridCol w:w="109"/>
        <w:gridCol w:w="193"/>
        <w:gridCol w:w="193"/>
        <w:gridCol w:w="275"/>
      </w:tblGrid>
      <w:tr>
        <w:trPr/>
        <w:tc>
          <w:tcPr>
            <w:tcW w:w="98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9" w:type="dxa"/>
            <w:gridSpan w:val="18"/>
            <w:tcBorders/>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Bread Financial Holdings,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Moody’s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S&amp;P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Fitch</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BB</w:t>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Subordinated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B+</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B1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B-</w:t>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Outlook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Positive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Positive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Stable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also seek to maintain appropriate and stable credit ratings for our credit card securitizations issued through World Financial Network Credit Card Master Note Trust (WFNMNT) from the rating agencies (DBRS, S&amp;P and Fitch). The table below provides a summary of the structured finance credit ratings for certain of the asset-backed securities, specifically the outstanding Class A notes of WFNMNT as of March 31, 2026:</w:t>
      </w:r>
    </w:p>
    <w:p>
      <w:pPr>
        <w:pStyle w:val="TextBody"/>
        <w:bidi w:val="0"/>
        <w:spacing w:before="0" w:after="0"/>
        <w:jc w:val="left"/>
        <w:rPr/>
      </w:pPr>
      <w:r>
        <w:rPr/>
      </w:r>
    </w:p>
    <w:tbl>
      <w:tblPr>
        <w:tblW w:w="3775" w:type="dxa"/>
        <w:jc w:val="left"/>
        <w:tblInd w:w="0" w:type="dxa"/>
        <w:tblLayout w:type="fixed"/>
        <w:tblCellMar>
          <w:top w:w="28" w:type="dxa"/>
          <w:left w:w="28" w:type="dxa"/>
          <w:bottom w:w="28" w:type="dxa"/>
          <w:right w:w="28" w:type="dxa"/>
        </w:tblCellMar>
      </w:tblPr>
      <w:tblGrid>
        <w:gridCol w:w="440"/>
        <w:gridCol w:w="387"/>
        <w:gridCol w:w="388"/>
        <w:gridCol w:w="274"/>
        <w:gridCol w:w="274"/>
        <w:gridCol w:w="276"/>
        <w:gridCol w:w="109"/>
        <w:gridCol w:w="109"/>
        <w:gridCol w:w="109"/>
        <w:gridCol w:w="169"/>
        <w:gridCol w:w="169"/>
        <w:gridCol w:w="173"/>
        <w:gridCol w:w="109"/>
        <w:gridCol w:w="109"/>
        <w:gridCol w:w="109"/>
        <w:gridCol w:w="167"/>
        <w:gridCol w:w="167"/>
        <w:gridCol w:w="237"/>
      </w:tblGrid>
      <w:tr>
        <w:trPr/>
        <w:tc>
          <w:tcPr>
            <w:tcW w:w="44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WFNMNT</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DBRS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S&amp;P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Fitch</w:t>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notes</w:t>
            </w:r>
          </w:p>
        </w:tc>
        <w:tc>
          <w:tcPr>
            <w:tcW w:w="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AAA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AAA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AAA</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Does not include our Series 2024-B public asset-backed-notes.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Credit ratings are not a recommendation to buy or hold any securities and they may be revised or revoked at any time at the sole discretion of the rating agency. Downgrades in the ratings of our unsecured or secured debt could result in higher funding costs, as well as reductions in our borrowing capacity in the unsecured or secured debt markets. We believe our mix of funding, including the proportion of our DTC and wholesale deposits, to total funding, reduces the impact that a credit rating downgrade could have on our funding costs and capacity.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Funding 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referenced above, our primary sources of liquidity include cash generated from operating activities, our bank credit facility, issuances of senior or subordinated unsecured notes and preferred stock by our Parent Company, as well as financings through our securitization programs, and deposits with the Banks.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Certain of our long-term debt agreements include various restrictive financial and non-financial covenants. If we do not comply with certain of these covenants and an event of default occurs and remains uncured, the maturity of amounts outstanding may be accelerated and become payable, and, with respect to our credit agreement, the associated commitments may be terminated. As of March 31, 2026, we were in compliance with all such covenants.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Credit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October 2024, we entered into our amended credit agreement with the Parent Company, as borrower, certain of our domestic subsidiaries, as guarantors, JPMorgan Chase Bank, N.A., as administrative agent and lender, and various other financial institutions, as lenders, which provides for a $700 million senior unsecured revolving credit facility (the Revolving Credit Facility), which matures in October 2028. As of March 31, 2026, our Revolving Credit Facility was undrawn and all $700 million remained available for future borrowings.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Senior and Subordinated Unsecured Notes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our outstanding Long-term and other debt, consisting of senior and subordinated unsecured notes, as of March 31,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9: Long-term and other debt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89"/>
        <w:gridCol w:w="618"/>
        <w:gridCol w:w="626"/>
        <w:gridCol w:w="109"/>
        <w:gridCol w:w="109"/>
        <w:gridCol w:w="109"/>
        <w:gridCol w:w="430"/>
        <w:gridCol w:w="424"/>
        <w:gridCol w:w="386"/>
        <w:gridCol w:w="109"/>
        <w:gridCol w:w="109"/>
        <w:gridCol w:w="109"/>
        <w:gridCol w:w="292"/>
        <w:gridCol w:w="292"/>
        <w:gridCol w:w="294"/>
        <w:gridCol w:w="109"/>
        <w:gridCol w:w="109"/>
        <w:gridCol w:w="109"/>
        <w:gridCol w:w="301"/>
        <w:gridCol w:w="301"/>
        <w:gridCol w:w="303"/>
        <w:gridCol w:w="109"/>
        <w:gridCol w:w="109"/>
        <w:gridCol w:w="109"/>
        <w:gridCol w:w="537"/>
        <w:gridCol w:w="1190"/>
        <w:gridCol w:w="281"/>
        <w:gridCol w:w="109"/>
        <w:gridCol w:w="109"/>
        <w:gridCol w:w="109"/>
        <w:gridCol w:w="379"/>
        <w:gridCol w:w="840"/>
        <w:gridCol w:w="287"/>
      </w:tblGrid>
      <w:tr>
        <w:trPr/>
        <w:tc>
          <w:tcPr>
            <w:tcW w:w="78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Issuance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Amount Originally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Outstanding</w:t>
            </w:r>
          </w:p>
        </w:tc>
      </w:tr>
      <w:tr>
        <w:trPr/>
        <w:tc>
          <w:tcPr>
            <w:tcW w:w="2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due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May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6.750%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Subordinated notes due 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March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June 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8.375%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first quarter of 2026, we repurchased $50 million in aggregate principal amount of the 8.375% Fixed-Rate Reset Subordinated Notes Due 2035 in the open market with cash on hand.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Deposits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Banks use a variety of deposit products to finance their operating activities, including funding for non-securitized credit card and other loans, and to fund their securitization enhancement requirements. The Banks offer DTC retail deposit products, including Individual Retirement Accounts, as well as deposits sourced through contractual arrangements with various financial counterparties (often referred to as wholesale deposits, and includes brokered deposits) and various non-maturity deposit products that are generally redeemable on demand by the customer, and as such have no scheduled maturity date. The Banks have also issued certificates of deposit with scheduled maturity dates ranging between April 2026 and March 2031, in denominations of at least $1,000, on which interest is paid either monthly or at maturity. The following table summarizes these retail and wholesale deposit products by type and associated attributes as of the dates presented: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10: Interest-bearing Deposits</w:t>
      </w:r>
    </w:p>
    <w:p>
      <w:pPr>
        <w:pStyle w:val="TextBody"/>
        <w:bidi w:val="0"/>
        <w:spacing w:before="0" w:after="0"/>
        <w:jc w:val="left"/>
        <w:rPr/>
      </w:pPr>
      <w:r>
        <w:rPr/>
      </w:r>
    </w:p>
    <w:tbl>
      <w:tblPr>
        <w:tblW w:w="5876" w:type="dxa"/>
        <w:jc w:val="left"/>
        <w:tblInd w:w="0" w:type="dxa"/>
        <w:tblLayout w:type="fixed"/>
        <w:tblCellMar>
          <w:top w:w="28" w:type="dxa"/>
          <w:left w:w="28" w:type="dxa"/>
          <w:bottom w:w="28" w:type="dxa"/>
          <w:right w:w="28" w:type="dxa"/>
        </w:tblCellMar>
      </w:tblPr>
      <w:tblGrid>
        <w:gridCol w:w="976"/>
        <w:gridCol w:w="860"/>
        <w:gridCol w:w="863"/>
        <w:gridCol w:w="229"/>
        <w:gridCol w:w="782"/>
        <w:gridCol w:w="294"/>
        <w:gridCol w:w="109"/>
        <w:gridCol w:w="109"/>
        <w:gridCol w:w="109"/>
        <w:gridCol w:w="261"/>
        <w:gridCol w:w="893"/>
        <w:gridCol w:w="391"/>
      </w:tblGrid>
      <w:tr>
        <w:trPr/>
        <w:tc>
          <w:tcPr>
            <w:tcW w:w="97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 except percentages)</w:t>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Deposits</w:t>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Direct-to-consumer (retail)</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8,708 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8,522 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5,340 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5,369 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interest-bearing deposits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14,048 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13,891 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Non-maturity deposit products</w:t>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Non-maturity deposits</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8,011 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7,700 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range</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- 4.00%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- 4.05%</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interest rate</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Certificates of deposit</w:t>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6,037 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6,191 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range</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- 5.25%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- 5.31%</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interest rate</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retail deposits that exceeded applicable Federal Deposit Insurance Corporation (FDIC) insurance limits, which are generally $250,000 per depositor, per insured bank, per ownership category, were estimated to be $658 million (5% of Total deposits) and $638 million (5% of Total deposits), respectively. The measurement of estimated uninsured deposits aligns with regulatory guidelines.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Securitization Programs Including Conduit Facilities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sell the majority of the credit card loans originated by the Banks to certain of our master trusts (the Trusts). These securitization programs are a principal vehicle through which we finance the Banks’ credit card loans. For this purpose, we use a combination of public term asset-backed notes and private conduit facilities (the Conduit Facilities) with a consortium of lenders, including domestic money center, regional and international banks. Both our public term asset-backed notes and borrowings under the Conduit Facilities are included in Debt issued by consolidated Variable Interest Entities (VIEs) in the Consolidated Balance Sheets.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our conduit capacities, borrowings and maturities for the periods presented: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11: Conduit Borrowing Capacity Rollforward and Maturities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56"/>
        <w:gridCol w:w="660"/>
        <w:gridCol w:w="665"/>
        <w:gridCol w:w="109"/>
        <w:gridCol w:w="109"/>
        <w:gridCol w:w="109"/>
        <w:gridCol w:w="211"/>
        <w:gridCol w:w="616"/>
        <w:gridCol w:w="109"/>
        <w:gridCol w:w="109"/>
        <w:gridCol w:w="109"/>
        <w:gridCol w:w="109"/>
        <w:gridCol w:w="211"/>
        <w:gridCol w:w="616"/>
        <w:gridCol w:w="109"/>
        <w:gridCol w:w="109"/>
        <w:gridCol w:w="109"/>
        <w:gridCol w:w="109"/>
        <w:gridCol w:w="305"/>
        <w:gridCol w:w="587"/>
        <w:gridCol w:w="159"/>
        <w:gridCol w:w="109"/>
        <w:gridCol w:w="109"/>
        <w:gridCol w:w="109"/>
        <w:gridCol w:w="211"/>
        <w:gridCol w:w="616"/>
        <w:gridCol w:w="109"/>
        <w:gridCol w:w="109"/>
        <w:gridCol w:w="109"/>
        <w:gridCol w:w="109"/>
        <w:gridCol w:w="211"/>
        <w:gridCol w:w="616"/>
        <w:gridCol w:w="109"/>
        <w:gridCol w:w="109"/>
        <w:gridCol w:w="109"/>
        <w:gridCol w:w="109"/>
        <w:gridCol w:w="400"/>
        <w:gridCol w:w="398"/>
        <w:gridCol w:w="569"/>
      </w:tblGrid>
      <w:tr>
        <w:trPr/>
        <w:tc>
          <w:tcPr>
            <w:tcW w:w="75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Conduit 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Capacity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Drawn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Capacity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Drawn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Maturity Date</w:t>
            </w:r>
            <w:r>
              <w:rPr>
                <w:color w:val="000000"/>
              </w:rPr>
              <w:t xml:space="preserve"> </w:t>
            </w:r>
            <w:r>
              <w:rPr>
                <w:rFonts w:ascii="Times New Roman;serif" w:hAnsi="Times New Roman;serif"/>
                <w:b/>
                <w:color w:val="000000"/>
                <w:sz w:val="10"/>
              </w:rPr>
              <w:t>(3)</w:t>
            </w:r>
          </w:p>
        </w:tc>
      </w:tr>
      <w:tr>
        <w:trPr/>
        <w:tc>
          <w:tcPr>
            <w:tcW w:w="2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Comenity Bank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WFNMNT 2009-VFN</w:t>
            </w:r>
            <w:r>
              <w:rPr>
                <w:color w:val="000000"/>
              </w:rPr>
              <w:t xml:space="preser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October 2026</w:t>
            </w:r>
          </w:p>
        </w:tc>
      </w:tr>
      <w:tr>
        <w:trPr/>
        <w:tc>
          <w:tcPr>
            <w:tcW w:w="2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2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Comenity Capital Bank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WFCMNT 2009-VFN</w:t>
            </w:r>
            <w:r>
              <w:rPr>
                <w:color w:val="000000"/>
              </w:rPr>
              <w:t xml:space="preserve">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2027</w:t>
            </w:r>
          </w:p>
        </w:tc>
      </w:tr>
      <w:tr>
        <w:trPr/>
        <w:tc>
          <w:tcPr>
            <w:tcW w:w="2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2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2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__________________________________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2009-VFN Conduit issued under World Financial Network Credit Card Master Note Trust (WFNMNT).</w:t>
      </w:r>
    </w:p>
    <w:p>
      <w:pPr>
        <w:pStyle w:val="TextBody"/>
        <w:bidi w:val="0"/>
        <w:spacing w:lineRule="auto" w:line="288" w:before="0" w:after="0"/>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2009-VFN Conduit issued under World Financial Capital Master Note Trust (WFCMNT).</w:t>
      </w:r>
    </w:p>
    <w:p>
      <w:pPr>
        <w:pStyle w:val="TextBody"/>
        <w:bidi w:val="0"/>
        <w:spacing w:lineRule="auto" w:line="288" w:before="0" w:after="0"/>
        <w:ind w:left="0" w:right="0" w:hanging="360"/>
        <w:jc w:val="left"/>
        <w:rPr/>
      </w:pPr>
      <w:r>
        <w:rPr>
          <w:rFonts w:ascii="Times New Roman;serif" w:hAnsi="Times New Roman;serif"/>
          <w:b w:val="false"/>
          <w:color w:val="000000"/>
          <w:sz w:val="12"/>
        </w:rPr>
        <w:t>(3)</w:t>
      </w:r>
      <w:r>
        <w:rPr>
          <w:rFonts w:ascii="Times New Roman;serif" w:hAnsi="Times New Roman;serif"/>
          <w:b w:val="false"/>
          <w:color w:val="000000"/>
          <w:sz w:val="18"/>
        </w:rPr>
        <w:t>Maturity Date with respect to conduit borrowings means the date on which the revolving period for the applicable Conduit Facility expires. The revolving period may be extended or renewed (unless an early amortization event occurs prior to the Maturity Date). Absent the extension or renewal of the revolving period, the Conduit Facility shall enter controlled amortization on the Maturity Date and may no longer be drawn upon.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March 31, 2026, we had approximately $10.1 billion of securitized credit card loans. Securitizations require credit enhancements in the form of cash, spread deposits, additional loans and subordinated classes. The credit enhancement is principally based on the outstanding balances of the series issued by the Trusts and by the performance of the credit card loans in the Trusts.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Early amortization events as defined within each asset-backed securitization transaction are generally driven by asset performance. We do not believe it is reasonably likely that an early amortization event will occur due to asset performance. However, if an early amortization event were declared for a Trust, the trustee of the particular Trust would retain the interest in the loans along with the excess spread that would otherwise be paid to our Bank subsidiary until the investors were fully repaid. The occurrence of an early amortization event would significantly limit or negate our ability to securitize additional credit card loans.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secured and continue to secure the necessary commitments to fund our credit card and other loans. However, certain of these commitments are short-term in nature and subject to renewal. There is no guarantee that these funding sources, when they mature, will be renewed on similar terms, or at all, as they are dependent on the availability of the asset-backed securitization and deposit markets at the time.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Regulation RR (Credit Risk Retention) adopted by the FDIC, the SEC, the FRB and certain other federal regulators mandates a minimum five percent risk retention requirement for securitizations. Such risk retention requirements may limit our liquidity by restricting the amount of asset-backed securities we are able to issue or affecting the timing of future issuances of asset-backed securities. We satisfy such risk retention requirements by maintaining a seller’s interest calculated in accordance with Regulation RR.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Equity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Preferred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2025, we authorized and issued 75,000 shares of preferred stock as depositary shares (the Depositary Shares) for gross proceeds of $75 million, with each Depositary Share representing a 1/40th interest in our Series A 8.625% Non-Cumulative Perpetual Preferred Stock, par value $0.01 per share (the Series A Preferred Stock). The Series A Preferred Stock has a liquidation preference of $25 per Depositary Share (equivalent to $1,000 per share of Series A Preferred Stock) and as of both March 31, 2026 and December 31, 2025, the aggregate liquidation value was $75 million.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Stock Repurchase Authorizations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Periodically, we repurchase shares of our common stock pursuant to Board-approved share repurchase authorizations. The rationale for our repurchase authorizations, and the amounts thereof, is to execute against our previously disclosed capital priorities to grow responsibly, maintain balance sheet strength, and return value to stockholders.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our common stock repurchases under our various Board-approved share repurchase authorizations, for the periods presented: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12: Authorized Share Repurchases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43"/>
        <w:gridCol w:w="477"/>
        <w:gridCol w:w="480"/>
        <w:gridCol w:w="109"/>
        <w:gridCol w:w="109"/>
        <w:gridCol w:w="109"/>
        <w:gridCol w:w="437"/>
        <w:gridCol w:w="968"/>
        <w:gridCol w:w="229"/>
        <w:gridCol w:w="109"/>
        <w:gridCol w:w="109"/>
        <w:gridCol w:w="109"/>
        <w:gridCol w:w="545"/>
        <w:gridCol w:w="545"/>
        <w:gridCol w:w="546"/>
        <w:gridCol w:w="109"/>
        <w:gridCol w:w="109"/>
        <w:gridCol w:w="109"/>
        <w:gridCol w:w="584"/>
        <w:gridCol w:w="1292"/>
        <w:gridCol w:w="302"/>
        <w:gridCol w:w="109"/>
        <w:gridCol w:w="109"/>
        <w:gridCol w:w="109"/>
        <w:gridCol w:w="491"/>
        <w:gridCol w:w="1088"/>
        <w:gridCol w:w="370"/>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 Authorized for Repurchase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Number of Shares Repurchased</w:t>
            </w:r>
            <w:r>
              <w:rPr>
                <w:color w:val="000000"/>
              </w:rPr>
              <w:t xml:space="preserv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 xml:space="preserve">Approximate Dollar Value of Shares Repurchased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 Remaining for Future Repurchases</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the 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Upon repurchase, these shares were retired and ceased to be outstanding shares of common stock, and are now treated as authorized but unissued shares of common stock. Does not include the 1.5 million shares that were retired in connection with the termination of our Capped Call transactions, discussed below.</w:t>
      </w:r>
    </w:p>
    <w:p>
      <w:pPr>
        <w:pStyle w:val="TextBody"/>
        <w:bidi w:val="0"/>
        <w:spacing w:lineRule="auto" w:line="288" w:before="0" w:after="0"/>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Excludes excise taxes on stock repurchases.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Capped Call Transactions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prior issuance of our 4.25% Convertible Senior Notes due 2028 (Convertible Notes), we entered into privately negotiated capped call (Capped Call) transactions with certain financial institution counterparties in June 2023. At that time, these transactions were expected generally to reduce potential dilution to our common stock upon any conversion of Convertible Notes and/or offset any cash payments we were required to make in excess of the principal amount of the Convertible Notes, with such reduction and/or offset subject to a cap, based on the cap price. As of December 31, 2025, all of the Capped Call transactions remained outstanding, notwithstanding that no Convertible Notes were outstanding at that time. For additional information on the June 2023 issuance of our Convertible Notes and the subsequent repurchases in 2024 and 2025, as well as information on our Capped Call transactions, refer to Note 10, “Borrowings of Long-Term and Other Debt” to the audited Consolidated Financial Statements included in our Annual Reports on Form 10-K for the years ended December 31, 2025 and 2024.</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 February 2026 we entered into a separate, privately negotiated termination agreement (each, a Capped Call Unwind Agreement) with each financial institution counterparty to the Capped Call transactions, thereby terminating all of the outstanding Capped Call transactions, and resulting in the receipt of an aggregate of 1.5 million shares of our common stock, with a value of $111 million, from the Capped Call counterparties pursuant to the Capped Call Unwind Agreements. Following their receipt, these shares were retired and ceased to be outstanding shares of common stock, and are now treated as authorized but unissued shares of common stock.</w:t>
      </w:r>
      <w:r>
        <w:rPr>
          <w:color w:val="EE2724"/>
        </w:rPr>
        <w:t xml:space="preserv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Dividends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the cash dividend activity we had on our preferred and common stock for the dates presented: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13: Dividends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04"/>
        <w:gridCol w:w="620"/>
        <w:gridCol w:w="622"/>
        <w:gridCol w:w="281"/>
        <w:gridCol w:w="281"/>
        <w:gridCol w:w="281"/>
        <w:gridCol w:w="579"/>
        <w:gridCol w:w="579"/>
        <w:gridCol w:w="564"/>
        <w:gridCol w:w="109"/>
        <w:gridCol w:w="109"/>
        <w:gridCol w:w="109"/>
        <w:gridCol w:w="316"/>
        <w:gridCol w:w="923"/>
        <w:gridCol w:w="163"/>
        <w:gridCol w:w="109"/>
        <w:gridCol w:w="109"/>
        <w:gridCol w:w="109"/>
        <w:gridCol w:w="253"/>
        <w:gridCol w:w="307"/>
        <w:gridCol w:w="131"/>
        <w:gridCol w:w="109"/>
        <w:gridCol w:w="109"/>
        <w:gridCol w:w="109"/>
        <w:gridCol w:w="353"/>
        <w:gridCol w:w="856"/>
        <w:gridCol w:w="181"/>
        <w:gridCol w:w="109"/>
        <w:gridCol w:w="109"/>
        <w:gridCol w:w="109"/>
        <w:gridCol w:w="259"/>
        <w:gridCol w:w="445"/>
        <w:gridCol w:w="199"/>
      </w:tblGrid>
      <w:tr>
        <w:trPr/>
        <w:tc>
          <w:tcPr>
            <w:tcW w:w="704"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511"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r>
      <w:tr>
        <w:trPr/>
        <w:tc>
          <w:tcPr>
            <w:tcW w:w="1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Dividend Declaration Date</w:t>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Dividend 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Amount</w:t>
            </w:r>
            <w:r>
              <w:rPr>
                <w:color w:val="000000"/>
              </w:rPr>
              <w:t xml:space="preserve"> </w:t>
            </w:r>
            <w:r>
              <w:rPr>
                <w:rFonts w:ascii="Times New Roman;serif" w:hAnsi="Times New Roman;serif"/>
                <w:b/>
                <w:color w:val="000000"/>
                <w:sz w:val="10"/>
              </w:rPr>
              <w:t>(1)</w:t>
            </w:r>
          </w:p>
        </w:tc>
      </w:tr>
      <w:tr>
        <w:trPr/>
        <w:tc>
          <w:tcPr>
            <w:tcW w:w="1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29, 2026</w:t>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16,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6"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1946"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1946"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1946"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Excludes dividend equivalent rights paid during the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April 23, 2026, our Board of Directors declared a quarterly cash dividend of $21.56 per share on our preferred stock and $0.23 per share on our common stock, each payable on June 15, 2026, to stockholders of record at the close of business on May 29,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Contractual Obligations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the normal course of business, we enter into various contractual obligations that may require future cash payments, the vast majority of which relate to deposits, debt issued by consolidated VIEs, long-term and other debt, and operating contracts and leases.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believe that we will have access to sufficient resources to meet these commitments.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summarizes our cash flow activity for the periods indicated, followed by a discussion of the variance drivers impacting our Operating, Investing and Financing activities: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14: Cash Flows</w:t>
      </w:r>
    </w:p>
    <w:p>
      <w:pPr>
        <w:pStyle w:val="TextBody"/>
        <w:bidi w:val="0"/>
        <w:spacing w:before="0" w:after="0"/>
        <w:jc w:val="left"/>
        <w:rPr/>
      </w:pPr>
      <w:r>
        <w:rPr/>
      </w:r>
    </w:p>
    <w:tbl>
      <w:tblPr>
        <w:tblW w:w="7153" w:type="dxa"/>
        <w:jc w:val="left"/>
        <w:tblInd w:w="0" w:type="dxa"/>
        <w:tblLayout w:type="fixed"/>
        <w:tblCellMar>
          <w:top w:w="28" w:type="dxa"/>
          <w:left w:w="28" w:type="dxa"/>
          <w:bottom w:w="28" w:type="dxa"/>
          <w:right w:w="28" w:type="dxa"/>
        </w:tblCellMar>
      </w:tblPr>
      <w:tblGrid>
        <w:gridCol w:w="1705"/>
        <w:gridCol w:w="1496"/>
        <w:gridCol w:w="1508"/>
        <w:gridCol w:w="261"/>
        <w:gridCol w:w="596"/>
        <w:gridCol w:w="135"/>
        <w:gridCol w:w="135"/>
        <w:gridCol w:w="135"/>
        <w:gridCol w:w="135"/>
        <w:gridCol w:w="261"/>
        <w:gridCol w:w="596"/>
        <w:gridCol w:w="190"/>
      </w:tblGrid>
      <w:tr>
        <w:trPr/>
        <w:tc>
          <w:tcPr>
            <w:tcW w:w="1705"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9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cash provided by (used in):</w:t>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329</w:t>
            </w:r>
            <w:r>
              <w:rPr>
                <w:color w:val="000000"/>
              </w:rPr>
              <w:t>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522</w:t>
            </w:r>
            <w:r>
              <w:rPr>
                <w:color w:val="000000"/>
              </w:rPr>
              <w:t>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Cash Flows from Operating Activities </w:t>
      </w:r>
      <w:r>
        <w:rPr>
          <w:rFonts w:ascii="Times New Roman;serif" w:hAnsi="Times New Roman;serif"/>
          <w:b w:val="false"/>
          <w:color w:val="000000"/>
          <w:sz w:val="20"/>
        </w:rPr>
        <w:t>primarily include Net income adjusted for (i) non-cash items included in Net income, such as Provision for credit losses, Depreciation and amortization, deferred taxes and other non-cash items, and (ii) changes in the balances of operating assets and liabilities, which can fluctuate in the normal course of business due to the amount and timing of payments. We generated Cash flows from operating activities of $487 million and $393 million for the three months ended March 31, 2026 and 2025, respectively. The Net cash provided by operating activities during these periods was primarily driven by cash generated from Net income after adjusting for the Provision for credit losses.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Cash Flows from Investing Activities</w:t>
      </w:r>
      <w:r>
        <w:rPr>
          <w:color w:val="000000"/>
        </w:rPr>
        <w:t xml:space="preserve"> </w:t>
      </w:r>
      <w:r>
        <w:rPr>
          <w:rFonts w:ascii="Times New Roman;serif" w:hAnsi="Times New Roman;serif"/>
          <w:b w:val="false"/>
          <w:color w:val="000000"/>
          <w:sz w:val="20"/>
        </w:rPr>
        <w:t>primarily include changes in Credit card and other loans. Cash provided by investing activities was $317 million and $691 million for the three months ended March 31, 2026 and 2025, respectively. The Net cash provided by investing activities during these periods was primarily due to the seasonal paydown of Credit card and other loans.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Cash Flows from Financing Activities</w:t>
      </w:r>
      <w:r>
        <w:rPr>
          <w:color w:val="000000"/>
        </w:rPr>
        <w:t xml:space="preserve"> </w:t>
      </w:r>
      <w:r>
        <w:rPr>
          <w:rFonts w:ascii="Times New Roman;serif" w:hAnsi="Times New Roman;serif"/>
          <w:b w:val="false"/>
          <w:color w:val="000000"/>
          <w:sz w:val="20"/>
        </w:rPr>
        <w:t>primarily include changes in deposits and long-term debt. Cash used in financing activities was $475 million and $562 million for the three months ended March 31, 2026 and 2025, respectively. The Net cash used in financing activities during the three months ended March 31, 2026 was primarily driven by repayments of debt issued by consolidated variable interest entities (i.e., securitizations) and the repurchases of common stock and subordinated debt, partially offset by a net increase in deposits. For the three months ended March 31, 2025 the net cash used in financing activities was primarily driven by repayments of debt issued by consolidated variable interest entities and the repurchases of common stock, partially offset by the net issuance of unsecured borrowings under debt agreements.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INFLATION AND SEASONALITY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Although we cannot precisely determine the impact of inflation on our operations, we have generally sought to rely on operating efficiencies from scale, technology modernization and digital advancement along with other operational excellence initiatives, as well as expansion in lower cost jurisdictions to offset increased costs of employee compensation and other operating expenses impacted by inflation. We also recognize that a customer’s ability and willingness to repay us has been negatively impacted by factors such as recent inflation and higher interest rates, and any persistent effects therefrom, which may result in higher delinquencies and increased credit losses, as reflected in our elevated Reserve rate. If the efforts to control inflation in the U.S. and globally are not successful and inflationary pressures continue to persist, including due to changes to, or the imposition of, tariffs and/or trade barriers and recent increases in energy prices, they could further increase repayment pressure on consumers as well as the risk of a recessionary environment or stagflation which may adversely impact our business,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With respect to seasonality, our revenues, earnings and cash flows are affected by increased consumer spending patterns leading up to and including the holiday shopping season in the fourth quarter of each year and, to a lesser extent, during the first quarter of each year as Credit card and other loans are paid down. Net principal loss rates for our Credit card and other loans portfolio also have historically exhibited seasonal patterns and generally tend to be the highest in the first quarter of the year and lowest in the third quarter. While the effects of the seasonal trends discussed above remain evident, macroeconomic trends, such as those discussed within the Business Environment sections of our quarterly and annual reports on Form 10-Q and Form 10-K generally have a more significant impact on our key financial metrics and can outweigh any seasonal impacts that we may experience.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LEGISLATIVE, REGULATORY MATTERS AND CAPITAL ADEQUACY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extensive federal and state laws and regulations, as well as related regulation and supervision, including by the FDIC, CFPB and other federal and state authorities. Pending and future laws and regulations (federal and state) may adversely impact our business. Without limiting the foregoing, CB is subject to various regulatory capital requirements administered by the Delaware Office of the State Bank Commissioner and the FDIC. CCB is also subject to various regulatory capital requirements administered by the Utah Department of Financial Institutions and the FDIC. Failure to meet minimum capital requirements can trigger certain mandatory and possibly additional discretionary actions by our regulators. Under capital adequacy guidelines and the regulatory framework for prompt corrective action, both Banks must meet specific capital guidelines that involve quantitative measures of their assets and liabilities as calculated under regulatory accounting practices. The capital amounts and classification are also subject to qualitative judgments by these regulators about components, risk weightings and other factors. In addition, both Banks are limited in the amounts they can pay as dividends to the Parent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Quantitative measures, established by regulations to ensure capital adequacy, require the Banks to maintain minimum amounts and ratios of Tier 1 capital to average assets, and Common equity tier 1, Tier 1 capital and Total capital, each to risk-weighted assets. Failure to meet these minimum capital requirements can result in certain mandatory, and possibly additional discretionary actions by the Banks’ regulators that if undertaken, could have a direct material effect on CB’s and/or CCB’s operating activities, as well as our operating activities. Based on these regulations, as of March 31, 2026 and 2025, each Bank met all capital requirements to which it was subject, and maintained capital ratios in excess of the minimums required to qualify as well capitalized. The Banks seek to maintain capital levels and ratios in excess of the minimum regulatory requirements inclusive of the 2.5% Capital Conservation Buffer. Although Bread Financial is not a bank holding company as defined under the Bank Holding Company Act, we seek to maintain capital levels and ratios in excess of the minimums required for bank holding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December 17, 2025, we filed applications with the federal and respective state banking regulators for permission to merge CB with and into CCB, with CCB being the surviving entity. Pending regulatory approval and the expiration of any applicable waiting periods, the merger of CB and CCB is expected to occur in the second half of 2026. The merger is not expected to have a significant impact on our consolidated financial position, results of operations, or liquidity. For additional discussion, refer to “Part I, Item 1. Business — Supervision and Regulation — Planned Merger of CB with and into CCB” in our 2025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actual capital ratios and minimum ratios for the Company, as well as each Bank, as of the periods presented: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Table 15: Capital Ratios </w:t>
      </w:r>
    </w:p>
    <w:p>
      <w:pPr>
        <w:pStyle w:val="TextBody"/>
        <w:bidi w:val="0"/>
        <w:spacing w:before="0" w:after="0"/>
        <w:jc w:val="left"/>
        <w:rPr/>
      </w:pPr>
      <w:r>
        <w:rPr/>
      </w:r>
    </w:p>
    <w:tbl>
      <w:tblPr>
        <w:tblW w:w="10204" w:type="dxa"/>
        <w:jc w:val="left"/>
        <w:tblInd w:w="0" w:type="dxa"/>
        <w:tblLayout w:type="fixed"/>
        <w:tblCellMar>
          <w:top w:w="28" w:type="dxa"/>
          <w:left w:w="28" w:type="dxa"/>
          <w:bottom w:w="28" w:type="dxa"/>
          <w:right w:w="28" w:type="dxa"/>
        </w:tblCellMar>
      </w:tblPr>
      <w:tblGrid>
        <w:gridCol w:w="1133"/>
        <w:gridCol w:w="999"/>
        <w:gridCol w:w="1002"/>
        <w:gridCol w:w="221"/>
        <w:gridCol w:w="755"/>
        <w:gridCol w:w="284"/>
        <w:gridCol w:w="109"/>
        <w:gridCol w:w="109"/>
        <w:gridCol w:w="109"/>
        <w:gridCol w:w="263"/>
        <w:gridCol w:w="899"/>
        <w:gridCol w:w="338"/>
        <w:gridCol w:w="109"/>
        <w:gridCol w:w="109"/>
        <w:gridCol w:w="109"/>
        <w:gridCol w:w="337"/>
        <w:gridCol w:w="337"/>
        <w:gridCol w:w="840"/>
        <w:gridCol w:w="109"/>
        <w:gridCol w:w="109"/>
        <w:gridCol w:w="109"/>
        <w:gridCol w:w="370"/>
        <w:gridCol w:w="370"/>
        <w:gridCol w:w="1075"/>
      </w:tblGrid>
      <w:tr>
        <w:trPr/>
        <w:tc>
          <w:tcPr>
            <w:tcW w:w="1133"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Ratio/Dollar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Minimum Ratio for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Capital Adequacy</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Purposes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Minimum Ratio to be</w:t>
              <w:br/>
              <w:t>Well Capitalized under</w:t>
              <w:br/>
              <w:t>Prompt Corrective</w:t>
              <w:br/>
              <w:t>Action Provisions</w:t>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 except percentages)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Company</w:t>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Common equity tier 1 capital ratio </w:t>
            </w:r>
            <w:r>
              <w:rPr>
                <w:rFonts w:ascii="Times New Roman;serif" w:hAnsi="Times New Roman;serif"/>
                <w:b w:val="false"/>
                <w:color w:val="000000"/>
                <w:sz w:val="13"/>
              </w:rPr>
              <w:t>(1)</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8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3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84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Tier 1 capital ratio </w:t>
            </w:r>
            <w:r>
              <w:rPr>
                <w:rFonts w:ascii="Times New Roman;serif" w:hAnsi="Times New Roman;serif"/>
                <w:b w:val="false"/>
                <w:color w:val="000000"/>
                <w:sz w:val="13"/>
              </w:rPr>
              <w:t>(2)</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risk-based capital ratio </w:t>
            </w:r>
            <w:r>
              <w:rPr>
                <w:rFonts w:ascii="Times New Roman;serif" w:hAnsi="Times New Roman;serif"/>
                <w:b w:val="false"/>
                <w:color w:val="000000"/>
                <w:sz w:val="13"/>
              </w:rPr>
              <w:t>(3)</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8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Tier 1 leverage capital ratio </w:t>
            </w:r>
            <w:r>
              <w:rPr>
                <w:rFonts w:ascii="Times New Roman;serif" w:hAnsi="Times New Roman;serif"/>
                <w:b w:val="false"/>
                <w:color w:val="000000"/>
                <w:sz w:val="13"/>
              </w:rPr>
              <w:t>(4)</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risk-weighted assets </w:t>
            </w:r>
            <w:r>
              <w:rPr>
                <w:rFonts w:ascii="Times New Roman;serif" w:hAnsi="Times New Roman;serif"/>
                <w:b w:val="false"/>
                <w:color w:val="000000"/>
                <w:sz w:val="13"/>
              </w:rPr>
              <w:t>(5)</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19,352 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19,755 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Comenity Bank</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Common equity tier 1 capital ratio </w:t>
            </w:r>
            <w:r>
              <w:rPr>
                <w:rFonts w:ascii="Times New Roman;serif" w:hAnsi="Times New Roman;serif"/>
                <w:b w:val="false"/>
                <w:color w:val="000000"/>
                <w:sz w:val="13"/>
              </w:rPr>
              <w:t>(1)</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28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3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84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7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Tier 1 capital ratio </w:t>
            </w:r>
            <w:r>
              <w:rPr>
                <w:rFonts w:ascii="Times New Roman;serif" w:hAnsi="Times New Roman;serif"/>
                <w:b w:val="false"/>
                <w:color w:val="000000"/>
                <w:sz w:val="13"/>
              </w:rPr>
              <w:t>(2)</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8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risk-based capital ratio </w:t>
            </w:r>
            <w:r>
              <w:rPr>
                <w:rFonts w:ascii="Times New Roman;serif" w:hAnsi="Times New Roman;serif"/>
                <w:b w:val="false"/>
                <w:color w:val="000000"/>
                <w:sz w:val="13"/>
              </w:rPr>
              <w:t>(3)</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Tier 1 leverage capital ratio </w:t>
            </w:r>
            <w:r>
              <w:rPr>
                <w:rFonts w:ascii="Times New Roman;serif" w:hAnsi="Times New Roman;serif"/>
                <w:b w:val="false"/>
                <w:color w:val="000000"/>
                <w:sz w:val="13"/>
              </w:rPr>
              <w:t>(4)</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8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Comenity Capital Bank</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Common equity tier 1 capital ratio </w:t>
            </w:r>
            <w:r>
              <w:rPr>
                <w:rFonts w:ascii="Times New Roman;serif" w:hAnsi="Times New Roman;serif"/>
                <w:b w:val="false"/>
                <w:color w:val="000000"/>
                <w:sz w:val="13"/>
              </w:rPr>
              <w:t>(1)</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8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3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84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7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Tier 1 capital ratio </w:t>
            </w:r>
            <w:r>
              <w:rPr>
                <w:rFonts w:ascii="Times New Roman;serif" w:hAnsi="Times New Roman;serif"/>
                <w:b w:val="false"/>
                <w:color w:val="000000"/>
                <w:sz w:val="13"/>
              </w:rPr>
              <w:t>(2)</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8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risk-based capital ratio </w:t>
            </w:r>
            <w:r>
              <w:rPr>
                <w:rFonts w:ascii="Times New Roman;serif" w:hAnsi="Times New Roman;serif"/>
                <w:b w:val="false"/>
                <w:color w:val="000000"/>
                <w:sz w:val="13"/>
              </w:rPr>
              <w:t>(3)</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Tier 1 leverage capital ratio </w:t>
            </w:r>
            <w:r>
              <w:rPr>
                <w:rFonts w:ascii="Times New Roman;serif" w:hAnsi="Times New Roman;serif"/>
                <w:b w:val="false"/>
                <w:color w:val="000000"/>
                <w:sz w:val="13"/>
              </w:rPr>
              <w:t>(4)</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8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20"/>
        </w:rPr>
        <w:t>*</w:t>
      </w:r>
      <w:r>
        <w:rPr>
          <w:rFonts w:ascii="Times New Roman;serif" w:hAnsi="Times New Roman;serif"/>
          <w:b w:val="false"/>
          <w:color w:val="000000"/>
          <w:sz w:val="18"/>
        </w:rPr>
        <w:t>The listed capital adequacy ratios exclude the Capital Conservation Buffer.</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Common equity tier 1 capital ratio represents tier 1 capital reduced by Preferred stock divided by total risk-weighted assets. In the calculation of tier 1 capital, we follow the Basel III Standardized Approach and therefore Total stockholders’ equity has been reduced by Goodwill and intangible assets, net. See below for a reconciliation of our Total stockholders’ equity under GAAP to tier 1 and tier 2 capital under the Basel III Standardized Approach.</w:t>
      </w:r>
    </w:p>
    <w:p>
      <w:pPr>
        <w:pStyle w:val="TextBody"/>
        <w:bidi w:val="0"/>
        <w:spacing w:lineRule="auto" w:line="288" w:before="0" w:after="0"/>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Tier 1 capital ratio represents tier 1 capital divided by total risk-weighted assets. In the calculation of tier 1 capital, we follow the Basel III Standardized Approach and therefore Total stockholders’ equity has been reduced, primarily by Goodwill and intangible assets, net. For us, tier 1 capital is primarily comprised of CET1 capital and Preferred stock. See below for a reconciliation of our Total stockholders’ equity under GAAP to tier 1 and tier 2 capital under the Basel III Standardized Approach.</w:t>
      </w:r>
    </w:p>
    <w:p>
      <w:pPr>
        <w:pStyle w:val="TextBody"/>
        <w:bidi w:val="0"/>
        <w:spacing w:lineRule="auto" w:line="288" w:before="0" w:after="0"/>
        <w:ind w:left="0" w:right="0" w:hanging="360"/>
        <w:jc w:val="left"/>
        <w:rPr/>
      </w:pPr>
      <w:r>
        <w:rPr>
          <w:rFonts w:ascii="Times New Roman;serif" w:hAnsi="Times New Roman;serif"/>
          <w:b w:val="false"/>
          <w:color w:val="000000"/>
          <w:sz w:val="12"/>
        </w:rPr>
        <w:t>(3)</w:t>
      </w:r>
      <w:r>
        <w:rPr>
          <w:rFonts w:ascii="Times New Roman;serif" w:hAnsi="Times New Roman;serif"/>
          <w:b w:val="false"/>
          <w:color w:val="000000"/>
          <w:sz w:val="18"/>
        </w:rPr>
        <w:t>Total risk-based capital ratio represents total capital divided by total risk-weighted assets. In the calculation of total capital, we follow the Basel III Standardized Approach and therefore tier 1 capital has been increased by tier 2 capital, which for us is comprised of subordinated notes, as well as the allowable portion of the Allowance for credit losses. See below for a reconciliation of our Total stockholders’ equity under GAAP to tier 1 and tier 2 capital under the Basel III Standardized Approach.</w:t>
      </w:r>
    </w:p>
    <w:p>
      <w:pPr>
        <w:pStyle w:val="TextBody"/>
        <w:bidi w:val="0"/>
        <w:spacing w:lineRule="auto" w:line="288" w:before="0" w:after="0"/>
        <w:ind w:left="0" w:right="0" w:hanging="360"/>
        <w:jc w:val="left"/>
        <w:rPr/>
      </w:pPr>
      <w:r>
        <w:rPr>
          <w:rFonts w:ascii="Times New Roman;serif" w:hAnsi="Times New Roman;serif"/>
          <w:b w:val="false"/>
          <w:color w:val="000000"/>
          <w:sz w:val="12"/>
        </w:rPr>
        <w:t>(4)</w:t>
      </w:r>
      <w:r>
        <w:rPr>
          <w:rFonts w:ascii="Times New Roman;serif" w:hAnsi="Times New Roman;serif"/>
          <w:b w:val="false"/>
          <w:color w:val="000000"/>
          <w:sz w:val="18"/>
        </w:rPr>
        <w:t>Tier 1 leverage capital ratio represents tier 1 capital divided by total average assets, after certain adjustments.</w:t>
      </w:r>
    </w:p>
    <w:p>
      <w:pPr>
        <w:pStyle w:val="TextBody"/>
        <w:bidi w:val="0"/>
        <w:spacing w:lineRule="auto" w:line="288" w:before="0" w:after="0"/>
        <w:ind w:left="0" w:right="0" w:hanging="360"/>
        <w:jc w:val="left"/>
        <w:rPr/>
      </w:pPr>
      <w:r>
        <w:rPr>
          <w:rFonts w:ascii="Times New Roman;serif" w:hAnsi="Times New Roman;serif"/>
          <w:b w:val="false"/>
          <w:color w:val="000000"/>
          <w:sz w:val="12"/>
        </w:rPr>
        <w:t>(5)</w:t>
      </w:r>
      <w:r>
        <w:rPr>
          <w:rFonts w:ascii="Times New Roman;serif" w:hAnsi="Times New Roman;serif"/>
          <w:b w:val="false"/>
          <w:color w:val="000000"/>
          <w:sz w:val="18"/>
        </w:rPr>
        <w:t>Total risk-weighted assets are generally measured by allocating assets, and specified off-balance sheet exposures, to various risk categories as defined by the Basel III Standardized Approach.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our Total stockholders’ equity under GAAP to Basel III Standardized Approach Common equity tier 1 capital, Tier 1 capital, Tier 2 capital and Total capital, as of the date presented: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16: Capital Reconciliations</w:t>
      </w:r>
    </w:p>
    <w:tbl>
      <w:tblPr>
        <w:tblW w:w="4693" w:type="dxa"/>
        <w:jc w:val="left"/>
        <w:tblInd w:w="0" w:type="dxa"/>
        <w:tblLayout w:type="fixed"/>
        <w:tblCellMar>
          <w:top w:w="28" w:type="dxa"/>
          <w:left w:w="28" w:type="dxa"/>
          <w:bottom w:w="28" w:type="dxa"/>
          <w:right w:w="28" w:type="dxa"/>
        </w:tblCellMar>
      </w:tblPr>
      <w:tblGrid>
        <w:gridCol w:w="1226"/>
        <w:gridCol w:w="1078"/>
        <w:gridCol w:w="1085"/>
        <w:gridCol w:w="276"/>
        <w:gridCol w:w="827"/>
        <w:gridCol w:w="201"/>
      </w:tblGrid>
      <w:tr>
        <w:trPr/>
        <w:tc>
          <w:tcPr>
            <w:tcW w:w="122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common stockholders’ equity</w:t>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3,253</w:t>
            </w: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Goodwill </w:t>
            </w:r>
            <w:r>
              <w:rPr>
                <w:rFonts w:ascii="Times New Roman;serif" w:hAnsi="Times New Roman;serif"/>
                <w:b w:val="false"/>
                <w:color w:val="000000"/>
                <w:sz w:val="13"/>
              </w:rPr>
              <w:t>(1)</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Common equity tier 1 capital</w:t>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2,575</w:t>
            </w: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Tier 1 capital</w:t>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2,647</w:t>
            </w: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Subordinated notes</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Qualifying allowance for credit losses </w:t>
            </w:r>
            <w:r>
              <w:rPr>
                <w:rFonts w:ascii="Times New Roman;serif" w:hAnsi="Times New Roman;serif"/>
                <w:b w:val="false"/>
                <w:color w:val="000000"/>
                <w:sz w:val="13"/>
              </w:rPr>
              <w:t>(2)</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Tier 2 capital</w:t>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614</w:t>
            </w: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capital</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3,261</w:t>
            </w:r>
            <w:r>
              <w:rPr>
                <w:color w:val="000000"/>
              </w:rPr>
              <w:t>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Goodwill, net of the related $41 million deferred tax liability.</w:t>
      </w:r>
    </w:p>
    <w:p>
      <w:pPr>
        <w:pStyle w:val="TextBody"/>
        <w:bidi w:val="0"/>
        <w:spacing w:lineRule="auto" w:line="288" w:before="0" w:after="0"/>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Represents the allowable portion of the Allowance for credit losses, which is a maximum of 1.25% of RWA.</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changes in our Basel III Standardized Approach Common equity tier 1 capital, Tier 1 capital and Tier 2 capital for the period presented: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17: Capital Rollforwards</w:t>
      </w:r>
    </w:p>
    <w:tbl>
      <w:tblPr>
        <w:tblW w:w="6111" w:type="dxa"/>
        <w:jc w:val="left"/>
        <w:tblInd w:w="0" w:type="dxa"/>
        <w:tblLayout w:type="fixed"/>
        <w:tblCellMar>
          <w:top w:w="28" w:type="dxa"/>
          <w:left w:w="28" w:type="dxa"/>
          <w:bottom w:w="28" w:type="dxa"/>
          <w:right w:w="28" w:type="dxa"/>
        </w:tblCellMar>
      </w:tblPr>
      <w:tblGrid>
        <w:gridCol w:w="1553"/>
        <w:gridCol w:w="1361"/>
        <w:gridCol w:w="1375"/>
        <w:gridCol w:w="351"/>
        <w:gridCol w:w="1027"/>
        <w:gridCol w:w="181"/>
        <w:gridCol w:w="109"/>
        <w:gridCol w:w="154"/>
      </w:tblGrid>
      <w:tr>
        <w:trPr/>
        <w:tc>
          <w:tcPr>
            <w:tcW w:w="1553"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15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equity tier 1 capital beginning balance</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on common and preferred stock</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additional paid-in capital</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intangible assets</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Common equity tier 1 capital</w:t>
            </w:r>
          </w:p>
        </w:tc>
        <w:tc>
          <w:tcPr>
            <w:tcW w:w="13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Tier 1 capital beginning balance</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preferred stock</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Tier 1 capital </w:t>
            </w:r>
          </w:p>
        </w:tc>
        <w:tc>
          <w:tcPr>
            <w:tcW w:w="13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Tier 2 capital beginning balance</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subordinated notes</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qualifying allowance for credit losses</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Tier 2 capital</w:t>
            </w:r>
          </w:p>
        </w:tc>
        <w:tc>
          <w:tcPr>
            <w:tcW w:w="1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capital</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Further information about each Bank’s capital components and calculations can be found in each Bank’s Consolidated Reports of Condition and Income Form FFIEC 041 (Call Reports) as filed with the FDIC.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also involved, from time to time, in reviews, investigations, subpoenas, supervisory actions and other proceedings (both formal and informal) by governmental agencies regarding our business, which could subject us to significant fines, penalties, obligations to change our business practices, significant restrictions on our existing business or ability to develop new business, cease-and-desist orders, safety-and-soundness directives or other requirements resulting in increased expenses, diminished income and damage to our reputation.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November 2023 following the consent of the Board of Managers of Comenity Servicing LLC (the Servicer), the FDIC issued a consent order to the Servicer. The Servicer is not one of our Bank subsidiaries, but is our wholly-owned subsidiary that services substantially all of our loans. The consent order arose out of the June 2022 transition of our credit card processing services to strategic outsourcing partners and addresses certain shortcomings in the Servicer’s information technology (IT) systems development, project management, business continuity management, cloud operations, and third-party oversight. The Servicer entered into the consent order for the purpose of resolving these matters without admitting or denying any violations of law or regulation set forth in the order. The consent order did not contain any monetary penalties or fines. The consent order was terminated by the FDIC on March 31,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have been no significant changes to our critical accounting policies and estimates from the information provided in Item 7, “Management’s Discussion and Analysis of Financial Condition and Results of Operations (MD&amp;A)” included in our 2025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RECENTLY ISSUED ACCOUNTING STANDARDS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the “Recently Issued Accounting Standards” in Note 1, “Description of Business, Basis of Presentation and Significant Accounting Policies” to the unaudited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Cautionary Note Regarding 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Form 10-Q and the documents incorporated by reference herein contain forward-looking statements within the meaning of Section 27A of the Securities Act of 1933, as amended, and Section 21E of the Securities Exchange Act of 1934, as amended. Forward-looking statements give our expectations or forecasts of future events and can generally be identified by the use of words such as “believe,” “expect,” “anticipate,” “estimate,” “intend,” “project,” “plan,” “likely,” “may,” “should” or other words or phrases of similar import. Similarly, statements that describe our business strategy, outlook, objectives, plans, intentions or goals also are forward-looking statements. Examples of forward-looking statements include, but are not limited to, statements we make regarding, and the guidance we give with respect to, our anticipated operating or financial results, future financial performance and outlook, future dividend declarations or stock repurchases and future economic conditions.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our expectations are based on reasonable assumptions. Forward-looking statements, however, are subject to a number of risks and uncertainties that are difficult to predict and, in many cases, beyond our control. Accordingly, our actual results could differ materially from the projections, anticipated results or other expectations expressed in this report, and no assurances can be given that our expectations will prove to have been correct. Factors that could cause the outcomes to differ materially include, but are not limited to, the following: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macroeconomic conditions, including market conditions, inflation, interest rates, labor market conditions, recessionary pressures or concerns over a prolonged economic slowdown, and the related impact on consumer spending behavior, payments, debt levels, savings rates and other behaviors;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global political events and conditions, including significant shifts in trade policy, such as changes to, or the imposition of, tariffs and/or trade barriers and consequently any economic impacts, volatility, uncertainty and geopolitical instability resulting therefrom, as well as ongoing wars, military conflicts, and international tensions or hostilities;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local or global public health issues, climate-related events, impacts to the power grid, and natural disasters;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future credit performance of our customers, including the level of future delinquency and charge-off rates;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loss of, or reduction in demand for services and/or products from, significant brand partners or customers in the highly competitive markets in which we operate, including competition from new and non-traditional competitors, such as financial technology companies, and with respect to new products, services and technologies, such as the emergence or increase in popularity of agentic commerce, digital payment platforms and currencies and other alternative payment and deposit solutions;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concentration of our business in U.S. consumer credit;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increases or volatility in the Allowance for credit losses that may result from the application of the current expected credit loss (CECL) model;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inaccuracies in the models and estimates on which we rely, including our credit risk management models and the amount of our Allowance for credit losses;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increases in fraudulent activity;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to identify, complete or successfully integrate or disaggregate business acquisitions, divestitures and other strategic initiatives, including, with respect to divested businesses, any associated guarantees, indemnities or other liabilities;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extent to which our results are dependent upon our brand partners, including our brand partners’ financial performance and reputation, as well as the effective promotion and support of our products by brand partners;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increases in the cost of doing business, including market interest rates;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level of indebtedness and inability to access financial or capital markets, including asset-backed securitization funding or deposits markets;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restrictions that limit our Banks’ ability to pay dividends to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pending and future litigation;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pending and future federal, state, local and foreign legislation, executive action, regulation, supervisory guidance and regulatory and legal actions including, but not limited to, those related to financial regulatory reform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consumer financial services practices, as well as any such actions that would place limits on credit card interest rates or late fees, interchange fees or other charges;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increases in regulatory capital requirements or other support for our Banks;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failures, or breaches in our operational or security systems, including as a result of cyberattacks, unanticipated impacts from technology modernization projects, failure of our information security controls or otherwise;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loss of consumer information or other data due to compromised physical or cyber security, including disruptive attacks from financially motivated bad actors and third-party supply chain issues;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liability or other adverse impacts arising out of or related to the spinoff of our former LoyaltyOne segment or the bankruptcy filings of Loyalty Ventures Inc. (LVI) and certain of its subsidiaries, including the pending litigation against us in connection with the spinoff;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those factors identified in our filings with the SEC, including in the “Risk Factors” and “Management’s Discussion and Analysis of Financial Condition and Results of Operations” sections of our 2025 Form 10-K and this quarterly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one or more of these or other risks or uncertainties materialize, or if our underlying assumptions prove to be incorrect, actual results may vary materially from what we projected.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Any forward-looking statements contained in this Form 10-Q speak only as of the date made, and we undertake no obligation, other than as required by applicable law, to update or revise any forward-looking statements, whether as a result of new information, subsequent events, anticipated or unanticipated circumstances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80"/>
            <w:sz w:val="20"/>
            <w:u w:val="single"/>
          </w:rPr>
          <w:t>Table of Conte</w:t>
        </w:r>
      </w:hyperlink>
      <w:hyperlink w:anchor="i99042b5414b6429fab769eb95422460a_7">
        <w:r>
          <w:rPr>
            <w:rStyle w:val="InternetLink"/>
            <w:rFonts w:ascii="Times New Roman;serif" w:hAnsi="Times New Roman;serif"/>
            <w:b w:val="false"/>
            <w:color w:val="000080"/>
            <w:sz w:val="20"/>
            <w:u w:val="single"/>
          </w:rPr>
          <w:t>nt</w:t>
        </w:r>
      </w:hyperlink>
      <w:hyperlink w:anchor="i99042b5414b6429fab769eb95422460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INCOME</w:t>
      </w:r>
    </w:p>
    <w:tbl>
      <w:tblPr>
        <w:tblW w:w="7964" w:type="dxa"/>
        <w:jc w:val="center"/>
        <w:tblInd w:w="0" w:type="dxa"/>
        <w:tblLayout w:type="fixed"/>
        <w:tblCellMar>
          <w:top w:w="28" w:type="dxa"/>
          <w:left w:w="28" w:type="dxa"/>
          <w:bottom w:w="28" w:type="dxa"/>
          <w:right w:w="28" w:type="dxa"/>
        </w:tblCellMar>
      </w:tblPr>
      <w:tblGrid>
        <w:gridCol w:w="1928"/>
        <w:gridCol w:w="1692"/>
        <w:gridCol w:w="1705"/>
        <w:gridCol w:w="196"/>
        <w:gridCol w:w="556"/>
        <w:gridCol w:w="109"/>
        <w:gridCol w:w="109"/>
        <w:gridCol w:w="109"/>
        <w:gridCol w:w="109"/>
        <w:gridCol w:w="196"/>
        <w:gridCol w:w="556"/>
        <w:gridCol w:w="109"/>
        <w:gridCol w:w="109"/>
        <w:gridCol w:w="109"/>
        <w:gridCol w:w="109"/>
        <w:gridCol w:w="109"/>
        <w:gridCol w:w="154"/>
      </w:tblGrid>
      <w:tr>
        <w:trPr/>
        <w:tc>
          <w:tcPr>
            <w:tcW w:w="1928"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 except per share amounts)</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Interest income</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fees on loans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on cash and investment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income</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on deposits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on borrowings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interest income</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income</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Interchange revenue, net of retailer share arrangements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non-interest income</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net interest and non-interest income</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Provision for credit losses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interest and non-interest income, after provision for credit losses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Non-interest expenses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compensation and benefits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Card and processing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Information processing and communication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non-interest expenses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continuing operations before income taxes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continuing operations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Loss from discontinued operations, net of income taxes </w:t>
            </w:r>
            <w:r>
              <w:rPr>
                <w:rFonts w:ascii="Times New Roman;serif" w:hAnsi="Times New Roman;serif"/>
                <w:b w:val="false"/>
                <w:color w:val="000000"/>
                <w:sz w:val="12"/>
              </w:rPr>
              <w:t>(1)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declared to preferred stockholders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available to common stockholders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 earnings per common share (Note 13)</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continuing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discontinued operations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share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 earnings per common share (Note 13)</w:t>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continuing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discontinued operations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share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common shares outstanding (Note 13)</w:t>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Includes amounts that related to the previously disclosed discontinued operations associated with the spinoff of our former LoyaltyOne segment in 2021 and the sale of our former Epsilon segment in 2019. For additional information, refer to Note 1, “Description of Business, Basis of Presentation and Significant Accounting Policies” to the unaudited Consolidated Financial Statements.</w:t>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See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COMPREHENSIVE INCOME</w:t>
      </w:r>
    </w:p>
    <w:tbl>
      <w:tblPr>
        <w:tblW w:w="7615" w:type="dxa"/>
        <w:jc w:val="left"/>
        <w:tblInd w:w="0" w:type="dxa"/>
        <w:tblLayout w:type="fixed"/>
        <w:tblCellMar>
          <w:top w:w="28" w:type="dxa"/>
          <w:left w:w="28" w:type="dxa"/>
          <w:bottom w:w="28" w:type="dxa"/>
          <w:right w:w="28" w:type="dxa"/>
        </w:tblCellMar>
      </w:tblPr>
      <w:tblGrid>
        <w:gridCol w:w="1895"/>
        <w:gridCol w:w="1662"/>
        <w:gridCol w:w="1678"/>
        <w:gridCol w:w="211"/>
        <w:gridCol w:w="466"/>
        <w:gridCol w:w="109"/>
        <w:gridCol w:w="109"/>
        <w:gridCol w:w="109"/>
        <w:gridCol w:w="109"/>
        <w:gridCol w:w="211"/>
        <w:gridCol w:w="466"/>
        <w:gridCol w:w="109"/>
        <w:gridCol w:w="109"/>
        <w:gridCol w:w="109"/>
        <w:gridCol w:w="109"/>
        <w:gridCol w:w="154"/>
      </w:tblGrid>
      <w:tr>
        <w:trPr/>
        <w:tc>
          <w:tcPr>
            <w:tcW w:w="1895"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available-for-sale debt securities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expense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Unrealized gain on available-for-sale debt securities, net of tax </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cash flow hedges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expense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cash flow hedges, net of tax</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 net of tax</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CONSOLIDATED BALANCE SHEETS </w:t>
      </w:r>
    </w:p>
    <w:tbl>
      <w:tblPr>
        <w:tblW w:w="10205" w:type="dxa"/>
        <w:jc w:val="left"/>
        <w:tblInd w:w="0" w:type="dxa"/>
        <w:tblLayout w:type="fixed"/>
        <w:tblCellMar>
          <w:top w:w="28" w:type="dxa"/>
          <w:left w:w="28" w:type="dxa"/>
          <w:bottom w:w="28" w:type="dxa"/>
          <w:right w:w="28" w:type="dxa"/>
        </w:tblCellMar>
      </w:tblPr>
      <w:tblGrid>
        <w:gridCol w:w="3056"/>
        <w:gridCol w:w="2183"/>
        <w:gridCol w:w="2201"/>
        <w:gridCol w:w="228"/>
        <w:gridCol w:w="797"/>
        <w:gridCol w:w="118"/>
        <w:gridCol w:w="109"/>
        <w:gridCol w:w="109"/>
        <w:gridCol w:w="109"/>
        <w:gridCol w:w="247"/>
        <w:gridCol w:w="864"/>
        <w:gridCol w:w="184"/>
      </w:tblGrid>
      <w:tr>
        <w:trPr/>
        <w:tc>
          <w:tcPr>
            <w:tcW w:w="3056"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4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(Millions, except per share amounts)</w:t>
            </w:r>
          </w:p>
        </w:tc>
        <w:tc>
          <w:tcPr>
            <w:tcW w:w="11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card and other loans</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credit card and other loans (includes loans available to settle obligations of consolidated variable interest entities: March 31, 2026, $10,091; December 31, 2025, $10,708)</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card and other loans, net</w:t>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16,699 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Investments (includes investment securities carried at fair value: March 31, 2026, $222; December 31, 2025, $221)</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assets, net</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22,308</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22,663</w:t>
            </w:r>
            <w:r>
              <w:rPr>
                <w:color w:val="000000"/>
              </w:rPr>
              <w:t>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issued by consolidated variable interest entities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and other debt</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18,983</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19,336</w:t>
            </w:r>
            <w:r>
              <w:rPr>
                <w:color w:val="000000"/>
              </w:rPr>
              <w:t>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Commitments and contingencies (Note 15)</w:t>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$0.01 par value; authorized, 75.0 thousand shares; issued and outstanding: 75.0 thousand shares as of March 31, 2026 and December 31, 2025</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authorized, 200.0 million shares; issued and outstanding: 41.3 million shares as of March 31, 2026 and 44.1 million shares as of December 31, 2025.</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3,325</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3,327</w:t>
            </w:r>
            <w:r>
              <w:rPr>
                <w:color w:val="000000"/>
              </w:rPr>
              <w:t>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22,308</w:t>
            </w: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22,663</w:t>
            </w:r>
            <w:r>
              <w:rPr>
                <w:color w:val="000000"/>
              </w:rPr>
              <w:t>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STOCKHOLDERS’ EQUITY</w:t>
      </w:r>
    </w:p>
    <w:tbl>
      <w:tblPr>
        <w:tblW w:w="10711" w:type="dxa"/>
        <w:jc w:val="left"/>
        <w:tblInd w:w="0" w:type="dxa"/>
        <w:tblLayout w:type="fixed"/>
        <w:tblCellMar>
          <w:top w:w="28" w:type="dxa"/>
          <w:left w:w="28" w:type="dxa"/>
          <w:bottom w:w="28" w:type="dxa"/>
          <w:right w:w="28" w:type="dxa"/>
        </w:tblCellMar>
      </w:tblPr>
      <w:tblGrid>
        <w:gridCol w:w="929"/>
        <w:gridCol w:w="210"/>
        <w:gridCol w:w="212"/>
        <w:gridCol w:w="195"/>
        <w:gridCol w:w="195"/>
        <w:gridCol w:w="196"/>
        <w:gridCol w:w="109"/>
        <w:gridCol w:w="109"/>
        <w:gridCol w:w="109"/>
        <w:gridCol w:w="211"/>
        <w:gridCol w:w="406"/>
        <w:gridCol w:w="109"/>
        <w:gridCol w:w="109"/>
        <w:gridCol w:w="109"/>
        <w:gridCol w:w="109"/>
        <w:gridCol w:w="195"/>
        <w:gridCol w:w="195"/>
        <w:gridCol w:w="196"/>
        <w:gridCol w:w="109"/>
        <w:gridCol w:w="109"/>
        <w:gridCol w:w="109"/>
        <w:gridCol w:w="211"/>
        <w:gridCol w:w="406"/>
        <w:gridCol w:w="109"/>
        <w:gridCol w:w="109"/>
        <w:gridCol w:w="109"/>
        <w:gridCol w:w="109"/>
        <w:gridCol w:w="211"/>
        <w:gridCol w:w="616"/>
        <w:gridCol w:w="109"/>
        <w:gridCol w:w="109"/>
        <w:gridCol w:w="109"/>
        <w:gridCol w:w="109"/>
        <w:gridCol w:w="109"/>
        <w:gridCol w:w="109"/>
        <w:gridCol w:w="211"/>
        <w:gridCol w:w="616"/>
        <w:gridCol w:w="109"/>
        <w:gridCol w:w="109"/>
        <w:gridCol w:w="109"/>
        <w:gridCol w:w="109"/>
        <w:gridCol w:w="368"/>
        <w:gridCol w:w="656"/>
        <w:gridCol w:w="192"/>
        <w:gridCol w:w="109"/>
        <w:gridCol w:w="109"/>
        <w:gridCol w:w="109"/>
        <w:gridCol w:w="245"/>
        <w:gridCol w:w="716"/>
        <w:gridCol w:w="180"/>
      </w:tblGrid>
      <w:tr>
        <w:trPr/>
        <w:tc>
          <w:tcPr>
            <w:tcW w:w="92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c>
          <w:tcPr>
            <w:tcW w:w="1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 except preferred shares in thousands and per share amounts)</w:t>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Termination of Capped Call transactions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and dividend equivalent rights declared ($26.35 per preferred share and $0.23 per common share)</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shares to employees, net of shares withheld for employee taxes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March 31, 2026</w:t>
            </w:r>
          </w:p>
        </w:tc>
        <w:tc>
          <w:tcPr>
            <w:tcW w:w="58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601" w:type="dxa"/>
        <w:jc w:val="left"/>
        <w:tblInd w:w="0" w:type="dxa"/>
        <w:tblLayout w:type="fixed"/>
        <w:tblCellMar>
          <w:top w:w="28" w:type="dxa"/>
          <w:left w:w="28" w:type="dxa"/>
          <w:bottom w:w="28" w:type="dxa"/>
          <w:right w:w="28" w:type="dxa"/>
        </w:tblCellMar>
      </w:tblPr>
      <w:tblGrid>
        <w:gridCol w:w="929"/>
        <w:gridCol w:w="210"/>
        <w:gridCol w:w="212"/>
        <w:gridCol w:w="170"/>
        <w:gridCol w:w="170"/>
        <w:gridCol w:w="171"/>
        <w:gridCol w:w="109"/>
        <w:gridCol w:w="109"/>
        <w:gridCol w:w="109"/>
        <w:gridCol w:w="211"/>
        <w:gridCol w:w="406"/>
        <w:gridCol w:w="109"/>
        <w:gridCol w:w="109"/>
        <w:gridCol w:w="109"/>
        <w:gridCol w:w="109"/>
        <w:gridCol w:w="195"/>
        <w:gridCol w:w="195"/>
        <w:gridCol w:w="196"/>
        <w:gridCol w:w="109"/>
        <w:gridCol w:w="109"/>
        <w:gridCol w:w="109"/>
        <w:gridCol w:w="253"/>
        <w:gridCol w:w="307"/>
        <w:gridCol w:w="131"/>
        <w:gridCol w:w="109"/>
        <w:gridCol w:w="109"/>
        <w:gridCol w:w="109"/>
        <w:gridCol w:w="211"/>
        <w:gridCol w:w="616"/>
        <w:gridCol w:w="109"/>
        <w:gridCol w:w="109"/>
        <w:gridCol w:w="109"/>
        <w:gridCol w:w="109"/>
        <w:gridCol w:w="109"/>
        <w:gridCol w:w="109"/>
        <w:gridCol w:w="211"/>
        <w:gridCol w:w="616"/>
        <w:gridCol w:w="109"/>
        <w:gridCol w:w="109"/>
        <w:gridCol w:w="109"/>
        <w:gridCol w:w="109"/>
        <w:gridCol w:w="368"/>
        <w:gridCol w:w="656"/>
        <w:gridCol w:w="192"/>
        <w:gridCol w:w="109"/>
        <w:gridCol w:w="109"/>
        <w:gridCol w:w="109"/>
        <w:gridCol w:w="245"/>
        <w:gridCol w:w="716"/>
        <w:gridCol w:w="180"/>
      </w:tblGrid>
      <w:tr>
        <w:trPr/>
        <w:tc>
          <w:tcPr>
            <w:tcW w:w="92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c>
          <w:tcPr>
            <w:tcW w:w="15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 except preferred shares in thousands and per share amounts)</w:t>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Convertible Notes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and dividend equivalent rights declared ($— per preferred share and $0.21 per common share)</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shares to employees, net of shares withheld for employee taxes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March 31, 2025</w:t>
            </w:r>
          </w:p>
        </w:tc>
        <w:tc>
          <w:tcPr>
            <w:tcW w:w="51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See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CASH FLOWS</w:t>
      </w:r>
    </w:p>
    <w:tbl>
      <w:tblPr>
        <w:tblW w:w="7869" w:type="dxa"/>
        <w:jc w:val="left"/>
        <w:tblInd w:w="0" w:type="dxa"/>
        <w:tblLayout w:type="fixed"/>
        <w:tblCellMar>
          <w:top w:w="28" w:type="dxa"/>
          <w:left w:w="28" w:type="dxa"/>
          <w:bottom w:w="28" w:type="dxa"/>
          <w:right w:w="28" w:type="dxa"/>
        </w:tblCellMar>
      </w:tblPr>
      <w:tblGrid>
        <w:gridCol w:w="2076"/>
        <w:gridCol w:w="1827"/>
        <w:gridCol w:w="1842"/>
        <w:gridCol w:w="196"/>
        <w:gridCol w:w="571"/>
        <w:gridCol w:w="109"/>
        <w:gridCol w:w="109"/>
        <w:gridCol w:w="109"/>
        <w:gridCol w:w="109"/>
        <w:gridCol w:w="196"/>
        <w:gridCol w:w="571"/>
        <w:gridCol w:w="154"/>
      </w:tblGrid>
      <w:tr>
        <w:trPr/>
        <w:tc>
          <w:tcPr>
            <w:tcW w:w="2076"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Non-cash stock-based compensation</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origination costs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other operating assets and liabilities</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other assets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other liabilities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credit card and other loans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investments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Maturities of investments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including capital expenditures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cash provided by investing activities</w:t>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691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Unsecured borrowings under debt agreements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Repayments/maturities of unsecured borrowings under debt agreements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issued by consolidated variable interest entities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Repayments/maturities of debt issued by consolidated variable interest entities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deposits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deferred financing costs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and dividend equivalent rights paid</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cash used in financing activities</w:t>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(562)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cash, cash equivalents and restricted cash</w:t>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4,236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SUPPLEMENTAL CASH FLOW INFORMATION</w:t>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reconciliation</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included within Other assets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cash, cash equivalents and restricted cash</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3,957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4,236</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The unaudited Consolidated Statements of Cash Flows are presented with the combined cash flows from continuing and discontinued operations.</w:t>
      </w:r>
    </w:p>
    <w:p>
      <w:pPr>
        <w:pStyle w:val="TextBody"/>
        <w:bidi w:val="0"/>
        <w:spacing w:lineRule="auto" w:line="288" w:before="120" w:after="283"/>
        <w:jc w:val="center"/>
        <w:rPr>
          <w:rFonts w:ascii="Times New Roman;serif" w:hAnsi="Times New Roman;serif"/>
          <w:b w:val="false"/>
          <w:color w:val="000000"/>
          <w:sz w:val="16"/>
        </w:rPr>
      </w:pPr>
      <w:r>
        <w:rPr>
          <w:rFonts w:ascii="Times New Roman;serif" w:hAnsi="Times New Roman;serif"/>
          <w:b w:val="false"/>
          <w:color w:val="000000"/>
          <w:sz w:val="16"/>
        </w:rPr>
        <w:t>See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DESCRIPTION OF BUSINESS, BASIS OF PRESENTATION AND SIGNIFICANT ACCOUNTING POLICIES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DESCRIPTION OF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a tech-forward financial services company that provides simple, personalized payment, lending and saving solutions to millions of U.S. consumers. Our payment solutions deliver growth for some of the most recognized brands in travel and entertainment, specialty apparel, health and beauty, jewelry, sporting goods, technology and electronics, as well as home and furniture through our co-brand and private label credit cards and pay-over-time products providing choice and value to our shared customers. Additionally, we offer Bread Financial general purpose credit cards and saving products that empower our customers and their passions for a better life.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continued to diversify our product mix with our brand partners through growth of our co-brand credit card programs, which, relative to our private label credit card programs, have higher credit sales per account and an improved credit risk mix that generally results in higher transactor balances, lower delinquencies and late fees, as well as lower losses. We also offer our proprietary credit cards along with the expansion of our Bread Pay products, which are our installment loans and “split-pay” offerings.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partner base consists of large consumer-based businesses, including well-known brands such as (alphabetically) AAA, Academy Sports + Outdoors, Caesars, Dell Technologies, Hard Rock International, the NFL, Raymour &amp; Flanigan, Saks Fifth Avenue, Signet, Ulta and Victoria’s Secret, as well as small- and medium-sized businesses (SMBs). Our partner base is well diversified across a broad range of industries and retail verticals, including travel and entertainment, specialty apparel, health and beauty, jewelry, sporting goods, technology and electronics, as well as home and furniture. We believe our comprehensive suite of payment, lending and saving solutions, along with our related marketing and data and analytics, allows us to offer products relevant across all customer segments (Gen Z, Millennial, Gen X and Baby Boomers). The breadth and quality of our product and service offerings, coupled with our customer-centric approach, have enabled us to establish and maintain long-standing partner relationships. We operate our business through a single reportable segment, with our primary source of revenue being from Interest and fees on loans from our various credit card and other loan products, and to a lesser extent from contractual relationships with our brand partners.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Throughout this report, unless stated or the context implies otherwise, the terms “Bread Financial”, “BFH”, the “Company”, “we”, “our” or “us” refer to Bread Financial Holdings, Inc. and its subsidiaries on a consolidated basis. References to “Parent Company” refer to Bread Financial Holdings, Inc. on a parent-only standalone basis. In addition, in this report we may refer to the retailers and other companies with whom we do business as our “partners”, “brand partners”, or “clients”, provided that the use of the term “partner”, “partnering” or any similar term does not mean or imply a formal legal partnership, and is not meant in any way to alter the terms of Bread Financial’s relationship with any third parties. We offer our credit products through our insured depository institution subsidiaries, Comenity Bank and Comenity Capital Bank, which together are referred to herein as the “Banks.”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These unaudited Consolidated Financial Statements have been prepared in accordance with accounting principles generally accepted in the United States of America (GAAP), and should be read in conjunction with the audited Consolidated Financial Statements and notes thereto included in our Annual Report on Form 10-K for the year ended December 31, 2025, filed with the Securities and Exchange Commission on February 13, 2026 (the 2025 Form 10-K). If not significantly different, certain note disclosures included therein have been omitted from these unaudited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unaudited Consolidated Financial Statements included herein reflect all adjustments, which consist of normal, recurring adjustments that are, in the opinion of management, necessary to state fairly the results for the interim periods presented. The unaudited Consolidated Financial Statements also include amounts that relate to the previously disclosed discontinued operations associated with the spinoff of our former LoyaltyOne segment in 2021 and the sale of our former Epsilon segment in 2019. Such amounts have been classified within Discontinued operations and primarily relate to the after-tax impact of contractual indemnification and tax-related matters. For additional information about our previously disclosed discontinued operations please refer to Note 22, “Discontinued Operations and Bank Holding Company Financial Presentation” to the audited Consolidated Financial Statements included in our Annual Report on Form 10-K for the year ended December 31, 2021. Results of operations reported for interim periods are not necessarily indicative of results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80"/>
            <w:sz w:val="20"/>
            <w:u w:val="single"/>
          </w:rPr>
          <w:t>Table of Con</w:t>
        </w:r>
      </w:hyperlink>
      <w:hyperlink w:anchor="i99042b5414b6429fab769eb95422460a_7">
        <w:r>
          <w:rPr>
            <w:rStyle w:val="InternetLink"/>
            <w:rFonts w:ascii="Times New Roman;serif" w:hAnsi="Times New Roman;serif"/>
            <w:b w:val="false"/>
            <w:color w:val="000080"/>
            <w:sz w:val="20"/>
            <w:u w:val="single"/>
          </w:rPr>
          <w:t>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entire year. The preparation of financial statements in conformity with GAAP requires management to make estimates and assumptions that affect the reported amounts of assets, liabilities, revenue and expenses, and the disclosures of contingent assets and liabilities. These accounting estimates and assumptions reflect the best judgment of management, but actual results could differ. The most significant of those estimates and assumptions relate to the Allowance for credit losses and Goodwill.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Consolidated Financial Statements include the accounts of the Company and all subsidiaries in which we have a controlling financial interest. All intercompany transactions have been eliminated.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SIGNIFICANT ACCOUNTING POLICIES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significant accounting policies as discussed in Note 1, “Description of Business, Basis of Presentation and Significant Accounting Policies” included in our 2025 Form 10-K.</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80"/>
            <w:sz w:val="20"/>
            <w:u w:val="single"/>
          </w:rPr>
          <w:t>Table of Con</w:t>
        </w:r>
      </w:hyperlink>
      <w:hyperlink w:anchor="i99042b5414b6429fab769eb95422460a_7">
        <w:r>
          <w:rPr>
            <w:rStyle w:val="InternetLink"/>
            <w:rFonts w:ascii="Times New Roman;serif" w:hAnsi="Times New Roman;serif"/>
            <w:b w:val="false"/>
            <w:color w:val="000080"/>
            <w:sz w:val="20"/>
            <w:u w:val="single"/>
          </w:rPr>
          <w:t>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CONSOLIDATED FINANCIAL STATEMENTS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RECENTLY ISSUED ACCOUNTING STANDARDS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65"/>
        <w:gridCol w:w="810"/>
        <w:gridCol w:w="492"/>
        <w:gridCol w:w="1403"/>
        <w:gridCol w:w="1188"/>
        <w:gridCol w:w="864"/>
        <w:gridCol w:w="1621"/>
        <w:gridCol w:w="1157"/>
        <w:gridCol w:w="1505"/>
      </w:tblGrid>
      <w:tr>
        <w:trPr/>
        <w:tc>
          <w:tcPr>
            <w:tcW w:w="116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r>
      <w:tr>
        <w:trPr/>
        <w:tc>
          <w:tcPr>
            <w:tcW w:w="2467" w:type="dxa"/>
            <w:gridSpan w:val="3"/>
            <w:tcBorders/>
            <w:vAlign w:val="center"/>
          </w:tcPr>
          <w:p>
            <w:pPr>
              <w:pStyle w:val="TableContents"/>
              <w:bidi w:val="0"/>
              <w:spacing w:before="0" w:after="283"/>
              <w:jc w:val="left"/>
              <w:rPr>
                <w:sz w:val="4"/>
                <w:szCs w:val="4"/>
              </w:rPr>
            </w:pPr>
            <w:r>
              <w:rPr>
                <w:sz w:val="4"/>
                <w:szCs w:val="4"/>
              </w:rPr>
            </w:r>
          </w:p>
        </w:tc>
        <w:tc>
          <w:tcPr>
            <w:tcW w:w="7738" w:type="dxa"/>
            <w:gridSpan w:val="6"/>
            <w:tcBorders/>
          </w:tcPr>
          <w:p>
            <w:pPr>
              <w:pStyle w:val="TableContents"/>
              <w:bidi w:val="0"/>
              <w:spacing w:before="0" w:after="283"/>
              <w:jc w:val="left"/>
              <w:rPr>
                <w:sz w:val="4"/>
                <w:szCs w:val="4"/>
              </w:rPr>
            </w:pPr>
            <w:r>
              <w:rPr>
                <w:sz w:val="4"/>
                <w:szCs w:val="4"/>
              </w:rPr>
            </w:r>
          </w:p>
        </w:tc>
      </w:tr>
      <w:tr>
        <w:trPr/>
        <w:tc>
          <w:tcPr>
            <w:tcW w:w="2467" w:type="dxa"/>
            <w:gridSpan w:val="3"/>
            <w:tcBorders/>
            <w:vAlign w:val="center"/>
          </w:tcPr>
          <w:p>
            <w:pPr>
              <w:pStyle w:val="TableContents"/>
              <w:bidi w:val="0"/>
              <w:spacing w:before="0" w:after="283"/>
              <w:jc w:val="left"/>
              <w:rPr>
                <w:sz w:val="4"/>
                <w:szCs w:val="4"/>
              </w:rPr>
            </w:pPr>
            <w:r>
              <w:rPr>
                <w:sz w:val="4"/>
                <w:szCs w:val="4"/>
              </w:rPr>
            </w:r>
          </w:p>
        </w:tc>
        <w:tc>
          <w:tcPr>
            <w:tcW w:w="3455" w:type="dxa"/>
            <w:gridSpan w:val="3"/>
            <w:tcBorders/>
            <w:vAlign w:val="center"/>
          </w:tcPr>
          <w:p>
            <w:pPr>
              <w:pStyle w:val="TableContents"/>
              <w:bidi w:val="0"/>
              <w:spacing w:before="0" w:after="283"/>
              <w:jc w:val="left"/>
              <w:rPr>
                <w:sz w:val="4"/>
                <w:szCs w:val="4"/>
              </w:rPr>
            </w:pPr>
            <w:r>
              <w:rPr>
                <w:sz w:val="4"/>
                <w:szCs w:val="4"/>
              </w:rPr>
            </w:r>
          </w:p>
        </w:tc>
        <w:tc>
          <w:tcPr>
            <w:tcW w:w="4283" w:type="dxa"/>
            <w:gridSpan w:val="3"/>
            <w:tcBorders/>
            <w:vAlign w:val="center"/>
          </w:tcPr>
          <w:p>
            <w:pPr>
              <w:pStyle w:val="TableContents"/>
              <w:bidi w:val="0"/>
              <w:spacing w:before="0" w:after="283"/>
              <w:jc w:val="left"/>
              <w:rPr>
                <w:sz w:val="4"/>
                <w:szCs w:val="4"/>
              </w:rPr>
            </w:pPr>
            <w:r>
              <w:rPr>
                <w:sz w:val="4"/>
                <w:szCs w:val="4"/>
              </w:rPr>
            </w:r>
          </w:p>
        </w:tc>
      </w:tr>
      <w:tr>
        <w:trPr/>
        <w:tc>
          <w:tcPr>
            <w:tcW w:w="2467" w:type="dxa"/>
            <w:gridSpan w:val="3"/>
            <w:tcBorders/>
            <w:vAlign w:val="center"/>
          </w:tcPr>
          <w:p>
            <w:pPr>
              <w:pStyle w:val="TableContents"/>
              <w:bidi w:val="0"/>
              <w:spacing w:before="0" w:after="283"/>
              <w:jc w:val="left"/>
              <w:rPr>
                <w:sz w:val="4"/>
                <w:szCs w:val="4"/>
              </w:rPr>
            </w:pPr>
            <w:r>
              <w:rPr>
                <w:sz w:val="4"/>
                <w:szCs w:val="4"/>
              </w:rPr>
            </w:r>
          </w:p>
        </w:tc>
        <w:tc>
          <w:tcPr>
            <w:tcW w:w="3455" w:type="dxa"/>
            <w:gridSpan w:val="3"/>
            <w:tcBorders/>
            <w:vAlign w:val="center"/>
          </w:tcPr>
          <w:p>
            <w:pPr>
              <w:pStyle w:val="TableContents"/>
              <w:bidi w:val="0"/>
              <w:spacing w:before="0" w:after="283"/>
              <w:jc w:val="left"/>
              <w:rPr>
                <w:sz w:val="4"/>
                <w:szCs w:val="4"/>
              </w:rPr>
            </w:pPr>
            <w:r>
              <w:rPr>
                <w:sz w:val="4"/>
                <w:szCs w:val="4"/>
              </w:rPr>
            </w:r>
          </w:p>
        </w:tc>
        <w:tc>
          <w:tcPr>
            <w:tcW w:w="4283" w:type="dxa"/>
            <w:gridSpan w:val="3"/>
            <w:tcBorders/>
            <w:vAlign w:val="center"/>
          </w:tcPr>
          <w:p>
            <w:pPr>
              <w:pStyle w:val="TableContents"/>
              <w:bidi w:val="0"/>
              <w:spacing w:before="0" w:after="283"/>
              <w:jc w:val="left"/>
              <w:rPr>
                <w:sz w:val="4"/>
                <w:szCs w:val="4"/>
              </w:rPr>
            </w:pPr>
            <w:r>
              <w:rPr>
                <w:sz w:val="4"/>
                <w:szCs w:val="4"/>
              </w:rPr>
            </w:r>
          </w:p>
        </w:tc>
      </w:tr>
      <w:tr>
        <w:trPr/>
        <w:tc>
          <w:tcPr>
            <w:tcW w:w="2467" w:type="dxa"/>
            <w:gridSpan w:val="3"/>
            <w:tcBorders/>
            <w:vAlign w:val="center"/>
          </w:tcPr>
          <w:p>
            <w:pPr>
              <w:pStyle w:val="TableContents"/>
              <w:bidi w:val="0"/>
              <w:spacing w:before="0" w:after="283"/>
              <w:jc w:val="left"/>
              <w:rPr>
                <w:sz w:val="4"/>
                <w:szCs w:val="4"/>
              </w:rPr>
            </w:pPr>
            <w:r>
              <w:rPr>
                <w:sz w:val="4"/>
                <w:szCs w:val="4"/>
              </w:rPr>
            </w:r>
          </w:p>
        </w:tc>
        <w:tc>
          <w:tcPr>
            <w:tcW w:w="3455" w:type="dxa"/>
            <w:gridSpan w:val="3"/>
            <w:tcBorders/>
            <w:vAlign w:val="center"/>
          </w:tcPr>
          <w:p>
            <w:pPr>
              <w:pStyle w:val="TableContents"/>
              <w:bidi w:val="0"/>
              <w:spacing w:before="0" w:after="283"/>
              <w:jc w:val="left"/>
              <w:rPr>
                <w:sz w:val="4"/>
                <w:szCs w:val="4"/>
              </w:rPr>
            </w:pPr>
            <w:r>
              <w:rPr>
                <w:sz w:val="4"/>
                <w:szCs w:val="4"/>
              </w:rPr>
            </w:r>
          </w:p>
        </w:tc>
        <w:tc>
          <w:tcPr>
            <w:tcW w:w="4283"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Accounting Standards Recently Adopted during 2026</w:t>
            </w:r>
          </w:p>
        </w:tc>
      </w:tr>
      <w:tr>
        <w:trPr/>
        <w:tc>
          <w:tcPr>
            <w:tcW w:w="24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Standard</w:t>
            </w:r>
          </w:p>
        </w:tc>
        <w:tc>
          <w:tcPr>
            <w:tcW w:w="34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Guidance</w:t>
            </w:r>
          </w:p>
        </w:tc>
        <w:tc>
          <w:tcPr>
            <w:tcW w:w="428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Timing and Financial Statement Impact</w:t>
            </w:r>
          </w:p>
        </w:tc>
      </w:tr>
      <w:tr>
        <w:trPr/>
        <w:tc>
          <w:tcPr>
            <w:tcW w:w="2467"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 Debt with Conversion and Other Options: Induced Conversions of Convertible Debt Instruments</w:t>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Issued November, 2024</w:t>
            </w:r>
          </w:p>
        </w:tc>
        <w:tc>
          <w:tcPr>
            <w:tcW w:w="3455" w:type="dxa"/>
            <w:gridSpan w:val="3"/>
            <w:tcBorders>
              <w:top w:val="single" w:sz="4" w:space="0" w:color="000000"/>
              <w:left w:val="single" w:sz="4" w:space="0" w:color="000000"/>
              <w:bottom w:val="single" w:sz="4"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Improves the relevance and consistency in application of the induced conversion guidance for (a) convertible debt instruments with cash conversion features and (b) debt instruments that are not currently convertible.</w:t>
            </w:r>
          </w:p>
        </w:tc>
        <w:tc>
          <w:tcPr>
            <w:tcW w:w="4283" w:type="dxa"/>
            <w:gridSpan w:val="3"/>
            <w:tcBorders>
              <w:top w:val="single" w:sz="4" w:space="0" w:color="000000"/>
              <w:left w:val="single" w:sz="4" w:space="0" w:color="000000"/>
              <w:bottom w:val="single" w:sz="4" w:space="0" w:color="000000"/>
              <w:right w:val="single" w:sz="4" w:space="0" w:color="000000"/>
            </w:tcBorders>
            <w:shd w:fill="CCEEFF" w:val="clear"/>
            <w:tcMar>
              <w:top w:w="30" w:type="dxa"/>
              <w:bottom w:w="30" w:type="dxa"/>
            </w:tcMar>
            <w:vAlign w:val="center"/>
          </w:tcPr>
          <w:p>
            <w:pPr>
              <w:pStyle w:val="TableContents"/>
              <w:bidi w:val="0"/>
              <w:spacing w:lineRule="auto" w:line="240" w:before="0" w:after="283"/>
              <w:jc w:val="left"/>
              <w:rPr/>
            </w:pPr>
            <w:r>
              <w:rPr>
                <w:rFonts w:ascii="Times New Roman;serif" w:hAnsi="Times New Roman;serif"/>
                <w:b w:val="false"/>
                <w:color w:val="000000"/>
                <w:sz w:val="20"/>
              </w:rPr>
              <w:t xml:space="preserve">Adopted January 1, 2026. </w:t>
              <w:br/>
            </w:r>
            <w:r>
              <w:rPr>
                <w:rFonts w:ascii="Times New Roman;serif" w:hAnsi="Times New Roman;serif"/>
                <w:b w:val="false"/>
                <w:sz w:val="20"/>
              </w:rPr>
              <w:br/>
            </w:r>
            <w:r>
              <w:rPr>
                <w:rFonts w:ascii="Times New Roman;serif" w:hAnsi="Times New Roman;serif"/>
                <w:b w:val="false"/>
                <w:color w:val="000000"/>
                <w:sz w:val="20"/>
              </w:rPr>
              <w:t>Adoption had no impact on our financial reporting and will not have any impact in the near term as all of our Convertible Notes had been extinguished and no Convertible Notes remained outstanding as of December 31, 2025. Additionally, adoption did not have a significant impact on our operational processes, controls and governance in support of the new guidance.</w:t>
            </w:r>
          </w:p>
        </w:tc>
      </w:tr>
      <w:tr>
        <w:trPr/>
        <w:tc>
          <w:tcPr>
            <w:tcW w:w="10205" w:type="dxa"/>
            <w:gridSpan w:val="9"/>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Accounting Standards Recently Issued but Not Yet Adopted as of March 31, 2026</w:t>
            </w:r>
          </w:p>
        </w:tc>
      </w:tr>
      <w:tr>
        <w:trPr/>
        <w:tc>
          <w:tcPr>
            <w:tcW w:w="2467"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Standard</w:t>
            </w:r>
          </w:p>
        </w:tc>
        <w:tc>
          <w:tcPr>
            <w:tcW w:w="3455"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Guidance</w:t>
            </w:r>
          </w:p>
        </w:tc>
        <w:tc>
          <w:tcPr>
            <w:tcW w:w="4283" w:type="dxa"/>
            <w:gridSpan w:val="3"/>
            <w:tcBorders>
              <w:top w:val="single" w:sz="4" w:space="0" w:color="000000"/>
              <w:left w:val="single" w:sz="4" w:space="0" w:color="000000"/>
              <w:right w:val="single" w:sz="4"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Timing and Financial Statement Impact</w:t>
            </w:r>
          </w:p>
        </w:tc>
      </w:tr>
      <w:tr>
        <w:trPr/>
        <w:tc>
          <w:tcPr>
            <w:tcW w:w="246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Statement – Reporting Comprehensive Income – Expense Disaggregation Disclosures: Disaggregation of Income Statement Expenses</w:t>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Issued November, 2024</w:t>
            </w:r>
          </w:p>
        </w:tc>
        <w:tc>
          <w:tcPr>
            <w:tcW w:w="345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Requires disaggregated disclosure within the notes to the Consolidated Financial Statements of certain income statement expenses on the face of the Consolidated Statements of Income, and further disaggregation of certain expense captions into specified categories.</w:t>
            </w:r>
          </w:p>
        </w:tc>
        <w:tc>
          <w:tcPr>
            <w:tcW w:w="4283"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left"/>
              <w:rPr/>
            </w:pPr>
            <w:r>
              <w:rPr>
                <w:rFonts w:ascii="Times New Roman;serif" w:hAnsi="Times New Roman;serif"/>
                <w:b w:val="false"/>
                <w:color w:val="000000"/>
                <w:sz w:val="20"/>
              </w:rPr>
              <w:t>Effective beginning with our Annual Report on Form 10-K for the year ending December 31, 2027, and effective for interim reporting periods beginning in 2028. Early adoption is permitted, although we do not plan to early adopt.</w:t>
              <w:br/>
            </w:r>
            <w:r>
              <w:rPr>
                <w:rFonts w:ascii="Times New Roman;serif" w:hAnsi="Times New Roman;serif"/>
                <w:b w:val="false"/>
                <w:sz w:val="20"/>
              </w:rPr>
              <w:br/>
            </w:r>
            <w:r>
              <w:rPr>
                <w:rFonts w:ascii="Times New Roman;serif" w:hAnsi="Times New Roman;serif"/>
                <w:b w:val="false"/>
                <w:color w:val="000000"/>
                <w:sz w:val="20"/>
              </w:rPr>
              <w:t>Adoption is not expected to have a significant impact on our financial reporting, or on our operational processes, controls and governance in support of the new guidance.</w:t>
            </w:r>
          </w:p>
        </w:tc>
      </w:tr>
      <w:tr>
        <w:trPr/>
        <w:tc>
          <w:tcPr>
            <w:tcW w:w="2467"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Intangibles – Goodwill and Other – Internal-Use Software: Targeted Improvements to the Accounting for Internal-Use Software</w:t>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Issued September, 2025</w:t>
            </w:r>
          </w:p>
        </w:tc>
        <w:tc>
          <w:tcPr>
            <w:tcW w:w="3455"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Amends certain aspects of the accounting for and disclosure of internal-use software costs, including removing all references to prescriptive and sequential software development stages to align better with current software development methods, e.g., agile.</w:t>
            </w:r>
          </w:p>
        </w:tc>
        <w:tc>
          <w:tcPr>
            <w:tcW w:w="4283" w:type="dxa"/>
            <w:gridSpan w:val="3"/>
            <w:tcBorders>
              <w:top w:val="single" w:sz="4" w:space="0" w:color="000000"/>
              <w:left w:val="single" w:sz="4" w:space="0" w:color="000000"/>
              <w:right w:val="single" w:sz="4" w:space="0" w:color="000000"/>
            </w:tcBorders>
            <w:shd w:fill="CCEEFF" w:val="clear"/>
            <w:tcMar>
              <w:top w:w="30" w:type="dxa"/>
              <w:bottom w:w="0" w:type="dxa"/>
            </w:tcMar>
            <w:vAlign w:val="center"/>
          </w:tcPr>
          <w:p>
            <w:pPr>
              <w:pStyle w:val="TableContents"/>
              <w:bidi w:val="0"/>
              <w:spacing w:lineRule="auto" w:line="240" w:before="0" w:after="283"/>
              <w:jc w:val="left"/>
              <w:rPr/>
            </w:pPr>
            <w:r>
              <w:rPr>
                <w:rFonts w:ascii="Times New Roman;serif" w:hAnsi="Times New Roman;serif"/>
                <w:b w:val="false"/>
                <w:color w:val="000000"/>
                <w:sz w:val="20"/>
              </w:rPr>
              <w:t>Effective January 1, 2028. Early adoption is permitted, although we do not plan to early adopt.</w:t>
              <w:br/>
            </w:r>
            <w:r>
              <w:rPr>
                <w:rFonts w:ascii="Times New Roman;serif" w:hAnsi="Times New Roman;serif"/>
                <w:b w:val="false"/>
                <w:sz w:val="20"/>
              </w:rPr>
              <w:br/>
            </w:r>
            <w:r>
              <w:rPr>
                <w:rFonts w:ascii="Times New Roman;serif" w:hAnsi="Times New Roman;serif"/>
                <w:b w:val="false"/>
                <w:color w:val="000000"/>
                <w:sz w:val="20"/>
              </w:rPr>
              <w:t>Adoption is not expected to have a significant impact on our financial reporting, or on our operational processes, controls and governance in support of the new guidance.</w:t>
            </w:r>
          </w:p>
        </w:tc>
      </w:tr>
      <w:tr>
        <w:trPr/>
        <w:tc>
          <w:tcPr>
            <w:tcW w:w="2467"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Financial Instruments – Credit Losses: Purchased Loans</w:t>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Issued November, 2025</w:t>
            </w:r>
          </w:p>
        </w:tc>
        <w:tc>
          <w:tcPr>
            <w:tcW w:w="3455"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Amends the accounting for acquired loans (excluding credit cards) that meet certain criteria at acquisition (referred to as purchased seasoned loans) by recognizing them at their purchase price plus an allowance for expected credit losses (i.e., the gross-up approach).</w:t>
            </w:r>
          </w:p>
        </w:tc>
        <w:tc>
          <w:tcPr>
            <w:tcW w:w="4283" w:type="dxa"/>
            <w:gridSpan w:val="3"/>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bidi w:val="0"/>
              <w:spacing w:lineRule="auto" w:line="240" w:before="0" w:after="283"/>
              <w:jc w:val="left"/>
              <w:rPr/>
            </w:pPr>
            <w:r>
              <w:rPr>
                <w:rFonts w:ascii="Times New Roman;serif" w:hAnsi="Times New Roman;serif"/>
                <w:b w:val="false"/>
                <w:color w:val="000000"/>
                <w:sz w:val="20"/>
              </w:rPr>
              <w:t>Effective January 1, 2027. Early adoption is permitted, although we do not plan to early adopt.</w:t>
              <w:br/>
            </w:r>
            <w:r>
              <w:rPr>
                <w:rFonts w:ascii="Times New Roman;serif" w:hAnsi="Times New Roman;serif"/>
                <w:b w:val="false"/>
                <w:sz w:val="20"/>
              </w:rPr>
              <w:br/>
            </w:r>
            <w:r>
              <w:rPr>
                <w:rFonts w:ascii="Times New Roman;serif" w:hAnsi="Times New Roman;serif"/>
                <w:b w:val="false"/>
                <w:color w:val="000000"/>
                <w:sz w:val="20"/>
              </w:rPr>
              <w:t>Adoption is not expected to have a significant impact on our financial reporting, or on our operational processes, controls and governance in support of the new guidance.</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CREDIT CARD AND OTHER LOANS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payment and lending solutions result in the origination of Credit card and other loans, which are recorded at the time a borrower enters into a point-of-sale transaction with a merchant. Credit card loans represent revolving lines of credit and have a range of terms that include credit limits, interest rates and fees, which can be revised over time based on new information about the cardholder, in accordance with applicable regulations and the governing terms and conditions. Cardholders choosing to make a payment of less than the full balance due, instead of paying in full, are subject to finance charges and are required to make monthly payments based on pre-established amounts. Other loans consist primarily of our pay-over-time products, which include installment loans and “split-pay” offerings, and have a range of fixed terms such as interest rates, fees and repayment periods, and require borrowers to make pre-established monthly payments over the term of the loan in accordance with the applicable terms and conditions. Credit card and other loans include principal and any related accrued interest and fees and are presented on the Consolidated Balance Sheets net of the Allowance for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80"/>
            <w:sz w:val="20"/>
            <w:u w:val="single"/>
          </w:rPr>
          <w:t>Table of Con</w:t>
        </w:r>
      </w:hyperlink>
      <w:hyperlink w:anchor="i99042b5414b6429fab769eb95422460a_7">
        <w:r>
          <w:rPr>
            <w:rStyle w:val="InternetLink"/>
            <w:rFonts w:ascii="Times New Roman;serif" w:hAnsi="Times New Roman;serif"/>
            <w:b w:val="false"/>
            <w:color w:val="000080"/>
            <w:sz w:val="20"/>
            <w:u w:val="single"/>
          </w:rPr>
          <w:t>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losses. We continue to accrue interest and fee income on all accounts, except in limited circumstances, until the related balance and all related interest and fees are paid or charged-off.</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generally classify our Credit card and other loans as held for investment. We sell a majority of our credit card loans originated by Comenity Bank (CB) and by Comenity Capital Bank (CCB), to certain of our master securitization trusts (the Trusts), which are consolidated Variable Interest Entities (VIEs), and therefore these loans are restricted for securitization investors. New originations of Credit card and other loans are generally determined to be held for investment at origination because we have the intent and ability to hold them for the foreseeable future. In determining what constitutes the foreseeable future, we consider the average life and homogenous nature of our Credit card and other loans. In assessing whether our Credit card and other loans continue to be held for investment, we also consider capital levels and scheduled maturities of funding instruments used. The assertion regarding the intent and ability to hold Credit card and other loans for the foreseeable future can be made with a high degree of certainty given the maturity distribution of our direct-to-consumer (DTC or retail) deposits and other funding instruments; the demonstrated ability to replace maturing time-based deposits and other borrowings with new deposits or borrowings; and historic payment activity on Credit card and other loans. Due to the homogenous nature of our credit card loans, amounts are classified as held for investment on a brand partner portfolio basis. From time to time certain credit card loans are classified as held for sale, as determined on a brand partner portfolio or program basis. We carry held for sale loans at the lower of aggregate cost or fair value and continue to recognize finance charges on an accrual basis. Cash flows associated with Credit card and other loans originated or purchased for investment are classified as Cash flows from investing activities, regardless of any subsequent change in intent and ability.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Credit card and other loans, as of the dates presented: </w:t>
      </w:r>
    </w:p>
    <w:p>
      <w:pPr>
        <w:pStyle w:val="TextBody"/>
        <w:bidi w:val="0"/>
        <w:spacing w:before="0" w:after="0"/>
        <w:jc w:val="left"/>
        <w:rPr/>
      </w:pPr>
      <w:r>
        <w:rPr/>
      </w:r>
    </w:p>
    <w:tbl>
      <w:tblPr>
        <w:tblW w:w="6252" w:type="dxa"/>
        <w:jc w:val="left"/>
        <w:tblInd w:w="0" w:type="dxa"/>
        <w:tblLayout w:type="fixed"/>
        <w:tblCellMar>
          <w:top w:w="28" w:type="dxa"/>
          <w:left w:w="28" w:type="dxa"/>
          <w:bottom w:w="28" w:type="dxa"/>
          <w:right w:w="28" w:type="dxa"/>
        </w:tblCellMar>
      </w:tblPr>
      <w:tblGrid>
        <w:gridCol w:w="1128"/>
        <w:gridCol w:w="995"/>
        <w:gridCol w:w="997"/>
        <w:gridCol w:w="255"/>
        <w:gridCol w:w="873"/>
        <w:gridCol w:w="132"/>
        <w:gridCol w:w="109"/>
        <w:gridCol w:w="109"/>
        <w:gridCol w:w="109"/>
        <w:gridCol w:w="300"/>
        <w:gridCol w:w="1026"/>
        <w:gridCol w:w="219"/>
      </w:tblGrid>
      <w:tr>
        <w:trPr/>
        <w:tc>
          <w:tcPr>
            <w:tcW w:w="1128"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card loans</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loans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credit card and other loans </w:t>
            </w:r>
            <w:r>
              <w:rPr>
                <w:rFonts w:ascii="Times New Roman;serif" w:hAnsi="Times New Roman;serif"/>
                <w:b w:val="false"/>
                <w:color w:val="000000"/>
                <w:sz w:val="13"/>
              </w:rPr>
              <w:t>(1)(2)</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card and other loans, net</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16,057 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16,699 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Includes $10.1 billion and $10.7 billion of Credit card and other loans available to settle obligations of consolidated VIEs as of March 31, 2026 and December 31, 2025, respectively.</w:t>
      </w:r>
    </w:p>
    <w:p>
      <w:pPr>
        <w:pStyle w:val="TextBody"/>
        <w:bidi w:val="0"/>
        <w:spacing w:lineRule="auto" w:line="288" w:before="0" w:after="0"/>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Includes $382 million and $378 million, of accrued interest and fees that have not yet been billed to cardholders as of March 31, 2026 and December 31, 2025,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Credit Card and Other Loans Aging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delinquency trends of our Credit card and other loans portfolio, based on the amortized cost, as of the dates presented: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40"/>
        <w:gridCol w:w="405"/>
        <w:gridCol w:w="406"/>
        <w:gridCol w:w="361"/>
        <w:gridCol w:w="798"/>
        <w:gridCol w:w="186"/>
        <w:gridCol w:w="109"/>
        <w:gridCol w:w="109"/>
        <w:gridCol w:w="109"/>
        <w:gridCol w:w="361"/>
        <w:gridCol w:w="798"/>
        <w:gridCol w:w="186"/>
        <w:gridCol w:w="109"/>
        <w:gridCol w:w="109"/>
        <w:gridCol w:w="109"/>
        <w:gridCol w:w="392"/>
        <w:gridCol w:w="867"/>
        <w:gridCol w:w="202"/>
        <w:gridCol w:w="109"/>
        <w:gridCol w:w="109"/>
        <w:gridCol w:w="109"/>
        <w:gridCol w:w="211"/>
        <w:gridCol w:w="616"/>
        <w:gridCol w:w="109"/>
        <w:gridCol w:w="109"/>
        <w:gridCol w:w="109"/>
        <w:gridCol w:w="109"/>
        <w:gridCol w:w="211"/>
        <w:gridCol w:w="721"/>
        <w:gridCol w:w="109"/>
        <w:gridCol w:w="109"/>
        <w:gridCol w:w="109"/>
        <w:gridCol w:w="109"/>
        <w:gridCol w:w="211"/>
        <w:gridCol w:w="721"/>
        <w:gridCol w:w="159"/>
      </w:tblGrid>
      <w:tr>
        <w:trPr/>
        <w:tc>
          <w:tcPr>
            <w:tcW w:w="54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8"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Aging Analysis of Delinquent Amortized Cost</w:t>
            </w:r>
          </w:p>
          <w:p>
            <w:pPr>
              <w:pStyle w:val="TableContents"/>
              <w:bidi w:val="0"/>
              <w:spacing w:lineRule="auto" w:line="240" w:before="0" w:after="0"/>
              <w:jc w:val="center"/>
              <w:rPr/>
            </w:pPr>
            <w:r>
              <w:rPr>
                <w:rFonts w:ascii="Times New Roman;serif" w:hAnsi="Times New Roman;serif"/>
                <w:b/>
                <w:color w:val="000000"/>
                <w:sz w:val="16"/>
              </w:rPr>
              <w:t xml:space="preserve">Credit Card and Other Loans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30 to 59 Days Past Due</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60 to 89 Days Past Due</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90 or more Days Past Due</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Current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1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 xml:space="preserve">Other loans delinquencies have been included with credit card loan delinquencies in the table above, as amounts were insignificant as of each period presented. As permitted by GAAP, the primary difference between the amortized cost basis included in the table above and the carrying value of our Credit card and other loans relates to the exclusion of unbilled finance charges and fees from the amortized cost basis. As of March 31, 2026 and December 31, 2025, accrued interest and fees that have not yet been billed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80"/>
            <w:sz w:val="20"/>
            <w:u w:val="single"/>
          </w:rPr>
          <w:t>Table of Con</w:t>
        </w:r>
      </w:hyperlink>
      <w:hyperlink w:anchor="i99042b5414b6429fab769eb95422460a_7">
        <w:r>
          <w:rPr>
            <w:rStyle w:val="InternetLink"/>
            <w:rFonts w:ascii="Times New Roman;serif" w:hAnsi="Times New Roman;serif"/>
            <w:b w:val="false"/>
            <w:color w:val="000080"/>
            <w:sz w:val="20"/>
            <w:u w:val="single"/>
          </w:rPr>
          <w:t>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CONSOLIDATED FINANCIAL STATEMENTS (CONTINUED)</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cardholders were $382 million and $378 million, respectively, included in Credit card and other loans on the Consolidated Balance Sheets.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From time to time we may re-age cardholders’ accounts, with the intent of assisting delinquent cardholders who have experienced financial difficulties but who demonstrate both an ability and willingness to repay the amounts due. This practice affects credit card loan delinquencies and principal losses. Accounts meeting specific defined criteria are re-aged when the cardholder makes one or more consecutive payments aggregating to a certain pre-defined amount of their account balance. Upon re-aging, the outstanding balance of a delinquent account is returned to current status. Our re-aged accounts as a percentage of Total credit card and other loans represented 3.4% and 3.5% for the three months ended March 31, 2026</w:t>
      </w:r>
      <w:r>
        <w:rPr>
          <w:color w:val="000000"/>
        </w:rPr>
        <w:t xml:space="preserve"> </w:t>
      </w:r>
      <w:r>
        <w:rPr>
          <w:rFonts w:ascii="Times New Roman;serif" w:hAnsi="Times New Roman;serif"/>
          <w:b w:val="false"/>
          <w:color w:val="000000"/>
          <w:sz w:val="18"/>
        </w:rPr>
        <w:t xml:space="preserve">and </w:t>
      </w:r>
      <w:r>
        <w:rPr>
          <w:rFonts w:ascii="Times New Roman;serif" w:hAnsi="Times New Roman;serif"/>
          <w:b w:val="false"/>
          <w:color w:val="000000"/>
          <w:sz w:val="20"/>
        </w:rPr>
        <w:t>2025, respectively. Our re-aging practices comply with regulatory guidelines.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Credit Quality Indicators for Our Credit Card and Other Loans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Given the nature of our business, the credit quality of our assets, in particular our Credit card and other loans, is a key determinant underlying our ongoing financial performance and overall financial condition. When it comes to our Credit card and other loans portfolio, we closely monitor Delinquency rates and Net principal loss rates, which reflect, among other factors, our underwriting, the inherent credit risk in our portfolio and the success of our collection and recovery efforts. These rates also reflect, more broadly, the general macroeconomic conditions, including the compounding effect of persistent inflation relative to wage growth, and higher interest rates. Our Delinquency rates and Net principal loss rates are also impacted by the size of our Credit card and other loans portfolio, which serves as the denominator in the calculation of these rates. Accordingly, changes in the size of our portfolio (whether due to credit tightening, acquisitions or dispositions of portfolios, or otherwise) may cause movements in our Delinquency and Net principal loss rates that are not necessarily indicative of the underlying credit quality of the overall portfolio.</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Delinquencies:</w:t>
      </w:r>
      <w:r>
        <w:rPr>
          <w:color w:val="000000"/>
        </w:rPr>
        <w:t xml:space="preserve"> </w:t>
      </w:r>
      <w:r>
        <w:rPr>
          <w:rFonts w:ascii="Times New Roman;serif" w:hAnsi="Times New Roman;serif"/>
          <w:b w:val="false"/>
          <w:color w:val="000000"/>
          <w:sz w:val="20"/>
        </w:rPr>
        <w:t>An account is contractually delinquent if we do not receive the minimum payment due by the specified due date. Our policy is to continue to accrue interest and fee income on all accounts, except in limited circumstances, until the balance and all related interest and fees are paid or charged-off. After an account becomes 30 days past due, a proprietary collection scoring algorithm automatically scores the risk of the account becoming further delinquent; based upon the level of risk indicated, a collection strategy is deployed, which may include tech-enabled, targeted collections strategies to engage with cardholders in the most efficient communication channel. If after exhausting all in-house collection efforts we are unable to collect on the account, we may engage collection agencies or outside attorneys to continue those efforts, or sell the charged-off balances.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Delinquency rate is calculated by dividing outstanding principal balances that are contractually delinquent (i.e., principal balances 30 days past due or more) as of the end of the period, by the outstanding principal amount of Credit card and other loans as of the same period-end. As of March 31, 2026 and December 31, 2025 our Delinquency rates were 5.59% and 5.75%, respectively.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Net Principal Losses: </w:t>
      </w:r>
      <w:r>
        <w:rPr>
          <w:rFonts w:ascii="Times New Roman;serif" w:hAnsi="Times New Roman;serif"/>
          <w:b w:val="false"/>
          <w:color w:val="000000"/>
          <w:sz w:val="20"/>
        </w:rPr>
        <w:t>Our net principal losses include the principal amount of Credit card and other loans that are deemed uncollectible, less recoveries, and exclude charged-off interest, fees and third-party fraud losses (including synthetic fraud). Charged-off interest and fees reduce Interest and fees on loans, while third-party fraud losses are recorded in Card and processing expenses. Our credit card loans, including unpaid interest and fees, are generally charged-off in the month during which an account becomes 180 days past due. Our pay-over-time products, which include installment loans and “split-pay” offerings, including unpaid interest, are generally charged-off when a loan becomes 120 days past due. However, in the case of a customer bankruptcy or death, Credit card and other loans, including unpaid interest and fees, as applicable, are charged-off 60 days after receipt of the notification of the bankruptcy or death, but in any case no later than 180 days past due for credit card loans and 120 days past due for installment loans and “split-pay” offerings. We record the actual losses for unpaid interest and fees as a reduction to Interest and fees on loans, which were $226 million and $250 million for the three months ended March 31, 2026 and 2025,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Net principal loss rate is calculated by dividing net principal losses for the period by the Average credit card and other loans for the same period, using an average daily balance calculation methodology. For the three months ended March 31, 2026 and 2025, our Net principal loss rates were 7.33% and 8.16%,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80"/>
            <w:sz w:val="20"/>
            <w:u w:val="single"/>
          </w:rPr>
          <w:t>Table of Con</w:t>
        </w:r>
      </w:hyperlink>
      <w:hyperlink w:anchor="i99042b5414b6429fab769eb95422460a_7">
        <w:r>
          <w:rPr>
            <w:rStyle w:val="InternetLink"/>
            <w:rFonts w:ascii="Times New Roman;serif" w:hAnsi="Times New Roman;serif"/>
            <w:b w:val="false"/>
            <w:color w:val="000080"/>
            <w:sz w:val="20"/>
            <w:u w:val="single"/>
          </w:rPr>
          <w:t>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CONSOLIDATED FINANCIAL STATEMENTS (CONTINUED)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Overall Credit Quality:</w:t>
      </w:r>
      <w:r>
        <w:rPr>
          <w:color w:val="000000"/>
        </w:rPr>
        <w:t xml:space="preserve"> </w:t>
      </w:r>
      <w:r>
        <w:rPr>
          <w:rFonts w:ascii="Times New Roman;serif" w:hAnsi="Times New Roman;serif"/>
          <w:b w:val="false"/>
          <w:color w:val="000000"/>
          <w:sz w:val="20"/>
        </w:rPr>
        <w:t>As part of our credit risk management activities for our Credit card and other loans portfolio, we assess overall credit quality by reviewing information from credit bureaus and other sources relating to our cardholders’ broader credit performance. We utilize VantageScore (Vantage) credit scores to assist in our assessment of credit quality. Vantage credit scores are obtained at origination of the account and, for credit card loans, are refreshed monthly thereafter to assist in predicting customer behavior. We categorize these Vantage credit scores into the following three credit score ranges: (i) 651 or higher have the lowest credit risk; (ii) 591 to 650 are considered to have moderate credit risk; and (iii) 590 or lower have the highest credit risk. In certain limited circumstances there are customer accounts for which a Vantage score is not available and we use alternative sources to assess credit risk and predict behavior. The table below excludes less than 0.1% of the total credit card loans and total other loans balances as of both March 31, 2026 and December 31, 2025, representing those customer accounts for which a Vantage credit score is not available. The following table reflects the distribution of credit card and other loans by Vantage score as of the dates presented:</w:t>
      </w:r>
    </w:p>
    <w:p>
      <w:pPr>
        <w:pStyle w:val="TextBody"/>
        <w:bidi w:val="0"/>
        <w:spacing w:before="0" w:after="0"/>
        <w:jc w:val="left"/>
        <w:rPr/>
      </w:pPr>
      <w:r>
        <w:rPr/>
      </w:r>
    </w:p>
    <w:tbl>
      <w:tblPr>
        <w:tblW w:w="7361" w:type="dxa"/>
        <w:jc w:val="left"/>
        <w:tblInd w:w="0" w:type="dxa"/>
        <w:tblLayout w:type="fixed"/>
        <w:tblCellMar>
          <w:top w:w="28" w:type="dxa"/>
          <w:left w:w="28" w:type="dxa"/>
          <w:bottom w:w="28" w:type="dxa"/>
          <w:right w:w="28" w:type="dxa"/>
        </w:tblCellMar>
      </w:tblPr>
      <w:tblGrid>
        <w:gridCol w:w="542"/>
        <w:gridCol w:w="478"/>
        <w:gridCol w:w="480"/>
        <w:gridCol w:w="180"/>
        <w:gridCol w:w="181"/>
        <w:gridCol w:w="342"/>
        <w:gridCol w:w="109"/>
        <w:gridCol w:w="109"/>
        <w:gridCol w:w="109"/>
        <w:gridCol w:w="180"/>
        <w:gridCol w:w="181"/>
        <w:gridCol w:w="316"/>
        <w:gridCol w:w="109"/>
        <w:gridCol w:w="109"/>
        <w:gridCol w:w="109"/>
        <w:gridCol w:w="202"/>
        <w:gridCol w:w="204"/>
        <w:gridCol w:w="325"/>
        <w:gridCol w:w="109"/>
        <w:gridCol w:w="109"/>
        <w:gridCol w:w="109"/>
        <w:gridCol w:w="180"/>
        <w:gridCol w:w="181"/>
        <w:gridCol w:w="342"/>
        <w:gridCol w:w="109"/>
        <w:gridCol w:w="109"/>
        <w:gridCol w:w="109"/>
        <w:gridCol w:w="180"/>
        <w:gridCol w:w="181"/>
        <w:gridCol w:w="316"/>
        <w:gridCol w:w="109"/>
        <w:gridCol w:w="109"/>
        <w:gridCol w:w="109"/>
        <w:gridCol w:w="180"/>
        <w:gridCol w:w="181"/>
        <w:gridCol w:w="374"/>
      </w:tblGrid>
      <w:tr>
        <w:trPr/>
        <w:tc>
          <w:tcPr>
            <w:tcW w:w="54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651 or</w:t>
              <w:br/>
              <w:t>Higher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591 to</w:t>
              <w:br/>
              <w:t>650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590 or</w:t>
              <w:br/>
              <w:t>Lower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651 or</w:t>
              <w:br/>
              <w:t>Higher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591 to</w:t>
              <w:br/>
              <w:t>650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590 or</w:t>
              <w:br/>
              <w:t>Lower</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card loans</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loans</w:t>
            </w:r>
            <w:r>
              <w:rPr>
                <w:color w:val="000000"/>
              </w:rPr>
              <w:t xml:space="preserve"> </w:t>
            </w:r>
            <w:r>
              <w:rPr>
                <w:rFonts w:ascii="Times New Roman;serif" w:hAnsi="Times New Roman;serif"/>
                <w:b w:val="false"/>
                <w:color w:val="000000"/>
                <w:sz w:val="13"/>
              </w:rPr>
              <w:t>(1)</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Represents Vantage score distribution for our pay-over-time products that had an amortized cost basis of $447 million and $365 million as of March 31, 2026 and December 31, 2025,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Modified Credit Card Loans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Consumer Relief Programs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part of our collections strategy, we may offer temporary and short term programs in order to improve the likelihood of collections and meet the needs of our customers. Our modifications, for customers who have requested assistance and meet certain qualifying requirements, come in the form of reduced payment requirements, interest rate reductions and late fee waivers. We do not offer programs involving the forgiveness of principal. These temporary loan modifications may assist in cases where we believe the customer will recover from the short-term hardship and resume scheduled payments. Under these consumer relief programs, those accounts receiving relief may not advance to the next delinquency cycle, including charge-off, in the same time frame that would have occurred had the relief not been granted. We evaluate our consumer relief programs to determine if they represent a more than insignificant delay in payment granted to borrowers experiencing financial difficulty, in which case they would then be considered a Loan Modification. Loans in these short term programs that are determined to be Loan Modifications, will be included as such in the disclosure below. We do not offer Loan Modifications on our Other loans (i.e., our pay-over-time products).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Credit Card Loans – Modifications for Borrowers Experiencing Financial Difficulty (Loan Modifications)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instances where cardholders are experiencing financial difficulty, we may modify our credit card loans with the intention of minimizing losses and improving collectability, while providing cardholders with financial relief; such credit card loans are classified as Loan Modifications, exclusive of the temporary, short-term consumer relief programs described above. Loan Modifications include concessions consisting primarily of a reduced minimum payment, late fee waiver, and/or an interest rate reduction. The majority of concessions remain in place for a period no longer than 12 months; however, for certain modifications the concessions remain in place through the payoff of the credit card loans if the cardholder complies with the terms of the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Loan Modification concessions do not include the forgiveness of unpaid principal, but may involve the reversal of certain unpaid interest or fee assessments, and the cardholder’s ability to make future purchases is either limited or suspended until the cardholder successfully exits from the modification program. In accordance with the terms of our workout programs, the credit agreement reverts back to its original contractual terms (including the contractual interest rate) when the customer exits the program, which is either when all payments have been made in accordance with the program, or when the customer defaults out of the program.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80"/>
            <w:sz w:val="20"/>
            <w:u w:val="single"/>
          </w:rPr>
          <w:t>Table of Con</w:t>
        </w:r>
      </w:hyperlink>
      <w:hyperlink w:anchor="i99042b5414b6429fab769eb95422460a_7">
        <w:r>
          <w:rPr>
            <w:rStyle w:val="InternetLink"/>
            <w:rFonts w:ascii="Times New Roman;serif" w:hAnsi="Times New Roman;serif"/>
            <w:b w:val="false"/>
            <w:color w:val="000080"/>
            <w:sz w:val="20"/>
            <w:u w:val="single"/>
          </w:rPr>
          <w:t>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Loan Modifications are collectively evaluated for impairment on a pooled basis in measuring the appropriate Allowance for credit losses. The following table provides information relating to credit card loans to borrowers experiencing financial difficulty that were granted a concession under a Loan Modification program during the periods presented:</w:t>
      </w:r>
    </w:p>
    <w:p>
      <w:pPr>
        <w:pStyle w:val="TextBody"/>
        <w:bidi w:val="0"/>
        <w:spacing w:before="0" w:after="0"/>
        <w:jc w:val="left"/>
        <w:rPr/>
      </w:pPr>
      <w:r>
        <w:rPr/>
      </w:r>
    </w:p>
    <w:tbl>
      <w:tblPr>
        <w:tblW w:w="7166" w:type="dxa"/>
        <w:jc w:val="left"/>
        <w:tblInd w:w="0" w:type="dxa"/>
        <w:tblLayout w:type="fixed"/>
        <w:tblCellMar>
          <w:top w:w="28" w:type="dxa"/>
          <w:left w:w="28" w:type="dxa"/>
          <w:bottom w:w="28" w:type="dxa"/>
          <w:right w:w="28" w:type="dxa"/>
        </w:tblCellMar>
      </w:tblPr>
      <w:tblGrid>
        <w:gridCol w:w="1550"/>
        <w:gridCol w:w="1368"/>
        <w:gridCol w:w="1372"/>
        <w:gridCol w:w="227"/>
        <w:gridCol w:w="503"/>
        <w:gridCol w:w="292"/>
        <w:gridCol w:w="117"/>
        <w:gridCol w:w="117"/>
        <w:gridCol w:w="117"/>
        <w:gridCol w:w="227"/>
        <w:gridCol w:w="503"/>
        <w:gridCol w:w="292"/>
        <w:gridCol w:w="109"/>
        <w:gridCol w:w="109"/>
        <w:gridCol w:w="109"/>
        <w:gridCol w:w="154"/>
      </w:tblGrid>
      <w:tr>
        <w:trPr/>
        <w:tc>
          <w:tcPr>
            <w:tcW w:w="1550"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 except percentages)</w:t>
            </w:r>
          </w:p>
        </w:tc>
        <w:tc>
          <w:tcPr>
            <w:tcW w:w="1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Account balance</w:t>
            </w:r>
            <w:r>
              <w:rPr>
                <w:color w:val="000000"/>
              </w:rPr>
              <w:t xml:space="preserve"> </w:t>
            </w:r>
            <w:r>
              <w:rPr>
                <w:rFonts w:ascii="Times New Roman;serif" w:hAnsi="Times New Roman;serif"/>
                <w:b w:val="false"/>
                <w:color w:val="000000"/>
                <w:sz w:val="13"/>
              </w:rPr>
              <w:t>(1)</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of Total credit card loans</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interest rate reduction (% points)</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Represents the outstanding balances as of March 31, 2026 and 2025, of all Loan Modifications undertaken in the past three months, respectively, for credit card loans that remain in modification programs as of March 31, 2026 and 2025, respectively. The outstanding balances include principal, accrued interest and fees.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on these impaired credit card loans is accounted for in the same manner as non-impaired credit card loans, and cash collections are allocated according to the same payment hierarchy methodology applied for credit card loans not in Loan Modification programs.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performance of our credit card loans that were modified within the 12 months prior to the dates presented and remain in a Loan Modification program as of the dates presented: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74"/>
        <w:gridCol w:w="468"/>
        <w:gridCol w:w="469"/>
        <w:gridCol w:w="475"/>
        <w:gridCol w:w="812"/>
        <w:gridCol w:w="245"/>
        <w:gridCol w:w="109"/>
        <w:gridCol w:w="109"/>
        <w:gridCol w:w="109"/>
        <w:gridCol w:w="475"/>
        <w:gridCol w:w="812"/>
        <w:gridCol w:w="245"/>
        <w:gridCol w:w="109"/>
        <w:gridCol w:w="109"/>
        <w:gridCol w:w="109"/>
        <w:gridCol w:w="524"/>
        <w:gridCol w:w="897"/>
        <w:gridCol w:w="270"/>
        <w:gridCol w:w="109"/>
        <w:gridCol w:w="109"/>
        <w:gridCol w:w="109"/>
        <w:gridCol w:w="211"/>
        <w:gridCol w:w="361"/>
        <w:gridCol w:w="109"/>
        <w:gridCol w:w="109"/>
        <w:gridCol w:w="109"/>
        <w:gridCol w:w="109"/>
        <w:gridCol w:w="211"/>
        <w:gridCol w:w="466"/>
        <w:gridCol w:w="109"/>
        <w:gridCol w:w="109"/>
        <w:gridCol w:w="109"/>
        <w:gridCol w:w="109"/>
        <w:gridCol w:w="211"/>
        <w:gridCol w:w="466"/>
        <w:gridCol w:w="160"/>
      </w:tblGrid>
      <w:tr>
        <w:trPr/>
        <w:tc>
          <w:tcPr>
            <w:tcW w:w="57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Aging Analysis of Delinquent Amortized Cost</w:t>
              <w:br/>
              <w:t>Loan Modifications - Credit Card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30 to 59 Days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60 to 89 Days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90 or more Days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15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additional information regarding credit card Loan Modifications that have subsequently defaulted within 12 months of their modification dates, for the periods presented; the probability of default is factored into the Allowance for credit losses:</w:t>
      </w:r>
    </w:p>
    <w:p>
      <w:pPr>
        <w:pStyle w:val="TextBody"/>
        <w:bidi w:val="0"/>
        <w:spacing w:before="0" w:after="0"/>
        <w:jc w:val="left"/>
        <w:rPr/>
      </w:pPr>
      <w:r>
        <w:rPr/>
      </w:r>
    </w:p>
    <w:tbl>
      <w:tblPr>
        <w:tblW w:w="6354" w:type="dxa"/>
        <w:jc w:val="left"/>
        <w:tblInd w:w="0" w:type="dxa"/>
        <w:tblLayout w:type="fixed"/>
        <w:tblCellMar>
          <w:top w:w="28" w:type="dxa"/>
          <w:left w:w="28" w:type="dxa"/>
          <w:bottom w:w="28" w:type="dxa"/>
          <w:right w:w="28" w:type="dxa"/>
        </w:tblCellMar>
      </w:tblPr>
      <w:tblGrid>
        <w:gridCol w:w="1260"/>
        <w:gridCol w:w="1108"/>
        <w:gridCol w:w="1111"/>
        <w:gridCol w:w="299"/>
        <w:gridCol w:w="513"/>
        <w:gridCol w:w="154"/>
        <w:gridCol w:w="154"/>
        <w:gridCol w:w="154"/>
        <w:gridCol w:w="154"/>
        <w:gridCol w:w="299"/>
        <w:gridCol w:w="513"/>
        <w:gridCol w:w="154"/>
        <w:gridCol w:w="109"/>
        <w:gridCol w:w="109"/>
        <w:gridCol w:w="109"/>
        <w:gridCol w:w="154"/>
      </w:tblGrid>
      <w:tr>
        <w:trPr/>
        <w:tc>
          <w:tcPr>
            <w:tcW w:w="12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 except for Number of modifications)</w:t>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modifications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balance</w:t>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Unfunded Lending Commitments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manage potential credit risk in unfunded lending commitments by reviewing each potential customer’s credit application and evaluating the applicant’s financial history and ability and perceived willingness to repay. Credit card loans are made primarily on an unsecured basis, and our Cardholders reside throughout the U.S. and are not significantly concentrated in any one geographic area.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manage our potential risk in credit commitments by limiting the total amount of credit, both by individual customer and across our credit card loan portfolio, by monitoring the size and maturity of our loan portfolio and applying consistent risk-based underwriting standards reflective of current and anticipated macroeconomic conditions. We have the unilateral ability to cancel or reduce unused credit card lines at any time. Unused credit card lines available to cardholders totaled approximately $97 billion and $98 billion as of March 31, 2026 and December 31, 2025, respectively. While this amount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80"/>
            <w:sz w:val="20"/>
            <w:u w:val="single"/>
          </w:rPr>
          <w:t>Table of Con</w:t>
        </w:r>
      </w:hyperlink>
      <w:hyperlink w:anchor="i99042b5414b6429fab769eb95422460a_7">
        <w:r>
          <w:rPr>
            <w:rStyle w:val="InternetLink"/>
            <w:rFonts w:ascii="Times New Roman;serif" w:hAnsi="Times New Roman;serif"/>
            <w:b w:val="false"/>
            <w:color w:val="000080"/>
            <w:sz w:val="20"/>
            <w:u w:val="single"/>
          </w:rPr>
          <w:t>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represented the total available unused credit card lines, we have not experienced and do not anticipate that all cardholders will access their entire available line at any given point in time.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Portfolio Sales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there were no credit card loans held for sale.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Portfolio Acquisitions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March 31, 2025, we did not acquire any credit card loan portfolios.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3. ALLOWANCE FOR CREDIT LOSSES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Allowance for credit losses represents our estimate of expected credit losses over the estimated life of our Credit card and other loans, incorporating future macroeconomic forecasts in addition to information about past events and current conditions. Our estimate under the Current Expected Credit Loss (CECL) approach is significantly influenced by the composition, characteristics and quality of our portfolio of Credit card and other loans, as well as the prevailing economic conditions and forecasts utilized. The Allowance for credit losses includes an estimate for uncollectible principal as well as billed, unpaid interest and fees. Principal losses, net of recoveries are deducted from the Allowance for credit losses. Losses of unpaid interest and fees are recorded as a reduction to Interest and fees on loans upon charge-off. The Allowance for credit losses is maintained through an adjustment to the Provision for credit losses and is evaluated for appropriateness on a quarterly basis.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estimating our Allowance for credit losses, for each identified segment of loans sharing similar risk characteristics, management uses modeling and estimation techniques based on historical loss experience, current conditions, reasonable and supportable forecasts and other relevant factors. This modeling uses historical data and applicable macroeconomic variables with statistical analysis and behavioral relationships, to determine expected credit performance. Our quantitative estimate of expected credit losses under CECL is impacted by certain forecasted macroeconomic variables. We consider the macroeconomic forecast used to be reasonable and supportable over the estimated life of the Credit card and other loans portfolio, with no reversion period. In addition to the quantitative estimate of expected credit losses, we also incorporate qualitative adjustments for certain factors such as Company-specific risks, changes in current macroeconomic conditions that may not be captured in the quantitatively derived results, or other relevant factors to ensure the Allowance for credit losses reflects our best estimate of current expected credit losses.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Credit Card Loans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use a “pooled” approach to estimate expected credit losses for financial assets with similar risk characteristics. We have evaluated multiple risk characteristics across our credit card loans portfolio, and determined delinquency status and overall credit quality to be the most significant characteristics for estimating expected credit losses. To estimate our Allowance for credit losses, we segment our credit card loans on the basis of delinquency status, credit quality risk score and product. These risk characteristics are evaluated on at least an annual basis, or more frequently as facts and circumstances warrant. In determining the estimated life of our credit card loans, payments were applied to the measurement date balance with no payments allocated to future purchase activity. We use a combination of First In First Out and the Credit Card Accountability, Responsibility, and Disclosure Act of 2009 (CARD Act) methodologies to model balance paydown.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Other Loans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measure our Allowance for credit losses on Other loans, consisting primarily of our installment loans and “split-pay” offerings, using a statistical model to estimate projected losses over the remaining terms of the loans, inclusive of an assumption for prepayments. The model is based on the historical statistical relationship between loan loss performance and certain macroeconomic data pooled based on credit quality risk score, term of the underlying loans, vintage and geographic location. As of March 31, 2026 and December 31, 2025, the Allowance for credit losses on Other loans was $27 million and $26 million, respectively.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80"/>
            <w:sz w:val="20"/>
            <w:u w:val="single"/>
          </w:rPr>
          <w:t>Table of Con</w:t>
        </w:r>
      </w:hyperlink>
      <w:hyperlink w:anchor="i99042b5414b6429fab769eb95422460a_7">
        <w:r>
          <w:rPr>
            <w:rStyle w:val="InternetLink"/>
            <w:rFonts w:ascii="Times New Roman;serif" w:hAnsi="Times New Roman;serif"/>
            <w:b w:val="false"/>
            <w:color w:val="000080"/>
            <w:sz w:val="20"/>
            <w:u w:val="single"/>
          </w:rPr>
          <w:t>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CONSOLIDATED FINANCIAL STATEMENTS (CONTINUED)</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Allowance for Credit Losses Rollforward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our Allowance for credit losses for our Credit card and other loans. The amount of the related Allowance for credit losses on other loans is insignificant and therefore has been included in the table below for the periods presented:</w:t>
      </w:r>
    </w:p>
    <w:p>
      <w:pPr>
        <w:pStyle w:val="TextBody"/>
        <w:bidi w:val="0"/>
        <w:spacing w:before="0" w:after="0"/>
        <w:jc w:val="left"/>
        <w:rPr/>
      </w:pPr>
      <w:r>
        <w:rPr/>
      </w:r>
    </w:p>
    <w:tbl>
      <w:tblPr>
        <w:tblW w:w="5095" w:type="dxa"/>
        <w:jc w:val="left"/>
        <w:tblInd w:w="0" w:type="dxa"/>
        <w:tblLayout w:type="fixed"/>
        <w:tblCellMar>
          <w:top w:w="28" w:type="dxa"/>
          <w:left w:w="28" w:type="dxa"/>
          <w:bottom w:w="28" w:type="dxa"/>
          <w:right w:w="28" w:type="dxa"/>
        </w:tblCellMar>
      </w:tblPr>
      <w:tblGrid>
        <w:gridCol w:w="872"/>
        <w:gridCol w:w="768"/>
        <w:gridCol w:w="775"/>
        <w:gridCol w:w="211"/>
        <w:gridCol w:w="616"/>
        <w:gridCol w:w="109"/>
        <w:gridCol w:w="109"/>
        <w:gridCol w:w="109"/>
        <w:gridCol w:w="109"/>
        <w:gridCol w:w="211"/>
        <w:gridCol w:w="616"/>
        <w:gridCol w:w="109"/>
        <w:gridCol w:w="109"/>
        <w:gridCol w:w="109"/>
        <w:gridCol w:w="109"/>
        <w:gridCol w:w="154"/>
      </w:tblGrid>
      <w:tr>
        <w:trPr/>
        <w:tc>
          <w:tcPr>
            <w:tcW w:w="87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Provision for credit losses </w:t>
            </w:r>
            <w:r>
              <w:rPr>
                <w:rFonts w:ascii="Times New Roman;serif" w:hAnsi="Times New Roman;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principal losses </w:t>
            </w:r>
            <w:r>
              <w:rPr>
                <w:rFonts w:ascii="Times New Roman;serif" w:hAnsi="Times New Roman;serif"/>
                <w:b w:val="false"/>
                <w:color w:val="000000"/>
                <w:sz w:val="13"/>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Provision for credit losses includes a build/release for the Allowance for credit losses, as well as replenishment of Net principal losses. Beginning on January 1, 2026 any changes in the estimate for uncollectible unpaid interest and fees will be recognized as part of the Provision for credit losses; previously such changes were recognized as part of Interest and fees on loans.</w:t>
      </w:r>
    </w:p>
    <w:p>
      <w:pPr>
        <w:pStyle w:val="TextBody"/>
        <w:bidi w:val="0"/>
        <w:spacing w:lineRule="auto" w:line="288" w:before="0" w:after="0"/>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Net principal losses are presented net of recoveries of $89 million and $96 million for the three months ended March 31, 2026 and 2025,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the balance of the Allowance for credit losses decreased, due primarily to the decrease in Credit card and other loans as seasonally higher transactor balances from the fourth quarter of 2025 were paid down in the first quarter of 2026. Our reserve rate was 11.46% and 12.19% as of March 31, 2026 and 2025, respectively, reflecting our improving credit metrics and higher-quality new account acquisitions. We continue to maintain appropriately prudent weightings on the economic scenarios in our credit reserve modeling to ensure the adequacy of our Allowance for credit losses given the wide range of potential macroeconomic dynamics, including ongoing uncertainty regarding trade policy and global conflicts, and downstream impacts on inflation and unemployment.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4. SECURITIZATIONS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account for transfers of financial assets as either sales or financings. Transfers of financial assets that are accounted for as a sale are removed from the Consolidated Balance Sheets with any realized gain or loss reflected in the Consolidated Statements of Income during the period in which the sale occurs. Transfers of financial assets that are not accounted for as a sale are treated as a financing.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regularly securitize the majority of our credit card loans through the transfer of those loans to one of our Trusts. We perform the decision making for the Trusts, as well as servicing the cardholder accounts that generate the credit card loans held by the Trusts. In our capacity as a servicer, we administer the loans, collect payments and charge-off uncollectible balances. Servicing fees are earned by a subsidiary, which are eliminated in consolidation.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Trusts are consolidated VIEs because they have insufficient equity at risk to finance their activities – the issuance of debt securities and notes, collateralized by the underlying credit card loans. Because we perform the decision making and servicing for the Trusts, we have the power to direct the activities that most significantly impact the Trusts’ economic performance (the collection of the underlying credit card loans). In addition, we hold all of the variable interests in the Trusts, with the exception of the liabilities held by third-parties. These variable interests provide us with the right to receive benefits and the obligation to absorb losses, which could be significant to the Trusts. As a result of these considerations, we are deemed to be the primary beneficiary of the Trusts and therefore consolidate the Trusts.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Trusts issue debt securities and notes, which are non-recourse to us. The collections on the securitized credit card loans held by the Trusts are available only for payment of those debt securities and notes, or other obligations arising in the securitization transactions. For our securitized credit card loans, during the initial phase of a securitization reinvestment period, we generally retain principal collections in exchange for the transfer of additional credit card loans into the securitized pool of assets. During the amortization or accumulation period of a securitization, the investors’ share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80"/>
            <w:sz w:val="20"/>
            <w:u w:val="single"/>
          </w:rPr>
          <w:t>Table of Con</w:t>
        </w:r>
      </w:hyperlink>
      <w:hyperlink w:anchor="i99042b5414b6429fab769eb95422460a_7">
        <w:r>
          <w:rPr>
            <w:rStyle w:val="InternetLink"/>
            <w:rFonts w:ascii="Times New Roman;serif" w:hAnsi="Times New Roman;serif"/>
            <w:b w:val="false"/>
            <w:color w:val="000080"/>
            <w:sz w:val="20"/>
            <w:u w:val="single"/>
          </w:rPr>
          <w:t>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collections (in certain cases, up to a maximum specified amount each month) is either distributed to the investors or held in an account until it accumulates to the total amount due, at which time it is paid to the investors in a lump sum.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Under the Indentures of each Trust and their Indenture Supplements, we are required to maintain minimum interests in our Trusts ranging from 4% to 8% of the securitized credit card loans. This requirement is met through a transferor’s interest and is supplemented through excess funding deposits which represent cash amounts deposited with the trustee of the securitizations. Cash collateral, restricted deposits are generally released proportionately as investors are repaid. Under the terms of the Trusts, the occurrence of certain triggering events associated with the performance of the securitized credit card loans in each Trust could result in certain required actions, including payment of Trust expenses, the establishment of reserve funds, or early amortization of the debt securities and/or notes, in a worst-case scenario. During the three months ended March 31, 2026 and 2025, no such triggering events occurred.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the total securitized credit card loans, and related delinquencies and net principal losses of securitized credit card loans, for the periods presented:</w:t>
      </w:r>
    </w:p>
    <w:p>
      <w:pPr>
        <w:pStyle w:val="TextBody"/>
        <w:bidi w:val="0"/>
        <w:spacing w:before="0" w:after="0"/>
        <w:jc w:val="left"/>
        <w:rPr/>
      </w:pPr>
      <w:r>
        <w:rPr/>
      </w:r>
    </w:p>
    <w:tbl>
      <w:tblPr>
        <w:tblW w:w="8792" w:type="dxa"/>
        <w:jc w:val="left"/>
        <w:tblInd w:w="0" w:type="dxa"/>
        <w:tblLayout w:type="fixed"/>
        <w:tblCellMar>
          <w:top w:w="28" w:type="dxa"/>
          <w:left w:w="28" w:type="dxa"/>
          <w:bottom w:w="28" w:type="dxa"/>
          <w:right w:w="28" w:type="dxa"/>
        </w:tblCellMar>
      </w:tblPr>
      <w:tblGrid>
        <w:gridCol w:w="2276"/>
        <w:gridCol w:w="1996"/>
        <w:gridCol w:w="2013"/>
        <w:gridCol w:w="211"/>
        <w:gridCol w:w="721"/>
        <w:gridCol w:w="109"/>
        <w:gridCol w:w="109"/>
        <w:gridCol w:w="109"/>
        <w:gridCol w:w="109"/>
        <w:gridCol w:w="221"/>
        <w:gridCol w:w="757"/>
        <w:gridCol w:w="161"/>
      </w:tblGrid>
      <w:tr>
        <w:trPr/>
        <w:tc>
          <w:tcPr>
            <w:tcW w:w="2276"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6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credit card loans – available to settle obligations of consolidated VIEs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 which: principal amount of credit card loans 90 days or more past due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105" w:type="dxa"/>
        <w:jc w:val="left"/>
        <w:tblInd w:w="0" w:type="dxa"/>
        <w:tblLayout w:type="fixed"/>
        <w:tblCellMar>
          <w:top w:w="28" w:type="dxa"/>
          <w:left w:w="28" w:type="dxa"/>
          <w:bottom w:w="28" w:type="dxa"/>
          <w:right w:w="28" w:type="dxa"/>
        </w:tblCellMar>
      </w:tblPr>
      <w:tblGrid>
        <w:gridCol w:w="1530"/>
        <w:gridCol w:w="1345"/>
        <w:gridCol w:w="1354"/>
        <w:gridCol w:w="266"/>
        <w:gridCol w:w="589"/>
        <w:gridCol w:w="137"/>
        <w:gridCol w:w="137"/>
        <w:gridCol w:w="137"/>
        <w:gridCol w:w="137"/>
        <w:gridCol w:w="266"/>
        <w:gridCol w:w="589"/>
        <w:gridCol w:w="137"/>
        <w:gridCol w:w="109"/>
        <w:gridCol w:w="109"/>
        <w:gridCol w:w="109"/>
        <w:gridCol w:w="154"/>
      </w:tblGrid>
      <w:tr>
        <w:trPr/>
        <w:tc>
          <w:tcPr>
            <w:tcW w:w="153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9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principal losses of securitized credit card loans</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INVESTMENTS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Investments include investment securities and various other investments primarily held by the Banks for Community Reinvestment Act (CRA) purposes. Investment securities consist of available-for-sale (AFS) debt securities, which are mortgage-backed securities and municipal bonds, and equity securities, which are mutual funds. Investment securities are carried at fair value on the Consolidated Balance Sheets. We also have other investments, which primarily include a portfolio of investments in certain limited partnerships and limited liability companies accounted for under the equity method, and therefore are recorded at cost and adjusted each period for our share of the investee’s earnings or losses, less any impairment. Other investments also includes an insignificant tax credit investment where we elected to apply the proportional amortization method of accounting, for which the impacts of both the amortization of the investment and income tax benefits are fully recognized in the Provision for income taxes. Refer to Note 8, “Fair Values of Financial Instruments” for a description of our methodology for determining the fair values of our investment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our Investments as of the dates presented:</w:t>
      </w:r>
    </w:p>
    <w:p>
      <w:pPr>
        <w:pStyle w:val="TextBody"/>
        <w:bidi w:val="0"/>
        <w:spacing w:before="0" w:after="0"/>
        <w:jc w:val="left"/>
        <w:rPr/>
      </w:pPr>
      <w:r>
        <w:rPr/>
      </w:r>
    </w:p>
    <w:tbl>
      <w:tblPr>
        <w:tblW w:w="5485" w:type="dxa"/>
        <w:jc w:val="left"/>
        <w:tblInd w:w="0" w:type="dxa"/>
        <w:tblLayout w:type="fixed"/>
        <w:tblCellMar>
          <w:top w:w="28" w:type="dxa"/>
          <w:left w:w="28" w:type="dxa"/>
          <w:bottom w:w="28" w:type="dxa"/>
          <w:right w:w="28" w:type="dxa"/>
        </w:tblCellMar>
      </w:tblPr>
      <w:tblGrid>
        <w:gridCol w:w="1143"/>
        <w:gridCol w:w="1005"/>
        <w:gridCol w:w="1016"/>
        <w:gridCol w:w="229"/>
        <w:gridCol w:w="507"/>
        <w:gridCol w:w="118"/>
        <w:gridCol w:w="109"/>
        <w:gridCol w:w="109"/>
        <w:gridCol w:w="109"/>
        <w:gridCol w:w="289"/>
        <w:gridCol w:w="639"/>
        <w:gridCol w:w="212"/>
      </w:tblGrid>
      <w:tr>
        <w:trPr/>
        <w:tc>
          <w:tcPr>
            <w:tcW w:w="114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23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w:t>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debt securities</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 securities</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and other investments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AFS debt securities in an unrealized loss position, any estimated credit losses are recognized in the Consolidated Statements of Income by establishing or adjusting an existing Allowance for credit losses for such losses. We typically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80"/>
            <w:sz w:val="20"/>
            <w:u w:val="single"/>
          </w:rPr>
          <w:t>Table of Con</w:t>
        </w:r>
      </w:hyperlink>
      <w:hyperlink w:anchor="i99042b5414b6429fab769eb95422460a_7">
        <w:r>
          <w:rPr>
            <w:rStyle w:val="InternetLink"/>
            <w:rFonts w:ascii="Times New Roman;serif" w:hAnsi="Times New Roman;serif"/>
            <w:b w:val="false"/>
            <w:color w:val="000080"/>
            <w:sz w:val="20"/>
            <w:u w:val="single"/>
          </w:rPr>
          <w:t>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 in highly-rated securities with low probabilities of default; therefore, we did not have an Allowance for credit losses as of March 31, 2026 and December 31, 2025, and did not recognize any credit losses for the periods presented. Any unrealized gains, or any portion of an AFS debt security’s non-credit-related unrealized losses are recorded in the Consolidated Statements of Comprehensive Income, net of tax. The gross unrealized losses on our AFS debt securities are primarily attributable to an increase in the current benchmark interest rate. Any realized gains and losses are recorded in Other non-interest expenses in the Consolidated Statements of Income upon disposition of the AFS debt security, using the specific identification method. Gains and losses on investments in equity securities and CRA-related equity method investments are recorded in Other non-interest expenses in the Consolidated Statements of Income.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provides unrealized gains and losses on AFS debt securities as of the dates presented:</w:t>
      </w:r>
    </w:p>
    <w:p>
      <w:pPr>
        <w:pStyle w:val="TextBody"/>
        <w:bidi w:val="0"/>
        <w:spacing w:before="0" w:after="0"/>
        <w:jc w:val="left"/>
        <w:rPr/>
      </w:pPr>
      <w:r>
        <w:rPr/>
      </w:r>
    </w:p>
    <w:tbl>
      <w:tblPr>
        <w:tblW w:w="10768" w:type="dxa"/>
        <w:jc w:val="left"/>
        <w:tblInd w:w="0" w:type="dxa"/>
        <w:tblLayout w:type="fixed"/>
        <w:tblCellMar>
          <w:top w:w="28" w:type="dxa"/>
          <w:left w:w="28" w:type="dxa"/>
          <w:bottom w:w="28" w:type="dxa"/>
          <w:right w:w="28" w:type="dxa"/>
        </w:tblCellMar>
      </w:tblPr>
      <w:tblGrid>
        <w:gridCol w:w="570"/>
        <w:gridCol w:w="501"/>
        <w:gridCol w:w="505"/>
        <w:gridCol w:w="233"/>
        <w:gridCol w:w="516"/>
        <w:gridCol w:w="122"/>
        <w:gridCol w:w="109"/>
        <w:gridCol w:w="109"/>
        <w:gridCol w:w="109"/>
        <w:gridCol w:w="257"/>
        <w:gridCol w:w="495"/>
        <w:gridCol w:w="134"/>
        <w:gridCol w:w="109"/>
        <w:gridCol w:w="109"/>
        <w:gridCol w:w="109"/>
        <w:gridCol w:w="268"/>
        <w:gridCol w:w="478"/>
        <w:gridCol w:w="140"/>
        <w:gridCol w:w="109"/>
        <w:gridCol w:w="109"/>
        <w:gridCol w:w="109"/>
        <w:gridCol w:w="211"/>
        <w:gridCol w:w="466"/>
        <w:gridCol w:w="109"/>
        <w:gridCol w:w="109"/>
        <w:gridCol w:w="109"/>
        <w:gridCol w:w="109"/>
        <w:gridCol w:w="233"/>
        <w:gridCol w:w="516"/>
        <w:gridCol w:w="122"/>
        <w:gridCol w:w="109"/>
        <w:gridCol w:w="109"/>
        <w:gridCol w:w="109"/>
        <w:gridCol w:w="257"/>
        <w:gridCol w:w="495"/>
        <w:gridCol w:w="134"/>
        <w:gridCol w:w="109"/>
        <w:gridCol w:w="109"/>
        <w:gridCol w:w="109"/>
        <w:gridCol w:w="268"/>
        <w:gridCol w:w="478"/>
        <w:gridCol w:w="140"/>
        <w:gridCol w:w="109"/>
        <w:gridCol w:w="109"/>
        <w:gridCol w:w="109"/>
        <w:gridCol w:w="211"/>
        <w:gridCol w:w="466"/>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securities</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information about AFS debt securities in a gross unrealized loss position and the length of time that individual securities have been in a continuous unrealized loss position, as of the dates presented:</w:t>
      </w:r>
    </w:p>
    <w:p>
      <w:pPr>
        <w:pStyle w:val="TextBody"/>
        <w:bidi w:val="0"/>
        <w:spacing w:before="0" w:after="0"/>
        <w:jc w:val="left"/>
        <w:rPr/>
      </w:pPr>
      <w:r>
        <w:rPr/>
      </w:r>
    </w:p>
    <w:tbl>
      <w:tblPr>
        <w:tblW w:w="9374" w:type="dxa"/>
        <w:jc w:val="left"/>
        <w:tblInd w:w="0" w:type="dxa"/>
        <w:tblLayout w:type="fixed"/>
        <w:tblCellMar>
          <w:top w:w="28" w:type="dxa"/>
          <w:left w:w="28" w:type="dxa"/>
          <w:bottom w:w="28" w:type="dxa"/>
          <w:right w:w="28" w:type="dxa"/>
        </w:tblCellMar>
      </w:tblPr>
      <w:tblGrid>
        <w:gridCol w:w="862"/>
        <w:gridCol w:w="758"/>
        <w:gridCol w:w="764"/>
        <w:gridCol w:w="274"/>
        <w:gridCol w:w="469"/>
        <w:gridCol w:w="141"/>
        <w:gridCol w:w="109"/>
        <w:gridCol w:w="109"/>
        <w:gridCol w:w="109"/>
        <w:gridCol w:w="257"/>
        <w:gridCol w:w="495"/>
        <w:gridCol w:w="134"/>
        <w:gridCol w:w="109"/>
        <w:gridCol w:w="109"/>
        <w:gridCol w:w="109"/>
        <w:gridCol w:w="237"/>
        <w:gridCol w:w="525"/>
        <w:gridCol w:w="122"/>
        <w:gridCol w:w="109"/>
        <w:gridCol w:w="109"/>
        <w:gridCol w:w="109"/>
        <w:gridCol w:w="268"/>
        <w:gridCol w:w="478"/>
        <w:gridCol w:w="140"/>
        <w:gridCol w:w="109"/>
        <w:gridCol w:w="109"/>
        <w:gridCol w:w="109"/>
        <w:gridCol w:w="237"/>
        <w:gridCol w:w="525"/>
        <w:gridCol w:w="122"/>
        <w:gridCol w:w="109"/>
        <w:gridCol w:w="109"/>
        <w:gridCol w:w="109"/>
        <w:gridCol w:w="265"/>
        <w:gridCol w:w="472"/>
        <w:gridCol w:w="194"/>
      </w:tblGrid>
      <w:tr>
        <w:trPr/>
        <w:tc>
          <w:tcPr>
            <w:tcW w:w="86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Months or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Losses</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8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securities</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375" w:type="dxa"/>
        <w:jc w:val="left"/>
        <w:tblInd w:w="0" w:type="dxa"/>
        <w:tblLayout w:type="fixed"/>
        <w:tblCellMar>
          <w:top w:w="28" w:type="dxa"/>
          <w:left w:w="28" w:type="dxa"/>
          <w:bottom w:w="28" w:type="dxa"/>
          <w:right w:w="28" w:type="dxa"/>
        </w:tblCellMar>
      </w:tblPr>
      <w:tblGrid>
        <w:gridCol w:w="862"/>
        <w:gridCol w:w="758"/>
        <w:gridCol w:w="764"/>
        <w:gridCol w:w="257"/>
        <w:gridCol w:w="495"/>
        <w:gridCol w:w="133"/>
        <w:gridCol w:w="109"/>
        <w:gridCol w:w="109"/>
        <w:gridCol w:w="109"/>
        <w:gridCol w:w="257"/>
        <w:gridCol w:w="495"/>
        <w:gridCol w:w="134"/>
        <w:gridCol w:w="109"/>
        <w:gridCol w:w="109"/>
        <w:gridCol w:w="109"/>
        <w:gridCol w:w="237"/>
        <w:gridCol w:w="525"/>
        <w:gridCol w:w="122"/>
        <w:gridCol w:w="109"/>
        <w:gridCol w:w="109"/>
        <w:gridCol w:w="109"/>
        <w:gridCol w:w="268"/>
        <w:gridCol w:w="478"/>
        <w:gridCol w:w="140"/>
        <w:gridCol w:w="109"/>
        <w:gridCol w:w="109"/>
        <w:gridCol w:w="109"/>
        <w:gridCol w:w="237"/>
        <w:gridCol w:w="525"/>
        <w:gridCol w:w="122"/>
        <w:gridCol w:w="109"/>
        <w:gridCol w:w="109"/>
        <w:gridCol w:w="109"/>
        <w:gridCol w:w="265"/>
        <w:gridCol w:w="472"/>
        <w:gridCol w:w="194"/>
      </w:tblGrid>
      <w:tr>
        <w:trPr/>
        <w:tc>
          <w:tcPr>
            <w:tcW w:w="86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Months or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Losses</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securities</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March 31, 2026 our AFS debt securities included mortgage-backed securities and municipal bonds. The mortgage-backed securities, which do not have a single maturity date, have an amortized cost and estimated fair value of $160 million and $145 million, respectively, with a weighted average yield of 3.29%. The municipal bonds which all have a maturity date greater than ten years, have an amortized cost and estimated fair value of $30 million and $27 million, respectively, with a weighted average yield of 3.83%. Weighted average yield is computed using the effective yield of each security owned at the end of the period, weighted based on the amortized cost of each security. The effective yield considers the contractual coupon, amortization of premiums and accretion of discounts. Accrued interest on our AFS debt securities is included in Other assets on the Consolidated Balance Sheets and was insignificant as of both March 31, 2026 and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were no realized gains or losses from the sale of any investment securities for the three months ended March 31, 2026 and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80"/>
            <w:sz w:val="20"/>
            <w:u w:val="single"/>
          </w:rPr>
          <w:t>Table of Con</w:t>
        </w:r>
      </w:hyperlink>
      <w:hyperlink w:anchor="i99042b5414b6429fab769eb95422460a_7">
        <w:r>
          <w:rPr>
            <w:rStyle w:val="InternetLink"/>
            <w:rFonts w:ascii="Times New Roman;serif" w:hAnsi="Times New Roman;serif"/>
            <w:b w:val="false"/>
            <w:color w:val="000080"/>
            <w:sz w:val="20"/>
            <w:u w:val="single"/>
          </w:rPr>
          <w:t>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CONSOLIDATED FINANCIAL STATEMENTS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DEPOSITS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Deposits were categorized as interest-bearing or non-interest-bearing as follows, as of the dates presented:</w:t>
      </w:r>
    </w:p>
    <w:p>
      <w:pPr>
        <w:pStyle w:val="TextBody"/>
        <w:bidi w:val="0"/>
        <w:spacing w:before="0" w:after="0"/>
        <w:jc w:val="left"/>
        <w:rPr/>
      </w:pPr>
      <w:r>
        <w:rPr/>
      </w:r>
    </w:p>
    <w:tbl>
      <w:tblPr>
        <w:tblW w:w="7442" w:type="dxa"/>
        <w:jc w:val="left"/>
        <w:tblInd w:w="0" w:type="dxa"/>
        <w:tblLayout w:type="fixed"/>
        <w:tblCellMar>
          <w:top w:w="28" w:type="dxa"/>
          <w:left w:w="28" w:type="dxa"/>
          <w:bottom w:w="28" w:type="dxa"/>
          <w:right w:w="28" w:type="dxa"/>
        </w:tblCellMar>
      </w:tblPr>
      <w:tblGrid>
        <w:gridCol w:w="1784"/>
        <w:gridCol w:w="1567"/>
        <w:gridCol w:w="1584"/>
        <w:gridCol w:w="211"/>
        <w:gridCol w:w="721"/>
        <w:gridCol w:w="109"/>
        <w:gridCol w:w="109"/>
        <w:gridCol w:w="109"/>
        <w:gridCol w:w="109"/>
        <w:gridCol w:w="221"/>
        <w:gridCol w:w="757"/>
        <w:gridCol w:w="161"/>
      </w:tblGrid>
      <w:tr>
        <w:trPr/>
        <w:tc>
          <w:tcPr>
            <w:tcW w:w="1784"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Non-interest-bearing (including cardholder credit balances)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Deposits by deposit type were as follows as of the dates presented:</w:t>
      </w:r>
    </w:p>
    <w:p>
      <w:pPr>
        <w:pStyle w:val="TextBody"/>
        <w:bidi w:val="0"/>
        <w:spacing w:before="0" w:after="0"/>
        <w:jc w:val="left"/>
        <w:rPr/>
      </w:pPr>
      <w:r>
        <w:rPr/>
      </w:r>
    </w:p>
    <w:tbl>
      <w:tblPr>
        <w:tblW w:w="4801" w:type="dxa"/>
        <w:jc w:val="left"/>
        <w:tblInd w:w="0" w:type="dxa"/>
        <w:tblLayout w:type="fixed"/>
        <w:tblCellMar>
          <w:top w:w="28" w:type="dxa"/>
          <w:left w:w="28" w:type="dxa"/>
          <w:bottom w:w="28" w:type="dxa"/>
          <w:right w:w="28" w:type="dxa"/>
        </w:tblCellMar>
      </w:tblPr>
      <w:tblGrid>
        <w:gridCol w:w="829"/>
        <w:gridCol w:w="727"/>
        <w:gridCol w:w="738"/>
        <w:gridCol w:w="211"/>
        <w:gridCol w:w="721"/>
        <w:gridCol w:w="109"/>
        <w:gridCol w:w="109"/>
        <w:gridCol w:w="109"/>
        <w:gridCol w:w="109"/>
        <w:gridCol w:w="221"/>
        <w:gridCol w:w="757"/>
        <w:gridCol w:w="161"/>
      </w:tblGrid>
      <w:tr>
        <w:trPr/>
        <w:tc>
          <w:tcPr>
            <w:tcW w:w="82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Savings accounts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Direct-to-consumer (retail)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Direct-to-consumer (retail)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Cardholder credit balances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scheduled maturities of certificates of deposit were as follows as of March 31, 2026:</w:t>
      </w:r>
    </w:p>
    <w:p>
      <w:pPr>
        <w:pStyle w:val="TextBody"/>
        <w:bidi w:val="0"/>
        <w:spacing w:before="0" w:after="0"/>
        <w:jc w:val="left"/>
        <w:rPr/>
      </w:pPr>
      <w:r>
        <w:rPr/>
      </w:r>
    </w:p>
    <w:tbl>
      <w:tblPr>
        <w:tblW w:w="3320" w:type="dxa"/>
        <w:jc w:val="left"/>
        <w:tblInd w:w="0" w:type="dxa"/>
        <w:tblLayout w:type="fixed"/>
        <w:tblCellMar>
          <w:top w:w="28" w:type="dxa"/>
          <w:left w:w="28" w:type="dxa"/>
          <w:bottom w:w="28" w:type="dxa"/>
          <w:right w:w="28" w:type="dxa"/>
        </w:tblCellMar>
      </w:tblPr>
      <w:tblGrid>
        <w:gridCol w:w="844"/>
        <w:gridCol w:w="744"/>
        <w:gridCol w:w="751"/>
        <w:gridCol w:w="211"/>
        <w:gridCol w:w="616"/>
        <w:gridCol w:w="154"/>
      </w:tblGrid>
      <w:tr>
        <w:trPr/>
        <w:tc>
          <w:tcPr>
            <w:tcW w:w="8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2026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certificates of deposit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 xml:space="preserve">The 2026 balance includes $3 million in unamortized debt issuance costs, which are associated with the entire portfolio of certificates of deposit.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retail deposits that exceeded applicable Federal Deposit Insurance Corporation (FDIC) insurance limits, which are generally $250,000 per depositor, per insured bank, per ownership category, were estimated to be $658 million (5% of Total deposits) and $638 million (5% of Total deposits), respectively. The measurement of estimated uninsured deposits aligns with regulatory guidelines.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80"/>
            <w:sz w:val="20"/>
            <w:u w:val="single"/>
          </w:rPr>
          <w:t>Table of Con</w:t>
        </w:r>
      </w:hyperlink>
      <w:hyperlink w:anchor="i99042b5414b6429fab769eb95422460a_7">
        <w:r>
          <w:rPr>
            <w:rStyle w:val="InternetLink"/>
            <w:rFonts w:ascii="Times New Roman;serif" w:hAnsi="Times New Roman;serif"/>
            <w:b w:val="false"/>
            <w:color w:val="000080"/>
            <w:sz w:val="20"/>
            <w:u w:val="single"/>
          </w:rPr>
          <w:t>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CONSOLIDATED FINANCIAL STATEMENTS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OTHER NON-INTEREST INCOME AND OTHER NON-INTEREST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components of Other non-interest income for the periods presented:</w:t>
      </w:r>
    </w:p>
    <w:p>
      <w:pPr>
        <w:pStyle w:val="TextBody"/>
        <w:bidi w:val="0"/>
        <w:spacing w:before="0" w:after="0"/>
        <w:jc w:val="left"/>
        <w:rPr/>
      </w:pPr>
      <w:r>
        <w:rPr/>
      </w:r>
    </w:p>
    <w:tbl>
      <w:tblPr>
        <w:tblW w:w="4854" w:type="dxa"/>
        <w:jc w:val="left"/>
        <w:tblInd w:w="0" w:type="dxa"/>
        <w:tblLayout w:type="fixed"/>
        <w:tblCellMar>
          <w:top w:w="28" w:type="dxa"/>
          <w:left w:w="28" w:type="dxa"/>
          <w:bottom w:w="28" w:type="dxa"/>
          <w:right w:w="28" w:type="dxa"/>
        </w:tblCellMar>
      </w:tblPr>
      <w:tblGrid>
        <w:gridCol w:w="972"/>
        <w:gridCol w:w="852"/>
        <w:gridCol w:w="860"/>
        <w:gridCol w:w="211"/>
        <w:gridCol w:w="361"/>
        <w:gridCol w:w="109"/>
        <w:gridCol w:w="109"/>
        <w:gridCol w:w="109"/>
        <w:gridCol w:w="109"/>
        <w:gridCol w:w="211"/>
        <w:gridCol w:w="361"/>
        <w:gridCol w:w="109"/>
        <w:gridCol w:w="109"/>
        <w:gridCol w:w="109"/>
        <w:gridCol w:w="109"/>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protection products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Paper statement fees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non-interest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components of Other non-interest expenses for the periods presented:</w:t>
      </w:r>
    </w:p>
    <w:p>
      <w:pPr>
        <w:pStyle w:val="TextBody"/>
        <w:bidi w:val="0"/>
        <w:spacing w:before="0" w:after="0"/>
        <w:jc w:val="both"/>
        <w:rPr/>
      </w:pPr>
      <w:r>
        <w:rPr/>
      </w:r>
    </w:p>
    <w:tbl>
      <w:tblPr>
        <w:tblW w:w="5559" w:type="dxa"/>
        <w:jc w:val="left"/>
        <w:tblInd w:w="0" w:type="dxa"/>
        <w:tblLayout w:type="fixed"/>
        <w:tblCellMar>
          <w:top w:w="28" w:type="dxa"/>
          <w:left w:w="28" w:type="dxa"/>
          <w:bottom w:w="28" w:type="dxa"/>
          <w:right w:w="28" w:type="dxa"/>
        </w:tblCellMar>
      </w:tblPr>
      <w:tblGrid>
        <w:gridCol w:w="1226"/>
        <w:gridCol w:w="1077"/>
        <w:gridCol w:w="1086"/>
        <w:gridCol w:w="211"/>
        <w:gridCol w:w="361"/>
        <w:gridCol w:w="109"/>
        <w:gridCol w:w="109"/>
        <w:gridCol w:w="109"/>
        <w:gridCol w:w="109"/>
        <w:gridCol w:w="211"/>
        <w:gridCol w:w="361"/>
        <w:gridCol w:w="109"/>
        <w:gridCol w:w="109"/>
        <w:gridCol w:w="109"/>
        <w:gridCol w:w="109"/>
        <w:gridCol w:w="154"/>
      </w:tblGrid>
      <w:tr>
        <w:trPr/>
        <w:tc>
          <w:tcPr>
            <w:tcW w:w="1226"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 and regulatory fees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expense</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(1)</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non-interest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18"/>
        </w:rPr>
        <w:t>Primarily related to costs associated with various other individually insignificant operating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8. FAIR VALUES OF FINANCIAL INSTRUMENTS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is defined under GAAP as the price that would be required to sell an asset or paid to transfer a liability in an orderly transaction between market participants at the measurement date; with such a transaction based on the principal market, or in the absence of a principal market the most advantageous market for the specific instrument. GAAP provides for a three-level fair value hierarchy that classifies the inputs to valuation techniques used to measure fair value, defined as follows: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Level 1:</w:t>
      </w:r>
      <w:r>
        <w:rPr>
          <w:color w:val="000000"/>
        </w:rPr>
        <w:t xml:space="preserve"> </w:t>
      </w:r>
      <w:r>
        <w:rPr>
          <w:rFonts w:ascii="Times New Roman;serif" w:hAnsi="Times New Roman;serif"/>
          <w:b w:val="false"/>
          <w:color w:val="000000"/>
          <w:sz w:val="20"/>
        </w:rPr>
        <w:t>Inputs that are unadjusted quoted prices for identical assets or liabilities in active markets that the entity can access.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Level 2:</w:t>
      </w:r>
      <w:r>
        <w:rPr>
          <w:color w:val="000000"/>
        </w:rPr>
        <w:t xml:space="preserve"> </w:t>
      </w:r>
      <w:r>
        <w:rPr>
          <w:rFonts w:ascii="Times New Roman;serif" w:hAnsi="Times New Roman;serif"/>
          <w:b w:val="false"/>
          <w:color w:val="000000"/>
          <w:sz w:val="20"/>
        </w:rPr>
        <w:t>Inputs, other than those included within Level 1, that are observable for the asset or liability, either directly or indirectly, for substantially the full term of the asset or liability, including quoted prices for similar assets or liabilities in active markets, quoted prices for identical or similar assets or liabilities in inactive markets, or inputs other than quoted prices that are observable for the asset or liability.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Level 3:</w:t>
      </w:r>
      <w:r>
        <w:rPr>
          <w:color w:val="000000"/>
        </w:rPr>
        <w:t xml:space="preserve"> </w:t>
      </w:r>
      <w:r>
        <w:rPr>
          <w:rFonts w:ascii="Times New Roman;serif" w:hAnsi="Times New Roman;serif"/>
          <w:b w:val="false"/>
          <w:color w:val="000000"/>
          <w:sz w:val="20"/>
        </w:rPr>
        <w:t xml:space="preserve">Inputs that are unobservable (e.g., internally derived assumptions) and reflect an entity’s assumptions about estimates market participants would use in pricing the asset or liability based on the best information available under the circumstances. In particular, Level 3 inputs and valuation techniques involve judgment and as a result are not necessarily indicative of amounts we would realize in a current market exchange. The use of different assumptions or estimation techniques may have a material effect on the estimated fair value amounts.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monitor the market conditions and evaluate the fair value hierarchy levels at least quarterly. For the three months ended March 31, 2026 and 2025, there were no transfers into or out of Level 3, and no transfers between Levels 1 and 2.</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80"/>
            <w:sz w:val="20"/>
            <w:u w:val="single"/>
          </w:rPr>
          <w:t>Table of Con</w:t>
        </w:r>
      </w:hyperlink>
      <w:hyperlink w:anchor="i99042b5414b6429fab769eb95422460a_7">
        <w:r>
          <w:rPr>
            <w:rStyle w:val="InternetLink"/>
            <w:rFonts w:ascii="Times New Roman;serif" w:hAnsi="Times New Roman;serif"/>
            <w:b w:val="false"/>
            <w:color w:val="000080"/>
            <w:sz w:val="20"/>
            <w:u w:val="single"/>
          </w:rPr>
          <w:t>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carrying values and fair values of our financial assets and financial liabilities as of the dates presented:</w:t>
      </w:r>
    </w:p>
    <w:p>
      <w:pPr>
        <w:pStyle w:val="TextBody"/>
        <w:bidi w:val="0"/>
        <w:spacing w:before="0" w:after="0"/>
        <w:jc w:val="left"/>
        <w:rPr/>
      </w:pPr>
      <w:r>
        <w:rPr/>
      </w:r>
    </w:p>
    <w:tbl>
      <w:tblPr>
        <w:tblW w:w="8040" w:type="dxa"/>
        <w:jc w:val="left"/>
        <w:tblInd w:w="0" w:type="dxa"/>
        <w:tblLayout w:type="fixed"/>
        <w:tblCellMar>
          <w:top w:w="28" w:type="dxa"/>
          <w:left w:w="28" w:type="dxa"/>
          <w:bottom w:w="28" w:type="dxa"/>
          <w:right w:w="28" w:type="dxa"/>
        </w:tblCellMar>
      </w:tblPr>
      <w:tblGrid>
        <w:gridCol w:w="1033"/>
        <w:gridCol w:w="905"/>
        <w:gridCol w:w="91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03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card and other loans,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issued by consolidated VIEs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and other debt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Valuation Techniques Used in the Fair Value Measurement of Financial Assets and Financial Liabilities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Credit card and other loans, net:</w:t>
      </w:r>
      <w:r>
        <w:rPr>
          <w:color w:val="000000"/>
        </w:rPr>
        <w:t xml:space="preserve"> </w:t>
      </w:r>
      <w:r>
        <w:rPr>
          <w:rFonts w:ascii="Times New Roman;serif" w:hAnsi="Times New Roman;serif"/>
          <w:b w:val="false"/>
          <w:color w:val="000000"/>
          <w:sz w:val="20"/>
        </w:rPr>
        <w:t xml:space="preserve">Our Credit card and other loans are recorded at amortized cost, less the Allowance for credit losses, on the Consolidated Balance Sheets. In estimating the fair values, we use a discounted cash flow model (i.e., Level 3 inputs), primarily because a comparable whole loan sales market for similar loans does not exist, and therefore there is a lack of observable pricing inputs. We use various internally derived inputs, including projected income, discount rates and forecasted charge-offs. Economic value attributable to future loans generated by the cardholder accounts is not included in the fair values.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Investment securities: </w:t>
      </w:r>
      <w:r>
        <w:rPr>
          <w:rFonts w:ascii="Times New Roman;serif" w:hAnsi="Times New Roman;serif"/>
          <w:b w:val="false"/>
          <w:color w:val="000000"/>
          <w:sz w:val="20"/>
        </w:rPr>
        <w:t>Investment securities consist of AFS debt securities, including both mortgage-backed securities and municipal bonds, as well as equity securities, which are mutual funds, and are recorded at fair value on the Consolidated Balance Sheets. Quoted prices of identical or similar investment securities in active markets are used to estimate the fair values (i.e., Level 1 or Level 2 inputs).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Derivative assets and liabilities</w:t>
      </w:r>
      <w:r>
        <w:rPr>
          <w:rFonts w:ascii="Times New Roman;serif" w:hAnsi="Times New Roman;serif"/>
          <w:b w:val="false"/>
          <w:color w:val="000000"/>
          <w:sz w:val="20"/>
        </w:rPr>
        <w:t>: We use derivatives to manage our interest rate and foreign currency risk exposures. When quoted market prices are available and used to value our derivatives, we classify them as Level 1. However, the majority of our derivatives do not have readily available quoted market prices. Therefore, we value most of our derivatives using vendor-based models. We primarily rely on market observable inputs for these models, including, for example, interest rate yield curves and currency rates. These inputs can vary depending on the type of derivatives and nature of the underlying rate, price or index upon which the value of the derivative is based. We typically classify derivatives as Level 2 as significant inputs can be observed in a liquid market and the underlying model itself does not require significant judgment. At least annually, we reaffirm our understanding of the valuation techniques applied in our vendor-based models and validate the valuation output on a quarterly basis. Our derivatives are included in Other assets or Other liabilities on the Consolidated Balance Sheets. The fair value impacts of our derivative assets and liabilities were insignificant to the Consolidated Financial Statements for the periods presented on both a gross basis and, where applicable, a net basis.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Deposits: </w:t>
      </w:r>
      <w:r>
        <w:rPr>
          <w:rFonts w:ascii="Times New Roman;serif" w:hAnsi="Times New Roman;serif"/>
          <w:b w:val="false"/>
          <w:color w:val="000000"/>
          <w:sz w:val="20"/>
        </w:rPr>
        <w:t>Money market and other non-maturity deposits carrying values approximate their fair values because they are short-term in duration and have no defined maturity. GAAP requires that the fair values of deposit liabilities with no stated maturities equal their carrying values and does not permit recognition of the inherent funding value of the instruments. Certificates of deposit are recorded at their historical issuance cost on the Consolidated Balance Sheets, adjusted for unamortized fees, with the fair value being estimated based on the currently observable market rates available to us for similar deposits with similar remaining maturities (i.e., Level 2 inputs). Interest payable is included within Other liabilities on the Consolidated Balance Sheets.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Debt issued by consolidated VIEs: </w:t>
      </w:r>
      <w:r>
        <w:rPr>
          <w:rFonts w:ascii="Times New Roman;serif" w:hAnsi="Times New Roman;serif"/>
          <w:b w:val="false"/>
          <w:color w:val="000000"/>
          <w:sz w:val="20"/>
        </w:rPr>
        <w:t xml:space="preserve">We record Debt issued by our consolidated VIEs at amortized cost (including unamortized fees, issuance costs, premiums and discounts, where applicable) on the Consolidated Balance Sheets. Fair value is estimated based on the currently observable market rates available to us for similar debt instruments with similar remaining maturities or quoted market prices for the same transaction (i.e., Level 2 inputs). Interest payable is included within Other liabilities on the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80"/>
            <w:sz w:val="20"/>
            <w:u w:val="single"/>
          </w:rPr>
          <w:t>Table of Con</w:t>
        </w:r>
      </w:hyperlink>
      <w:hyperlink w:anchor="i99042b5414b6429fab769eb95422460a_7">
        <w:r>
          <w:rPr>
            <w:rStyle w:val="InternetLink"/>
            <w:rFonts w:ascii="Times New Roman;serif" w:hAnsi="Times New Roman;serif"/>
            <w:b w:val="false"/>
            <w:color w:val="000080"/>
            <w:sz w:val="20"/>
            <w:u w:val="single"/>
          </w:rPr>
          <w:t>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CONSOLIDATED FINANCIAL STATEMENTS (CONTINUED)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Long-term and other debt: </w:t>
      </w:r>
      <w:r>
        <w:rPr>
          <w:rFonts w:ascii="Times New Roman;serif" w:hAnsi="Times New Roman;serif"/>
          <w:b w:val="false"/>
          <w:color w:val="000000"/>
          <w:sz w:val="20"/>
        </w:rPr>
        <w:t>We record Long-term and other debt at amortized cost (including unamortized fees, issuance costs, premiums and discounts, where applicable) on the Consolidated Balance Sheets. Fair value is estimated based on the currently observable market rates available to us for similar debt instruments with similar remaining maturities, or quoted market prices for the same transaction (i.e., Level 2 inputs). Interest payable is included within Other liabilities on the Consolidated Balance Sheets.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Financial Instruments Measured at Fair Value on a Recurring Basis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our financial instruments measured at fair value on a recurring basis, categorized by the fair value hierarchy described in the preceding paragraphs, as of the dates presented:</w:t>
      </w:r>
    </w:p>
    <w:p>
      <w:pPr>
        <w:pStyle w:val="TextBody"/>
        <w:bidi w:val="0"/>
        <w:spacing w:before="0" w:after="0"/>
        <w:jc w:val="left"/>
        <w:rPr/>
      </w:pPr>
      <w:r>
        <w:rPr/>
      </w:r>
    </w:p>
    <w:tbl>
      <w:tblPr>
        <w:tblW w:w="6884" w:type="dxa"/>
        <w:jc w:val="left"/>
        <w:tblInd w:w="0" w:type="dxa"/>
        <w:tblLayout w:type="fixed"/>
        <w:tblCellMar>
          <w:top w:w="28" w:type="dxa"/>
          <w:left w:w="28" w:type="dxa"/>
          <w:bottom w:w="28" w:type="dxa"/>
          <w:right w:w="28" w:type="dxa"/>
        </w:tblCellMar>
      </w:tblPr>
      <w:tblGrid>
        <w:gridCol w:w="1040"/>
        <w:gridCol w:w="914"/>
        <w:gridCol w:w="925"/>
        <w:gridCol w:w="211"/>
        <w:gridCol w:w="466"/>
        <w:gridCol w:w="109"/>
        <w:gridCol w:w="109"/>
        <w:gridCol w:w="109"/>
        <w:gridCol w:w="109"/>
        <w:gridCol w:w="211"/>
        <w:gridCol w:w="361"/>
        <w:gridCol w:w="109"/>
        <w:gridCol w:w="109"/>
        <w:gridCol w:w="109"/>
        <w:gridCol w:w="109"/>
        <w:gridCol w:w="211"/>
        <w:gridCol w:w="466"/>
        <w:gridCol w:w="109"/>
        <w:gridCol w:w="109"/>
        <w:gridCol w:w="109"/>
        <w:gridCol w:w="109"/>
        <w:gridCol w:w="211"/>
        <w:gridCol w:w="406"/>
        <w:gridCol w:w="154"/>
      </w:tblGrid>
      <w:tr>
        <w:trPr/>
        <w:tc>
          <w:tcPr>
            <w:tcW w:w="1040"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884" w:type="dxa"/>
        <w:jc w:val="left"/>
        <w:tblInd w:w="0" w:type="dxa"/>
        <w:tblLayout w:type="fixed"/>
        <w:tblCellMar>
          <w:top w:w="28" w:type="dxa"/>
          <w:left w:w="28" w:type="dxa"/>
          <w:bottom w:w="28" w:type="dxa"/>
          <w:right w:w="28" w:type="dxa"/>
        </w:tblCellMar>
      </w:tblPr>
      <w:tblGrid>
        <w:gridCol w:w="1040"/>
        <w:gridCol w:w="914"/>
        <w:gridCol w:w="925"/>
        <w:gridCol w:w="211"/>
        <w:gridCol w:w="466"/>
        <w:gridCol w:w="109"/>
        <w:gridCol w:w="109"/>
        <w:gridCol w:w="109"/>
        <w:gridCol w:w="109"/>
        <w:gridCol w:w="211"/>
        <w:gridCol w:w="361"/>
        <w:gridCol w:w="109"/>
        <w:gridCol w:w="109"/>
        <w:gridCol w:w="109"/>
        <w:gridCol w:w="109"/>
        <w:gridCol w:w="211"/>
        <w:gridCol w:w="466"/>
        <w:gridCol w:w="109"/>
        <w:gridCol w:w="109"/>
        <w:gridCol w:w="109"/>
        <w:gridCol w:w="109"/>
        <w:gridCol w:w="211"/>
        <w:gridCol w:w="406"/>
        <w:gridCol w:w="154"/>
      </w:tblGrid>
      <w:tr>
        <w:trPr/>
        <w:tc>
          <w:tcPr>
            <w:tcW w:w="1040"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Assets and Liabilities Measured at Fair Value on a Nonrecurring Basis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Certain assets and liabilities are recognized or disclosed at fair value on a nonrecurring basis, including equity method investments, property and equipment, right-of-use assets, deferred contract costs, goodwill and intangible assets. These assets are not measured at fair value on a recurring basis but are subject to fair value adjustments in certain circumstances, such as upon impairment. We did not have any impairments for the three months ended March 31, 2026 and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Financial Instruments Disclosed but Not Carried at Fair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fair values of financial instruments that are measured at amortized cost are estimates, and require management’s judgment; therefore, these fair value estimates may not be indicative of future fair values, nor can our fair value be estimated by aggregating all of the amounts presented. The following tables summarize our financial assets and financial liabilities that are measured at amortized cost, and not required to be carried at fair value on a recurring basis, as of the dates presented:</w:t>
      </w:r>
    </w:p>
    <w:tbl>
      <w:tblPr>
        <w:tblW w:w="7725" w:type="dxa"/>
        <w:jc w:val="left"/>
        <w:tblInd w:w="0" w:type="dxa"/>
        <w:tblLayout w:type="fixed"/>
        <w:tblCellMar>
          <w:top w:w="28" w:type="dxa"/>
          <w:left w:w="28" w:type="dxa"/>
          <w:bottom w:w="28" w:type="dxa"/>
          <w:right w:w="28" w:type="dxa"/>
        </w:tblCellMar>
      </w:tblPr>
      <w:tblGrid>
        <w:gridCol w:w="1033"/>
        <w:gridCol w:w="905"/>
        <w:gridCol w:w="912"/>
        <w:gridCol w:w="211"/>
        <w:gridCol w:w="721"/>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54"/>
      </w:tblGrid>
      <w:tr>
        <w:trPr/>
        <w:tc>
          <w:tcPr>
            <w:tcW w:w="103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card and other loans,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issued by consolidated VIEs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and other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80"/>
            <w:sz w:val="20"/>
            <w:u w:val="single"/>
          </w:rPr>
          <w:t>Table of Con</w:t>
        </w:r>
      </w:hyperlink>
      <w:hyperlink w:anchor="i99042b5414b6429fab769eb95422460a_7">
        <w:r>
          <w:rPr>
            <w:rStyle w:val="InternetLink"/>
            <w:rFonts w:ascii="Times New Roman;serif" w:hAnsi="Times New Roman;serif"/>
            <w:b w:val="false"/>
            <w:color w:val="000080"/>
            <w:sz w:val="20"/>
            <w:u w:val="single"/>
          </w:rPr>
          <w:t>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CONSOLIDATED FINANCIAL STATEMENTS (CONTINUED)</w:t>
      </w:r>
    </w:p>
    <w:tbl>
      <w:tblPr>
        <w:tblW w:w="7725" w:type="dxa"/>
        <w:jc w:val="left"/>
        <w:tblInd w:w="0" w:type="dxa"/>
        <w:tblLayout w:type="fixed"/>
        <w:tblCellMar>
          <w:top w:w="28" w:type="dxa"/>
          <w:left w:w="28" w:type="dxa"/>
          <w:bottom w:w="28" w:type="dxa"/>
          <w:right w:w="28" w:type="dxa"/>
        </w:tblCellMar>
      </w:tblPr>
      <w:tblGrid>
        <w:gridCol w:w="1033"/>
        <w:gridCol w:w="905"/>
        <w:gridCol w:w="912"/>
        <w:gridCol w:w="211"/>
        <w:gridCol w:w="721"/>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54"/>
      </w:tblGrid>
      <w:tr>
        <w:trPr/>
        <w:tc>
          <w:tcPr>
            <w:tcW w:w="103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card and other loans,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issued by consolidated VIEs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and other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9. STOCK-BASED COMPENSATION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we awarded 632,791 service-based restricted stock units (RSUs) with a weighted average grant date fair market value per share of $73.04 as determined on the date of grant. Service-based restricted stock units typically vest ratably over three years provided that the participant is employed by us on each such vesting 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we awarded 169,462 performance-based restricted stock units with a fair market value of approximately $73.16. Performance-based RSUs cliff vest at the end of three years, if specific performance measures tied to our financial performance are met. For the performance-based RSUs awarded in 2026, the predefined vesting criteria permit a range from 0% to 160% to be earned, subject to a market-based condition. Accruals of compensation cost for an award with a performance condition are based on the probable outcome of that performance condition. If the performance targets are met, these awards will vest with respect to the entire award on February 17, 2029, provided that the participant is employed by us on the vesting date (subject to certain limited exceptions, such as death, disability and qualifying retirements).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we recognized $15 million and $13 million in stock-based compensation expense,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10. PREFERRED STOCK AND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Preferred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2025, we authorized and issued 75,000 shares of preferred stock as depositary shares (the Depositary Shares) for gross proceeds of $75 million, with each Depositary Share representing a 1/40th interest in our Series A 8.625% Non-Cumulative Perpetual Preferred Stock, par value $0.01 per share (the Series A Preferred Stock). The Series A Preferred Stock has a liquidation preference of $25 per Depositary Share (equivalent to $1,000 per share of Series A Preferred Stock) and as of both March 31, 2026 and December 31, 2025, the aggregate liquidation value was $75 million.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Stock Repurchase Authorizations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Periodically, we repurchase shares of our common stock pursuant to Board-approved share repurchase authorizations. The rationale for our repurchase authorizations, and the amounts thereof, is to execute against our previously disclosed capital priorities to grow responsibly, maintain balance sheet strength, and return value to stockholders.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our common stock repurchases under our various Board-approved share repurchase authorizations, for the periods presented: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80"/>
            <w:sz w:val="20"/>
            <w:u w:val="single"/>
          </w:rPr>
          <w:t>Table of Con</w:t>
        </w:r>
      </w:hyperlink>
      <w:hyperlink w:anchor="i99042b5414b6429fab769eb95422460a_7">
        <w:r>
          <w:rPr>
            <w:rStyle w:val="InternetLink"/>
            <w:rFonts w:ascii="Times New Roman;serif" w:hAnsi="Times New Roman;serif"/>
            <w:b w:val="false"/>
            <w:color w:val="000080"/>
            <w:sz w:val="20"/>
            <w:u w:val="single"/>
          </w:rPr>
          <w:t>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CONSOLIDATED FINANCIAL STATEMENTS (CONTINUED)</w:t>
      </w:r>
    </w:p>
    <w:tbl>
      <w:tblPr>
        <w:tblW w:w="10205" w:type="dxa"/>
        <w:jc w:val="left"/>
        <w:tblInd w:w="0" w:type="dxa"/>
        <w:tblLayout w:type="fixed"/>
        <w:tblCellMar>
          <w:top w:w="28" w:type="dxa"/>
          <w:left w:w="28" w:type="dxa"/>
          <w:bottom w:w="28" w:type="dxa"/>
          <w:right w:w="28" w:type="dxa"/>
        </w:tblCellMar>
      </w:tblPr>
      <w:tblGrid>
        <w:gridCol w:w="543"/>
        <w:gridCol w:w="477"/>
        <w:gridCol w:w="480"/>
        <w:gridCol w:w="109"/>
        <w:gridCol w:w="109"/>
        <w:gridCol w:w="109"/>
        <w:gridCol w:w="437"/>
        <w:gridCol w:w="968"/>
        <w:gridCol w:w="229"/>
        <w:gridCol w:w="109"/>
        <w:gridCol w:w="109"/>
        <w:gridCol w:w="109"/>
        <w:gridCol w:w="545"/>
        <w:gridCol w:w="545"/>
        <w:gridCol w:w="546"/>
        <w:gridCol w:w="109"/>
        <w:gridCol w:w="109"/>
        <w:gridCol w:w="109"/>
        <w:gridCol w:w="584"/>
        <w:gridCol w:w="1292"/>
        <w:gridCol w:w="302"/>
        <w:gridCol w:w="109"/>
        <w:gridCol w:w="109"/>
        <w:gridCol w:w="109"/>
        <w:gridCol w:w="491"/>
        <w:gridCol w:w="1088"/>
        <w:gridCol w:w="370"/>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 Authorized for Repurchase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Number of Shares Repurchased</w:t>
            </w:r>
            <w:r>
              <w:rPr>
                <w:color w:val="000000"/>
              </w:rPr>
              <w:t xml:space="preserv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 xml:space="preserve">Approximate Dollar Value of Shares Repurchased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 Remaining for Future Repurchases</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the 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Upon repurchase, these shares were retired and ceased to be outstanding shares of common stock, and are now treated as authorized but unissued shares of common stock. Does not include the 1.5 million shares that were retired in connection with the termination of our Capped Call transactions, discussed below.</w:t>
      </w:r>
    </w:p>
    <w:p>
      <w:pPr>
        <w:pStyle w:val="TextBody"/>
        <w:bidi w:val="0"/>
        <w:spacing w:lineRule="auto" w:line="288" w:before="0" w:after="0"/>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Excludes excise taxes on stock repurchases.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Capped Call Transactions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prior issuance of our 4.25% Convertible Senior Notes due 2028 (Convertible Notes), we entered into privately negotiated capped call (Capped Call) transactions with certain financial institution counterparties in June 2023. At that time, these transactions were expected generally to reduce potential dilution to our common stock upon any conversion of Convertible Notes and/or offset any cash payments we were required to make in excess of the principal amount of the Convertible Notes, with such reduction and/or offset subject to a cap, based on the cap price. As of December 31, 2025, all of the Capped Call transactions remained outstanding, notwithstanding that no Convertible Notes were outstanding at that time. For additional information on the June 2023 issuance of our Convertible Notes and the subsequent repurchases in 2024 and 2025, as well as information on our Capped Call transactions, refer to Note 10, “Borrowings of Long-Term and Other Debt” to the audited Consolidated Financial Statements included in our Annual Reports on Form 10-K for the years ended December 31, 2025 and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2026 we entered into a separate, privately negotiated termination agreement (each, a Capped Call Unwind Agreement) with each financial institution counterparty to the Capped Call transactions, thereby terminating all of the outstanding Capped Call transactions, and resulting in the receipt of an aggregate of 1.5 million shares of our common stock, with a value of $111 million, from the Capped Call counterparties pursuant to the Capped Call Unwind Agreements. Following their receipt, these shares were retired and ceased to be outstanding shares of common stock, and are now treated as authorized but unissued shares of common stock.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Dividends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the cash dividend activity we had on our preferred and common stock for the dates presented: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04"/>
        <w:gridCol w:w="620"/>
        <w:gridCol w:w="622"/>
        <w:gridCol w:w="281"/>
        <w:gridCol w:w="281"/>
        <w:gridCol w:w="281"/>
        <w:gridCol w:w="579"/>
        <w:gridCol w:w="579"/>
        <w:gridCol w:w="564"/>
        <w:gridCol w:w="109"/>
        <w:gridCol w:w="109"/>
        <w:gridCol w:w="109"/>
        <w:gridCol w:w="316"/>
        <w:gridCol w:w="923"/>
        <w:gridCol w:w="163"/>
        <w:gridCol w:w="109"/>
        <w:gridCol w:w="109"/>
        <w:gridCol w:w="109"/>
        <w:gridCol w:w="253"/>
        <w:gridCol w:w="307"/>
        <w:gridCol w:w="131"/>
        <w:gridCol w:w="109"/>
        <w:gridCol w:w="109"/>
        <w:gridCol w:w="109"/>
        <w:gridCol w:w="353"/>
        <w:gridCol w:w="856"/>
        <w:gridCol w:w="181"/>
        <w:gridCol w:w="109"/>
        <w:gridCol w:w="109"/>
        <w:gridCol w:w="109"/>
        <w:gridCol w:w="259"/>
        <w:gridCol w:w="445"/>
        <w:gridCol w:w="199"/>
      </w:tblGrid>
      <w:tr>
        <w:trPr/>
        <w:tc>
          <w:tcPr>
            <w:tcW w:w="704"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511"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r>
      <w:tr>
        <w:trPr/>
        <w:tc>
          <w:tcPr>
            <w:tcW w:w="1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Dividend Declaration Date</w:t>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Dividend 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Amount</w:t>
            </w:r>
            <w:r>
              <w:rPr>
                <w:color w:val="000000"/>
              </w:rPr>
              <w:t xml:space="preserve"> </w:t>
            </w:r>
            <w:r>
              <w:rPr>
                <w:rFonts w:ascii="Times New Roman;serif" w:hAnsi="Times New Roman;serif"/>
                <w:b/>
                <w:color w:val="000000"/>
                <w:sz w:val="10"/>
              </w:rPr>
              <w:t>(1)</w:t>
            </w:r>
          </w:p>
        </w:tc>
      </w:tr>
      <w:tr>
        <w:trPr/>
        <w:tc>
          <w:tcPr>
            <w:tcW w:w="1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29, 2026</w:t>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16,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6"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1946"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1946"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1946"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Excludes dividend equivalent rights paid during the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April 23, 2026, our Board of Directors declared a quarterly cash dividend of $21.56 per share on our preferred stock and $0.23 per share on our common stock, each payable on June 15, 2026, to stockholders of record at the close of business on May 29,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11. CHANGES IN ACCUMULATED OTHER COMPREHENSIVE LOSS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changes in each component of Accumulated other comprehensive loss, net of tax effects, are as follows for the periods presented: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80"/>
            <w:sz w:val="20"/>
            <w:u w:val="single"/>
          </w:rPr>
          <w:t>Table of Con</w:t>
        </w:r>
      </w:hyperlink>
      <w:hyperlink w:anchor="i99042b5414b6429fab769eb95422460a_7">
        <w:r>
          <w:rPr>
            <w:rStyle w:val="InternetLink"/>
            <w:rFonts w:ascii="Times New Roman;serif" w:hAnsi="Times New Roman;serif"/>
            <w:b w:val="false"/>
            <w:color w:val="000080"/>
            <w:sz w:val="20"/>
            <w:u w:val="single"/>
          </w:rPr>
          <w:t>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CONSOLIDATED FINANCIAL STATEMENTS (CONTINUED)</w:t>
      </w:r>
    </w:p>
    <w:tbl>
      <w:tblPr>
        <w:tblW w:w="10205" w:type="dxa"/>
        <w:jc w:val="left"/>
        <w:tblInd w:w="0" w:type="dxa"/>
        <w:tblLayout w:type="fixed"/>
        <w:tblCellMar>
          <w:top w:w="28" w:type="dxa"/>
          <w:left w:w="28" w:type="dxa"/>
          <w:bottom w:w="28" w:type="dxa"/>
          <w:right w:w="28" w:type="dxa"/>
        </w:tblCellMar>
      </w:tblPr>
      <w:tblGrid>
        <w:gridCol w:w="1081"/>
        <w:gridCol w:w="797"/>
        <w:gridCol w:w="804"/>
        <w:gridCol w:w="109"/>
        <w:gridCol w:w="109"/>
        <w:gridCol w:w="109"/>
        <w:gridCol w:w="379"/>
        <w:gridCol w:w="677"/>
        <w:gridCol w:w="198"/>
        <w:gridCol w:w="109"/>
        <w:gridCol w:w="109"/>
        <w:gridCol w:w="109"/>
        <w:gridCol w:w="321"/>
        <w:gridCol w:w="619"/>
        <w:gridCol w:w="167"/>
        <w:gridCol w:w="109"/>
        <w:gridCol w:w="109"/>
        <w:gridCol w:w="109"/>
        <w:gridCol w:w="109"/>
        <w:gridCol w:w="109"/>
        <w:gridCol w:w="359"/>
        <w:gridCol w:w="461"/>
        <w:gridCol w:w="186"/>
        <w:gridCol w:w="109"/>
        <w:gridCol w:w="109"/>
        <w:gridCol w:w="109"/>
        <w:gridCol w:w="747"/>
        <w:gridCol w:w="1331"/>
        <w:gridCol w:w="552"/>
      </w:tblGrid>
      <w:tr>
        <w:trPr/>
        <w:tc>
          <w:tcPr>
            <w:tcW w:w="108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26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Unrealized</w:t>
              <w:br/>
              <w:t>Losses</w:t>
              <w:br/>
              <w:t>on AFS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Unrealized</w:t>
              <w:br/>
              <w:t>Gains on Cash</w:t>
              <w:br/>
              <w:t>Flow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b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r>
      <w:tr>
        <w:trPr/>
        <w:tc>
          <w:tcPr>
            <w:tcW w:w="2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5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5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44"/>
        <w:gridCol w:w="825"/>
        <w:gridCol w:w="832"/>
        <w:gridCol w:w="109"/>
        <w:gridCol w:w="109"/>
        <w:gridCol w:w="109"/>
        <w:gridCol w:w="372"/>
        <w:gridCol w:w="665"/>
        <w:gridCol w:w="194"/>
        <w:gridCol w:w="109"/>
        <w:gridCol w:w="109"/>
        <w:gridCol w:w="109"/>
        <w:gridCol w:w="318"/>
        <w:gridCol w:w="612"/>
        <w:gridCol w:w="165"/>
        <w:gridCol w:w="109"/>
        <w:gridCol w:w="109"/>
        <w:gridCol w:w="109"/>
        <w:gridCol w:w="109"/>
        <w:gridCol w:w="109"/>
        <w:gridCol w:w="359"/>
        <w:gridCol w:w="461"/>
        <w:gridCol w:w="186"/>
        <w:gridCol w:w="109"/>
        <w:gridCol w:w="109"/>
        <w:gridCol w:w="109"/>
        <w:gridCol w:w="723"/>
        <w:gridCol w:w="1289"/>
        <w:gridCol w:w="534"/>
      </w:tblGrid>
      <w:tr>
        <w:trPr/>
        <w:tc>
          <w:tcPr>
            <w:tcW w:w="1144"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2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Unrealized</w:t>
              <w:br/>
              <w:t>Losses</w:t>
              <w:br/>
              <w:t>on AFS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Unrealized</w:t>
              <w:br/>
              <w:t>Gains on Cash</w:t>
              <w:br/>
              <w:t>Flow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b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r>
      <w:tr>
        <w:trPr/>
        <w:tc>
          <w:tcPr>
            <w:tcW w:w="2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5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12. INCOME TAXES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The Provision for income taxes increased for the </w:t>
      </w:r>
      <w:r>
        <w:rPr>
          <w:rFonts w:ascii="Times New Roman;serif" w:hAnsi="Times New Roman;serif"/>
          <w:b w:val="false"/>
          <w:color w:val="000000"/>
          <w:sz w:val="20"/>
        </w:rPr>
        <w:t>three months</w:t>
      </w:r>
      <w:r>
        <w:rPr>
          <w:color w:val="000000"/>
          <w:shd w:fill="FFFFFF" w:val="clear"/>
        </w:rPr>
        <w:t xml:space="preserve"> </w:t>
      </w:r>
      <w:r>
        <w:rPr>
          <w:rFonts w:ascii="Times New Roman;serif" w:hAnsi="Times New Roman;serif"/>
          <w:b w:val="false"/>
          <w:color w:val="000000"/>
          <w:sz w:val="20"/>
          <w:shd w:fill="FFFFFF" w:val="clear"/>
        </w:rPr>
        <w:t xml:space="preserve">ended </w:t>
      </w:r>
      <w:r>
        <w:rPr>
          <w:rFonts w:ascii="Times New Roman;serif" w:hAnsi="Times New Roman;serif"/>
          <w:b w:val="false"/>
          <w:color w:val="000000"/>
          <w:sz w:val="20"/>
        </w:rPr>
        <w:t xml:space="preserve">March 31, 2026, primarily driven by an increase in Income from continuing operations before income taxes. </w:t>
      </w:r>
      <w:r>
        <w:rPr>
          <w:rFonts w:ascii="Times New Roman;serif" w:hAnsi="Times New Roman;serif"/>
          <w:b w:val="false"/>
          <w:color w:val="000000"/>
          <w:sz w:val="20"/>
          <w:shd w:fill="FFFFFF" w:val="clear"/>
        </w:rPr>
        <w:t>The effective tax rate w</w:t>
      </w:r>
      <w:r>
        <w:rPr>
          <w:rFonts w:ascii="Times New Roman;serif" w:hAnsi="Times New Roman;serif"/>
          <w:b w:val="false"/>
          <w:color w:val="000000"/>
          <w:sz w:val="20"/>
        </w:rPr>
        <w:t>as 25.3% and 28.1% for the three-month periods ended March 31, 2026 and 2025, respectively. The decrease in the effective tax rate was due to a discrete tax benefit in the current year period.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We file income tax returns in U.S. federal, state, local and foreign jurisdictions, as applicable. </w:t>
      </w:r>
      <w:r>
        <w:rPr>
          <w:rFonts w:ascii="Times New Roman;serif" w:hAnsi="Times New Roman;serif"/>
          <w:b w:val="false"/>
          <w:color w:val="000000"/>
          <w:sz w:val="20"/>
          <w:shd w:fill="FFFFFF" w:val="clear"/>
        </w:rPr>
        <w:t xml:space="preserve">With a few exceptions, </w:t>
      </w:r>
      <w:r>
        <w:rPr>
          <w:rFonts w:ascii="Times New Roman;serif" w:hAnsi="Times New Roman;serif"/>
          <w:b w:val="false"/>
          <w:color w:val="000000"/>
          <w:sz w:val="20"/>
        </w:rPr>
        <w:t xml:space="preserve">U.S. federal income tax returns are no longer subject to examination for years before 2022, and </w:t>
      </w:r>
      <w:r>
        <w:rPr>
          <w:rFonts w:ascii="Times New Roman;serif" w:hAnsi="Times New Roman;serif"/>
          <w:b w:val="false"/>
          <w:color w:val="000000"/>
          <w:sz w:val="20"/>
          <w:shd w:fill="FFFFFF" w:val="clear"/>
        </w:rPr>
        <w:t>state and local income tax and foreign income tax returns are no longer subject to examination for years before 2021.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13. EARNINGS PER COMMON SHARE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Basic earnings per share (EPS) is computed by dividing net income available to common stockholders by the weighted average number of common shares outstanding during the period. Net income available to common stockholders reflects the deduction of dividends declared on our preferred stock. Diluted EPS reflects the assumed conversion of unvested restricted stock awards pursuant to the Treasury Stock method.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80"/>
            <w:sz w:val="20"/>
            <w:u w:val="single"/>
          </w:rPr>
          <w:t>Table of Con</w:t>
        </w:r>
      </w:hyperlink>
      <w:hyperlink w:anchor="i99042b5414b6429fab769eb95422460a_7">
        <w:r>
          <w:rPr>
            <w:rStyle w:val="InternetLink"/>
            <w:rFonts w:ascii="Times New Roman;serif" w:hAnsi="Times New Roman;serif"/>
            <w:b w:val="false"/>
            <w:color w:val="000080"/>
            <w:sz w:val="20"/>
            <w:u w:val="single"/>
          </w:rPr>
          <w:t>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EPS attributable to common stockholders for the periods presented:</w:t>
      </w:r>
    </w:p>
    <w:p>
      <w:pPr>
        <w:pStyle w:val="TextBody"/>
        <w:bidi w:val="0"/>
        <w:spacing w:before="0" w:after="0"/>
        <w:jc w:val="left"/>
        <w:rPr/>
      </w:pPr>
      <w:r>
        <w:rPr/>
      </w:r>
    </w:p>
    <w:tbl>
      <w:tblPr>
        <w:tblW w:w="7960" w:type="dxa"/>
        <w:jc w:val="left"/>
        <w:tblInd w:w="0" w:type="dxa"/>
        <w:tblLayout w:type="fixed"/>
        <w:tblCellMar>
          <w:top w:w="28" w:type="dxa"/>
          <w:left w:w="28" w:type="dxa"/>
          <w:bottom w:w="28" w:type="dxa"/>
          <w:right w:w="28" w:type="dxa"/>
        </w:tblCellMar>
      </w:tblPr>
      <w:tblGrid>
        <w:gridCol w:w="1840"/>
        <w:gridCol w:w="1615"/>
        <w:gridCol w:w="1629"/>
        <w:gridCol w:w="245"/>
        <w:gridCol w:w="594"/>
        <w:gridCol w:w="126"/>
        <w:gridCol w:w="126"/>
        <w:gridCol w:w="126"/>
        <w:gridCol w:w="126"/>
        <w:gridCol w:w="245"/>
        <w:gridCol w:w="681"/>
        <w:gridCol w:w="126"/>
        <w:gridCol w:w="109"/>
        <w:gridCol w:w="109"/>
        <w:gridCol w:w="109"/>
        <w:gridCol w:w="154"/>
      </w:tblGrid>
      <w:tr>
        <w:trPr/>
        <w:tc>
          <w:tcPr>
            <w:tcW w:w="1840"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 except per share amounts)</w:t>
            </w:r>
          </w:p>
        </w:tc>
        <w:tc>
          <w:tcPr>
            <w:tcW w:w="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Loss from discontinued operations, net of income taxes </w:t>
            </w:r>
            <w:r>
              <w:rPr>
                <w:rFonts w:ascii="Times New Roman;serif" w:hAnsi="Times New Roman;serif"/>
                <w:b w:val="false"/>
                <w:color w:val="000000"/>
                <w:sz w:val="13"/>
              </w:rPr>
              <w:t>(1)</w:t>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Preferred stock dividends</w:t>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available to common stockholders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stock outstanding – basic</w:t>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Add: net effect of dilutive unvested restricted stock awards </w:t>
            </w:r>
            <w:r>
              <w:rPr>
                <w:rFonts w:ascii="Times New Roman;serif" w:hAnsi="Times New Roman;serif"/>
                <w:b w:val="false"/>
                <w:color w:val="000000"/>
                <w:sz w:val="13"/>
              </w:rPr>
              <w:t>(2)</w:t>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stock outstanding – diluted</w:t>
            </w:r>
          </w:p>
        </w:tc>
        <w:tc>
          <w:tcPr>
            <w:tcW w:w="8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EPS</w:t>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EPS</w:t>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Includes amounts that related to the previously disclosed discontinued operations associated with the spinoff of our former LoyaltyOne segment in 2021 and the sale of our former Epsilon segment in 2019. For additional information, refer to Note 1, “Description of Business, Basis of Presentation and Significant Accounting Policies” to the unaudited Consolidated Financial Statements.</w:t>
      </w:r>
    </w:p>
    <w:p>
      <w:pPr>
        <w:pStyle w:val="TextBody"/>
        <w:bidi w:val="0"/>
        <w:spacing w:lineRule="auto" w:line="288" w:before="0" w:after="0"/>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As the effect would have been anti-dilutive, for the three months ended March 31, 2026 and 2025, zero and approximately 0.8 million, respectively, restricted stock awards were excluded from the calculation of weighted average dilutive common shares.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14. REGULATORY MATTERS AND CAPITAL ADEQUACY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Regulatory Matters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extensive federal and state laws and regulations, as well as related regulation and supervision, including by the FDIC, CFPB and other federal and state authorities. Pending and future laws and regulations (federal and state) may adversely impact our business. Without limiting the foregoing, CB is subject to various regulatory capital requirements administered by the Delaware Office of the State Bank Commissioner and the FDIC. CCB is also subject to various regulatory capital requirements administered by the Utah Department of Financial Institutions and the FDIC. Failure to meet minimum capital requirements can trigger certain mandatory and possibly additional discretionary actions by our regulators. Under capital adequacy guidelines and the regulatory framework for prompt corrective action, both Banks must meet specific capital guidelines that involve quantitative measures of their assets and liabilities as calculated under regulatory accounting practices. The capital amounts and classification are also subject to qualitative judgments by these regulators about components, risk weightings and other factors. In addition, both Banks are limited in the amounts they can pay as dividends to the Parent Company.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80"/>
            <w:sz w:val="20"/>
            <w:u w:val="single"/>
          </w:rPr>
          <w:t>Table of Con</w:t>
        </w:r>
      </w:hyperlink>
      <w:hyperlink w:anchor="i99042b5414b6429fab769eb95422460a_7">
        <w:r>
          <w:rPr>
            <w:rStyle w:val="InternetLink"/>
            <w:rFonts w:ascii="Times New Roman;serif" w:hAnsi="Times New Roman;serif"/>
            <w:b w:val="false"/>
            <w:color w:val="000080"/>
            <w:sz w:val="20"/>
            <w:u w:val="single"/>
          </w:rPr>
          <w:t>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Quantitative measures, established by regulations to ensure capital adequacy, require the Banks to maintain minimum amounts and ratios of Tier 1 capital to average assets, and Common equity tier 1, Tier 1 capital and Total capital, each to risk-weighted assets. Failure to meet these minimum capital requirements can result in certain mandatory, and possibly additional discretionary actions by the Banks’ regulators that if undertaken, could have a direct material effect on CB’s and/or CCB’s operating activities, as well as our operating activities. Based on these regulations, as of March 31, 2026 and 2025, each Bank met all capital requirements to which it was subject, and maintained capital ratios in excess of the minimums required to qualify as well capitalized. The Banks seek to maintain capital levels and ratios in excess of the minimum regulatory requirements inclusive of the 2.5% Capital Conservation Buffer. Although Bread Financial is not a bank holding company as defined under the Bank Holding Company Act, we seek to maintain capital levels and ratios in excess of the minimums required for bank holding companies.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actual capital ratios and minimum ratios for the Company, as well as each Bank, as of the periods presented:</w:t>
      </w:r>
    </w:p>
    <w:tbl>
      <w:tblPr>
        <w:tblW w:w="10204" w:type="dxa"/>
        <w:jc w:val="left"/>
        <w:tblInd w:w="0" w:type="dxa"/>
        <w:tblLayout w:type="fixed"/>
        <w:tblCellMar>
          <w:top w:w="28" w:type="dxa"/>
          <w:left w:w="28" w:type="dxa"/>
          <w:bottom w:w="28" w:type="dxa"/>
          <w:right w:w="28" w:type="dxa"/>
        </w:tblCellMar>
      </w:tblPr>
      <w:tblGrid>
        <w:gridCol w:w="1133"/>
        <w:gridCol w:w="999"/>
        <w:gridCol w:w="1002"/>
        <w:gridCol w:w="221"/>
        <w:gridCol w:w="755"/>
        <w:gridCol w:w="284"/>
        <w:gridCol w:w="109"/>
        <w:gridCol w:w="109"/>
        <w:gridCol w:w="109"/>
        <w:gridCol w:w="263"/>
        <w:gridCol w:w="899"/>
        <w:gridCol w:w="338"/>
        <w:gridCol w:w="109"/>
        <w:gridCol w:w="109"/>
        <w:gridCol w:w="109"/>
        <w:gridCol w:w="337"/>
        <w:gridCol w:w="337"/>
        <w:gridCol w:w="840"/>
        <w:gridCol w:w="109"/>
        <w:gridCol w:w="109"/>
        <w:gridCol w:w="109"/>
        <w:gridCol w:w="370"/>
        <w:gridCol w:w="370"/>
        <w:gridCol w:w="1075"/>
      </w:tblGrid>
      <w:tr>
        <w:trPr/>
        <w:tc>
          <w:tcPr>
            <w:tcW w:w="1133"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Ratio/Dollar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Minimum Ratio for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Capital Adequacy</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Purposes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Minimum Ratio to be</w:t>
              <w:br/>
              <w:t>Well Capitalized under</w:t>
              <w:br/>
              <w:t>Prompt Corrective</w:t>
              <w:br/>
              <w:t>Action Provisions</w:t>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 except percentages)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Company</w:t>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Common equity tier 1 capital ratio </w:t>
            </w:r>
            <w:r>
              <w:rPr>
                <w:rFonts w:ascii="Times New Roman;serif" w:hAnsi="Times New Roman;serif"/>
                <w:b w:val="false"/>
                <w:color w:val="000000"/>
                <w:sz w:val="13"/>
              </w:rPr>
              <w:t>(1)</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Tier 1 capital ratio </w:t>
            </w:r>
            <w:r>
              <w:rPr>
                <w:rFonts w:ascii="Times New Roman;serif" w:hAnsi="Times New Roman;serif"/>
                <w:b w:val="false"/>
                <w:color w:val="000000"/>
                <w:sz w:val="13"/>
              </w:rPr>
              <w:t>(2)</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risk-based capital ratio </w:t>
            </w:r>
            <w:r>
              <w:rPr>
                <w:rFonts w:ascii="Times New Roman;serif" w:hAnsi="Times New Roman;serif"/>
                <w:b w:val="false"/>
                <w:color w:val="000000"/>
                <w:sz w:val="13"/>
              </w:rPr>
              <w:t>(3)</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8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Tier 1 leverage capital ratio </w:t>
            </w:r>
            <w:r>
              <w:rPr>
                <w:rFonts w:ascii="Times New Roman;serif" w:hAnsi="Times New Roman;serif"/>
                <w:b w:val="false"/>
                <w:color w:val="000000"/>
                <w:sz w:val="13"/>
              </w:rPr>
              <w:t>(4)</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risk-weighted assets </w:t>
            </w:r>
            <w:r>
              <w:rPr>
                <w:rFonts w:ascii="Times New Roman;serif" w:hAnsi="Times New Roman;serif"/>
                <w:b w:val="false"/>
                <w:color w:val="000000"/>
                <w:sz w:val="13"/>
              </w:rPr>
              <w:t>(5)</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19,352 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19,755 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Comenity Bank</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Common equity tier 1 capital ratio </w:t>
            </w:r>
            <w:r>
              <w:rPr>
                <w:rFonts w:ascii="Times New Roman;serif" w:hAnsi="Times New Roman;serif"/>
                <w:b w:val="false"/>
                <w:color w:val="000000"/>
                <w:sz w:val="13"/>
              </w:rPr>
              <w:t>(1)</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Tier 1 capital ratio </w:t>
            </w:r>
            <w:r>
              <w:rPr>
                <w:rFonts w:ascii="Times New Roman;serif" w:hAnsi="Times New Roman;serif"/>
                <w:b w:val="false"/>
                <w:color w:val="000000"/>
                <w:sz w:val="13"/>
              </w:rPr>
              <w:t>(2)</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8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risk-based capital ratio </w:t>
            </w:r>
            <w:r>
              <w:rPr>
                <w:rFonts w:ascii="Times New Roman;serif" w:hAnsi="Times New Roman;serif"/>
                <w:b w:val="false"/>
                <w:color w:val="000000"/>
                <w:sz w:val="13"/>
              </w:rPr>
              <w:t>(3)</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Tier 1 leverage capital ratio </w:t>
            </w:r>
            <w:r>
              <w:rPr>
                <w:rFonts w:ascii="Times New Roman;serif" w:hAnsi="Times New Roman;serif"/>
                <w:b w:val="false"/>
                <w:color w:val="000000"/>
                <w:sz w:val="13"/>
              </w:rPr>
              <w:t>(4)</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8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Comenity Capital Bank</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Common equity tier 1 capital ratio </w:t>
            </w:r>
            <w:r>
              <w:rPr>
                <w:rFonts w:ascii="Times New Roman;serif" w:hAnsi="Times New Roman;serif"/>
                <w:b w:val="false"/>
                <w:color w:val="000000"/>
                <w:sz w:val="13"/>
              </w:rPr>
              <w:t>(1)</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Tier 1 capital ratio </w:t>
            </w:r>
            <w:r>
              <w:rPr>
                <w:rFonts w:ascii="Times New Roman;serif" w:hAnsi="Times New Roman;serif"/>
                <w:b w:val="false"/>
                <w:color w:val="000000"/>
                <w:sz w:val="13"/>
              </w:rPr>
              <w:t>(2)</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8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risk-based capital ratio </w:t>
            </w:r>
            <w:r>
              <w:rPr>
                <w:rFonts w:ascii="Times New Roman;serif" w:hAnsi="Times New Roman;serif"/>
                <w:b w:val="false"/>
                <w:color w:val="000000"/>
                <w:sz w:val="13"/>
              </w:rPr>
              <w:t>(3)</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Tier 1 leverage capital ratio </w:t>
            </w:r>
            <w:r>
              <w:rPr>
                <w:rFonts w:ascii="Times New Roman;serif" w:hAnsi="Times New Roman;serif"/>
                <w:b w:val="false"/>
                <w:color w:val="000000"/>
                <w:sz w:val="13"/>
              </w:rPr>
              <w:t>(4)</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8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20"/>
        </w:rPr>
        <w:t>*</w:t>
      </w:r>
      <w:r>
        <w:rPr>
          <w:rFonts w:ascii="Times New Roman;serif" w:hAnsi="Times New Roman;serif"/>
          <w:b w:val="false"/>
          <w:color w:val="000000"/>
          <w:sz w:val="18"/>
        </w:rPr>
        <w:t>The listed capital adequacy ratios exclude the Capital Conservation Buffer.</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Common equity tier 1 capital ratio represents tier 1 capital reduced by Preferred stock divided by total risk-weighted assets. In the calculation of tier 1 capital, we follow the Basel III Standardized Approach and therefore Total stockholders’ equity has been reduced by Goodwill and intangible assets, net.</w:t>
      </w:r>
    </w:p>
    <w:p>
      <w:pPr>
        <w:pStyle w:val="TextBody"/>
        <w:bidi w:val="0"/>
        <w:spacing w:lineRule="auto" w:line="288" w:before="0" w:after="0"/>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Tier 1 capital ratio represents tier 1 capital divided by total risk-weighted assets. In the calculation of tier 1 capital, we follow the Basel III Standardized Approach and therefore Total stockholders’ equity has been reduced, primarily by Goodwill and intangible assets, net. For us, tier 1 capital is primarily comprised of CET1 capital and Preferred stock.</w:t>
      </w:r>
    </w:p>
    <w:p>
      <w:pPr>
        <w:pStyle w:val="TextBody"/>
        <w:bidi w:val="0"/>
        <w:spacing w:lineRule="auto" w:line="288" w:before="0" w:after="0"/>
        <w:ind w:left="0" w:right="0" w:hanging="360"/>
        <w:jc w:val="left"/>
        <w:rPr/>
      </w:pPr>
      <w:r>
        <w:rPr>
          <w:rFonts w:ascii="Times New Roman;serif" w:hAnsi="Times New Roman;serif"/>
          <w:b w:val="false"/>
          <w:color w:val="000000"/>
          <w:sz w:val="12"/>
        </w:rPr>
        <w:t>(3)</w:t>
      </w:r>
      <w:r>
        <w:rPr>
          <w:rFonts w:ascii="Times New Roman;serif" w:hAnsi="Times New Roman;serif"/>
          <w:b w:val="false"/>
          <w:color w:val="000000"/>
          <w:sz w:val="18"/>
        </w:rPr>
        <w:t>Total risk-based capital ratio represents total capital divided by total risk-weighted assets. In the calculation of total capital, we follow the Basel III Standardized Approach and therefore tier 1 capital has been increased by tier 2 capital, which for us is comprised of subordinated notes, as well as the allowable portion of the Allowance for credit losses.</w:t>
      </w:r>
    </w:p>
    <w:p>
      <w:pPr>
        <w:pStyle w:val="TextBody"/>
        <w:bidi w:val="0"/>
        <w:spacing w:lineRule="auto" w:line="288" w:before="0" w:after="0"/>
        <w:ind w:left="0" w:right="0" w:hanging="360"/>
        <w:jc w:val="left"/>
        <w:rPr/>
      </w:pPr>
      <w:r>
        <w:rPr>
          <w:rFonts w:ascii="Times New Roman;serif" w:hAnsi="Times New Roman;serif"/>
          <w:b w:val="false"/>
          <w:color w:val="000000"/>
          <w:sz w:val="12"/>
        </w:rPr>
        <w:t>(4)</w:t>
      </w:r>
      <w:r>
        <w:rPr>
          <w:rFonts w:ascii="Times New Roman;serif" w:hAnsi="Times New Roman;serif"/>
          <w:b w:val="false"/>
          <w:color w:val="000000"/>
          <w:sz w:val="18"/>
        </w:rPr>
        <w:t>Tier 1 leverage capital ratio represents tier 1 capital divided by total average assets, after certain adjustments.</w:t>
      </w:r>
    </w:p>
    <w:p>
      <w:pPr>
        <w:pStyle w:val="TextBody"/>
        <w:bidi w:val="0"/>
        <w:spacing w:lineRule="auto" w:line="288" w:before="0" w:after="0"/>
        <w:ind w:left="0" w:right="0" w:hanging="360"/>
        <w:jc w:val="left"/>
        <w:rPr/>
      </w:pPr>
      <w:r>
        <w:rPr>
          <w:rFonts w:ascii="Times New Roman;serif" w:hAnsi="Times New Roman;serif"/>
          <w:b w:val="false"/>
          <w:color w:val="000000"/>
          <w:sz w:val="12"/>
        </w:rPr>
        <w:t>(5)</w:t>
      </w:r>
      <w:r>
        <w:rPr>
          <w:rFonts w:ascii="Times New Roman;serif" w:hAnsi="Times New Roman;serif"/>
          <w:b w:val="false"/>
          <w:color w:val="000000"/>
          <w:sz w:val="18"/>
        </w:rPr>
        <w:t>Total risk-weighted assets are generally measured by allocating assets, and specified off-balance sheet exposures, to various risk categories as defined by the Basel III Standardized Approach.</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80"/>
            <w:sz w:val="20"/>
            <w:u w:val="single"/>
          </w:rPr>
          <w:t>Table of Con</w:t>
        </w:r>
      </w:hyperlink>
      <w:hyperlink w:anchor="i99042b5414b6429fab769eb95422460a_7">
        <w:r>
          <w:rPr>
            <w:rStyle w:val="InternetLink"/>
            <w:rFonts w:ascii="Times New Roman;serif" w:hAnsi="Times New Roman;serif"/>
            <w:b w:val="false"/>
            <w:color w:val="000080"/>
            <w:sz w:val="20"/>
            <w:u w:val="single"/>
          </w:rPr>
          <w:t>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also involved, from time to time, in reviews, investigations, subpoenas, supervisory actions and other proceedings (both formal and informal) by governmental agencies regarding our business, which could subject us to significant fines, penalties, obligations to change our business practices, significant restrictions on our existing business or ability to develop new business, cease-and-desist orders, safety-and-soundness directives or other requirements resulting in increased expenses, diminished income and damage to our reputation.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November 2023 following the consent of the Board of Managers of Comenity Servicing LLC (the Servicer), the FDIC issued a consent order to the Servicer. The Servicer is not one of our Bank subsidiaries, but is our wholly-owned subsidiary that services substantially all of our loans. The consent order arose out of the June 2022 transition of our credit card processing services to strategic outsourcing partners and addresses certain shortcomings in the Servicer’s information technology (IT) systems development, project management, business continuity management, cloud operations, and third-party oversight. The Servicer entered into the consent order for the purpose of resolving these matters without admitting or denying any violations of law or regulation set forth in the order. The consent order did not contain any monetary penalties or fines. The consent order was terminated by the FDIC on March 31,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December 17, 2025, we filed applications with the federal and respective state banking regulators for permission to merge CB with and into CCB, with CCB being the surviving entity. Pending regulatory approval and the expiration of any applicable waiting periods, the merger of CB and CCB is expected to occur in the second half of 2026. The merger is not expected to have a significant impact on our consolidated financial position, results of operations, or liquidity.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15.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From time to time we are subject to various lawsuits, claims, disputes, or potential claims or disputes, and other proceedings, arising in the ordinary course of business that we believe, based on our current knowledge, will not have a material adverse effect on our business, consolidated financial condition or liquidity, including claims and lawsuits alleging breaches of our contractual obligations, arbitrations, class actions and other litigation, arising in connection with our business activities. However, in light of the uncertainties involved in such matters, including the fact that some pending legal proceedings are at preliminary stages or seek an indeterminate amount of damages, penalties or fines, it is possible that the outcome of legal proceedings could have a material impact on our results of operations. Certain legal proceedings involving us or our subsidiaries are described further below.</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On February 20, 2024, we and our general counsel were named as defendants in an adversary proceeding filed by the liquidating trustee in LVI’s Chapter 11 bankruptcy case in the United States Bankruptcy Court for the Southern District of Texas, captioned </w:t>
      </w:r>
      <w:r>
        <w:rPr>
          <w:rFonts w:ascii="Times New Roman;serif" w:hAnsi="Times New Roman;serif"/>
          <w:b w:val="false"/>
          <w:i/>
          <w:color w:val="000000"/>
          <w:sz w:val="20"/>
        </w:rPr>
        <w:t>Pirinate Consulting Group, LLC v. Bread Financial Holdings, Inc.</w:t>
      </w:r>
      <w:r>
        <w:rPr>
          <w:rFonts w:ascii="Times New Roman;serif" w:hAnsi="Times New Roman;serif"/>
          <w:b w:val="false"/>
          <w:color w:val="000000"/>
          <w:sz w:val="20"/>
        </w:rPr>
        <w:t xml:space="preserve">, Case No. 24-03027 (Bankr. S.D. Tex.), alleging actual and constructive fraudulent transfers, among other claims, in connection with our spinoff of LVI. Also on February 20, 2024, the liquidating trustee filed an action in the United States District Court for the District of Delaware against us, each of the members of our Board of Directors at the time of the spinoff, and certain members of our management team, captioned </w:t>
      </w:r>
      <w:r>
        <w:rPr>
          <w:rFonts w:ascii="Times New Roman;serif" w:hAnsi="Times New Roman;serif"/>
          <w:b w:val="false"/>
          <w:i/>
          <w:color w:val="000000"/>
          <w:sz w:val="20"/>
        </w:rPr>
        <w:t>Pirinate Consulting Group, LLC v. Bread Financial Holdings, Inc.</w:t>
      </w:r>
      <w:r>
        <w:rPr>
          <w:rFonts w:ascii="Times New Roman;serif" w:hAnsi="Times New Roman;serif"/>
          <w:b w:val="false"/>
          <w:color w:val="000000"/>
          <w:sz w:val="20"/>
        </w:rPr>
        <w:t xml:space="preserve">, Case No. 24-cv-00226-RGA (D. Del.), alleging certain breaches of fiduciary duties (and aiding and abetting breaches of fiduciary duties) in connection with the spinoff. Subsequently, the liquidating trustee voluntarily dismissed without prejudice the complaint in the District of Delaware and commenced on March 20, 2024 a substantially similar action in Delaware Chancery Court, captioned </w:t>
      </w:r>
      <w:r>
        <w:rPr>
          <w:rFonts w:ascii="Times New Roman;serif" w:hAnsi="Times New Roman;serif"/>
          <w:b w:val="false"/>
          <w:i/>
          <w:color w:val="000000"/>
          <w:sz w:val="20"/>
        </w:rPr>
        <w:t>Pirinate Consulting Group, LLC v. Bread Financial Holdings, Inc.</w:t>
      </w:r>
      <w:r>
        <w:rPr>
          <w:rFonts w:ascii="Times New Roman;serif" w:hAnsi="Times New Roman;serif"/>
          <w:b w:val="false"/>
          <w:color w:val="000000"/>
          <w:sz w:val="20"/>
        </w:rPr>
        <w:t>, Case No. 2024-0277-MTZ (Del. Ch.), against the same parties and asserting the same claims. Among other things, in each of the Texas and Delaware actions, the liquidating trustee seeks damages in the amount of approximately $750 million plus interest, fees and expenses. In the Texas action, the United States Bankruptcy Court permitted certain of the claims to move past a motion to dismiss, and on January 22, 2026, the Court denied our motion for partial summary judgment on other claims; we are appealing that decision to the United States District Court for the Southern District of Texas.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We and certain current and former members of our management team have also been named as defendants in other litigation matters relating to the LVI spinoff. LoyaltyOne, Co. (the LVI subsidiary that operated its Canadian AIR MILES business) filed suit against us and our general counsel in the Ontario Superior Court of Justice in Canada on October 18, 2023, in an action captioned </w:t>
      </w:r>
      <w:r>
        <w:rPr>
          <w:rFonts w:ascii="Times New Roman;serif" w:hAnsi="Times New Roman;serif"/>
          <w:b w:val="false"/>
          <w:i/>
          <w:color w:val="000000"/>
          <w:sz w:val="20"/>
        </w:rPr>
        <w:t>LoyaltyOne, Co. v. Bread Financial Holdings, Inc. et al</w:t>
      </w:r>
      <w:r>
        <w:rPr>
          <w:rFonts w:ascii="Times New Roman;serif" w:hAnsi="Times New Roman;serif"/>
          <w:b w:val="false"/>
          <w:color w:val="000000"/>
          <w:sz w:val="20"/>
        </w:rPr>
        <w:t xml:space="preserve">. The lawsuit asserts that our general counsel, in his capacity as a pre-spinoff director of LoyaltyOne, Co., breached various fiduciary duties owed to LoyaltyOne, Co. in connection with the LVI spinoff and certain other transactions, and that Bread Financial assisted in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80"/>
            <w:sz w:val="20"/>
            <w:u w:val="single"/>
          </w:rPr>
          <w:t>Table of Con</w:t>
        </w:r>
      </w:hyperlink>
      <w:hyperlink w:anchor="i99042b5414b6429fab769eb95422460a_7">
        <w:r>
          <w:rPr>
            <w:rStyle w:val="InternetLink"/>
            <w:rFonts w:ascii="Times New Roman;serif" w:hAnsi="Times New Roman;serif"/>
            <w:b w:val="false"/>
            <w:color w:val="000080"/>
            <w:sz w:val="20"/>
            <w:u w:val="single"/>
          </w:rPr>
          <w:t>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CONSOLIDATED FINANCIAL STATEMENTS (CONTINUED)</w:t>
      </w:r>
    </w:p>
    <w:p>
      <w:pPr>
        <w:pStyle w:val="TextBody"/>
        <w:bidi w:val="0"/>
        <w:spacing w:lineRule="auto" w:line="288" w:before="0" w:after="0"/>
        <w:jc w:val="left"/>
        <w:rPr/>
      </w:pPr>
      <w:r>
        <w:rPr>
          <w:rFonts w:ascii="Times New Roman;serif" w:hAnsi="Times New Roman;serif"/>
          <w:b w:val="false"/>
          <w:color w:val="000000"/>
          <w:sz w:val="20"/>
        </w:rPr>
        <w:t xml:space="preserve">benefited from those breaches. The lawsuit seeks damages in the amount of $775 million. LoyaltyOne, Co. is also contesting our entitlement to certain potential tax refunds under the tax matters agreement, in proceedings pursuant to the Canadian Companies’ Creditors Arrangement Act in the Commercial List of the Ontario Superior Court of Justice, captioned </w:t>
      </w:r>
      <w:r>
        <w:rPr>
          <w:rFonts w:ascii="Times New Roman;serif" w:hAnsi="Times New Roman;serif"/>
          <w:b w:val="false"/>
          <w:i/>
          <w:color w:val="000000"/>
          <w:sz w:val="20"/>
        </w:rPr>
        <w:t xml:space="preserve">In re Matter of a Plan of Compromise or Arrangement of LoyaltyOne, Co., </w:t>
      </w:r>
      <w:r>
        <w:rPr>
          <w:rFonts w:ascii="Times New Roman;serif" w:hAnsi="Times New Roman;serif"/>
          <w:b w:val="false"/>
          <w:color w:val="000000"/>
          <w:sz w:val="20"/>
        </w:rPr>
        <w:t xml:space="preserve">Case No. CV-23-00696017-00CL (the Tax Matters Dispute). In July 2024, the judge presiding over the Tax Matters Dispute issued an order in our favor, and LoyaltyOne, Co. filed a motion for leave to appeal that order, which motion was dismissed by the Court of Appeal for Ontario in March 2025. LoyaltyOne, Co. has indicated that it will continue to seek to contest our entitlement to these potential tax refunds. In March 2026, certain creditors of LVI sought a temporary stay of these Canadian proceedings pending final resolution of the tax refund-related claims in the U.S. litigation filed by the liquidating trustee, and the Ontario Superior Court of Justice granted an interim one-year stay up to and including March 8, 2027, subject to the right of any interested party to bring a motion prior to that date to lift or vary the stay. Finally, on April 27, 2023, we and certain current and former members of our management team were named as defendants in a putative federal securities class action filed in the United States District Court for the Southern District of Ohio, captioned </w:t>
      </w:r>
      <w:r>
        <w:rPr>
          <w:rFonts w:ascii="Times New Roman;serif" w:hAnsi="Times New Roman;serif"/>
          <w:b w:val="false"/>
          <w:i/>
          <w:color w:val="000000"/>
          <w:sz w:val="20"/>
        </w:rPr>
        <w:t>Newtyn Partners, LP v. Alliance Data Systems n/k/a Bread Financial Holdings, Inc.</w:t>
      </w:r>
      <w:r>
        <w:rPr>
          <w:rFonts w:ascii="Times New Roman;serif" w:hAnsi="Times New Roman;serif"/>
          <w:b w:val="false"/>
          <w:color w:val="000000"/>
          <w:sz w:val="20"/>
        </w:rPr>
        <w:t xml:space="preserve">, Case No. 23-cv-1451-EAS (S.D. Ohio), concerning disclosures made about LVI’s business prior to the spinoff. The lead plaintiff in this matter filed an amended complaint on March 21, 2024. In March 2025, the United States District Court for the Southern District of Ohio granted our and the other defendants’ motions to dismiss in full and with prejudice; the court entered judgment in favor of all defendants and terminated the case. The plaintiffs appealed the District Court’s ruling in the </w:t>
      </w:r>
      <w:r>
        <w:rPr>
          <w:rFonts w:ascii="Times New Roman;serif" w:hAnsi="Times New Roman;serif"/>
          <w:b w:val="false"/>
          <w:i/>
          <w:color w:val="000000"/>
          <w:sz w:val="20"/>
        </w:rPr>
        <w:t>Newtyn Partner</w:t>
      </w:r>
      <w:r>
        <w:rPr>
          <w:rFonts w:ascii="Times New Roman;serif" w:hAnsi="Times New Roman;serif"/>
          <w:b w:val="false"/>
          <w:color w:val="000000"/>
          <w:sz w:val="20"/>
        </w:rPr>
        <w:t xml:space="preserve">s matter, and the United States Court of Appeals for the Sixth Circuit affirmed the dismissal of the suit in January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all these actions related to the spinoff, we believe the allegations contained in the complaints are without merit and intend to defend the cases. We cannot predict at this point the length of time that these actions will be ongoing or the liability, if any, which may arise therefrom.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Some matters pending against us specify the damages sought, others seek an unspecified amount of damages or are at very early stages of the legal process. In matters where the amount of damages claimed against us are stated, the claimed amount may be exaggerated and/or unsupported. While some matters have not yet progressed sufficiently through discovery or have had development of important factual information and legal issues to enable us to estimate an amount of loss or a range of possible loss, other matters may have progressed sufficiently to enable an estimate of an amount of loss, or a range of possible loss. We accrue for a loss contingency when it is both probable that a loss has occurred, and the amount of loss can be reasonably estimated; however, there may be instances in which an exposure to a loss contingency exceeds our accrual. On a quarterly basis we evaluate developments in the legal proceedings against us that could cause an increase or decrease in the amount of the accrual that has been previously recorded.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240" w:after="283"/>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Market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Market risk is the risk to current or anticipated earnings, capital or economic value arising from changes in the market value of portfolios, securities or other financial instruments. Market Risk includes interest rate risk which is the risk arising from movements in interest rates. Our principal market risk exposures arise from volatility in interest rates and changes in the relationship between the interest rates on our assets (such as Credit card and other loans and Investments) and the interest rates on our liabilities (such as Deposits, Debt issued by consolidated variable interest entities and Long-term and other debt), which may include repricing risk, basis risk, yield curve risk and options risk, and their resulting impact on economic value, capitalization levels, and earnings.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There has been no material change from our 2025 Form 10-K related to our exposure to interest rate risk or other market risks.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has evaluated the effectiveness of the design and operation of our disclosure controls and procedures (as defined in Rules 13a-15(e) and 15d-15(e) under the Securities Exchange Act of 1934, as amended (the Exchange Act)) as of the end of the period covered by this Report. Based upon that evaluation, our Chief Executive Officer and Chief Financial Officer have concluded that, as of the end of such period, our disclosure controls and procedures are effective and designed to ensure that the information required to be disclosed in our reports filed or submitted under the Exchange Act is recorded, processed, summarized and reported within the requisite time periods specified in the applicable rules and forms, and that it is accumulated and communicated to our management, including our Chief Executive Officer and Chief Financial Officer, as appropriate, to allow timely decisions regarding required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have not been any changes in our internal control over financial reporting (as such term is defined in Rules 13a-15(f) and 15d-15(f) under the Exchange Act) during the fiscal quarter to which this report relates that have materially affected, or are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240" w:after="283"/>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ind w:left="0" w:right="0" w:hanging="720"/>
        <w:jc w:val="left"/>
        <w:rPr/>
      </w:pPr>
      <w:r>
        <w:rPr/>
      </w:r>
    </w:p>
    <w:p>
      <w:pPr>
        <w:pStyle w:val="TextBody"/>
        <w:bidi w:val="0"/>
        <w:spacing w:lineRule="auto" w:line="288" w:before="0" w:after="0"/>
        <w:jc w:val="left"/>
        <w:rPr/>
      </w:pPr>
      <w:r>
        <w:rPr>
          <w:rFonts w:ascii="Times New Roman;serif" w:hAnsi="Times New Roman;serif"/>
          <w:b w:val="false"/>
          <w:color w:val="000000"/>
          <w:sz w:val="20"/>
        </w:rPr>
        <w:t>Refer to (i) Part II, Item 1A, “Risk Factors—</w:t>
      </w:r>
      <w:r>
        <w:rPr>
          <w:rFonts w:ascii="Times New Roman;serif" w:hAnsi="Times New Roman;serif"/>
          <w:b w:val="false"/>
          <w:i/>
          <w:color w:val="000000"/>
          <w:sz w:val="20"/>
        </w:rPr>
        <w:t>We may be adversely affected by LVI’s ongoing bankruptcy proceedings or pending or future litigation or other disputes involving or relating to LVI.</w:t>
      </w:r>
      <w:r>
        <w:rPr>
          <w:color w:val="000000"/>
        </w:rPr>
        <w:t xml:space="preserve">” </w:t>
      </w:r>
      <w:r>
        <w:rPr>
          <w:rFonts w:ascii="Times New Roman;serif" w:hAnsi="Times New Roman;serif"/>
          <w:b w:val="false"/>
          <w:color w:val="000000"/>
          <w:sz w:val="20"/>
        </w:rPr>
        <w:t>of our 2025 Form 10-K, (ii) Note 15, “Commitments and Contingencies” to our unaudited Consolidated Financial Statements, and (iii) “Risk Factors—Legal, Regulatory and Compliance Risks” of our 2025 Form 10-K, each of which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previously disclosed in our 2025 Form 10-K. Additional risks and uncertainties that we are unaware of, or that we currently believe are not material, may also become important factors that adversely affect our business. For a discussion of the recent trends and uncertainties impacting our business, see also “Management’s Discussion and Analysis of Financial Condition and Results of Operations (MD&amp;A) — Business Environment.”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with respect to purchases of our common stock made by or on behalf of us during the three months ended March 31, 2026:</w:t>
      </w:r>
    </w:p>
    <w:p>
      <w:pPr>
        <w:pStyle w:val="TextBody"/>
        <w:bidi w:val="0"/>
        <w:spacing w:before="0" w:after="0"/>
        <w:jc w:val="left"/>
        <w:rPr/>
      </w:pPr>
      <w:r>
        <w:rPr/>
      </w:r>
    </w:p>
    <w:tbl>
      <w:tblPr>
        <w:tblW w:w="8863" w:type="dxa"/>
        <w:jc w:val="left"/>
        <w:tblInd w:w="0" w:type="dxa"/>
        <w:tblLayout w:type="fixed"/>
        <w:tblCellMar>
          <w:top w:w="28" w:type="dxa"/>
          <w:left w:w="28" w:type="dxa"/>
          <w:bottom w:w="28" w:type="dxa"/>
          <w:right w:w="28" w:type="dxa"/>
        </w:tblCellMar>
      </w:tblPr>
      <w:tblGrid>
        <w:gridCol w:w="454"/>
        <w:gridCol w:w="399"/>
        <w:gridCol w:w="406"/>
        <w:gridCol w:w="109"/>
        <w:gridCol w:w="109"/>
        <w:gridCol w:w="109"/>
        <w:gridCol w:w="514"/>
        <w:gridCol w:w="514"/>
        <w:gridCol w:w="516"/>
        <w:gridCol w:w="109"/>
        <w:gridCol w:w="109"/>
        <w:gridCol w:w="109"/>
        <w:gridCol w:w="341"/>
        <w:gridCol w:w="997"/>
        <w:gridCol w:w="176"/>
        <w:gridCol w:w="109"/>
        <w:gridCol w:w="109"/>
        <w:gridCol w:w="109"/>
        <w:gridCol w:w="524"/>
        <w:gridCol w:w="524"/>
        <w:gridCol w:w="526"/>
        <w:gridCol w:w="109"/>
        <w:gridCol w:w="109"/>
        <w:gridCol w:w="109"/>
        <w:gridCol w:w="355"/>
        <w:gridCol w:w="785"/>
        <w:gridCol w:w="524"/>
      </w:tblGrid>
      <w:tr>
        <w:trPr/>
        <w:tc>
          <w:tcPr>
            <w:tcW w:w="454"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Number of</w:t>
            </w:r>
          </w:p>
          <w:p>
            <w:pPr>
              <w:pStyle w:val="TableContents"/>
              <w:bidi w:val="0"/>
              <w:spacing w:lineRule="auto" w:line="240" w:before="0" w:after="0"/>
              <w:jc w:val="center"/>
              <w:rPr/>
            </w:pPr>
            <w:r>
              <w:rPr>
                <w:rFonts w:ascii="Times New Roman;serif" w:hAnsi="Times New Roman;serif"/>
                <w:b/>
                <w:color w:val="000000"/>
                <w:sz w:val="16"/>
              </w:rPr>
              <w:t xml:space="preserve">Shares Purchased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w:t>
              <w:br/>
              <w:t>Shares Purchased as</w:t>
              <w:br/>
              <w:t>Part of Publicly</w:t>
              <w:br/>
              <w:t>Announced Plans or</w:t>
              <w:br/>
              <w:t>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Dollar</w:t>
              <w:br/>
              <w:t>Value of Shares that</w:t>
              <w:br/>
              <w:t>May Yet Be</w:t>
              <w:br/>
              <w:t>Purchased Under the</w:t>
              <w:br/>
              <w:t>Plans or Programs</w:t>
            </w:r>
          </w:p>
        </w:tc>
      </w:tr>
      <w:tr>
        <w:trPr/>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1,019,492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1,018,043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1,028,241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524"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2,055,753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2,046,284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During the periods presented, (i) 9,469 shares of our common stock were purchased by the administrator of our Bread Financial 401(k) Plan for the benefit of the employees who participated in that portion of the 401(k) Plan and (ii) 2,046,284 shares of our common stock were repurchased by the Company, pursuant to a Rule 10b5-1 trading plan previously adopted by the Company, during an open trading window.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hanging="10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(a)None.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(b)None.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(c)On February 27, 2026, Ralph Andretta, our President and Chief Executive Officer, entered into a Rule 10b5-1 trading arrangement, as defined in Item 408(a) of Regulation S-K, providing for the sale from time to time of an aggregate of up to 15,000 shares of our common stock. The duration of the trading arrangement is until December 31, 2026 or earlier if all transactions under the trading arrangement are completed. During the three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240" w:after="283"/>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March 31, 2026, no other Section 16 officer or director of the Parent Company adopted or terminated a Rule 10b5-1 trading arrangement or non-Rule 10b5-1 trading arrangement, as each term is defined in Item 408(a)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a)Exhibits: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93"/>
        <w:gridCol w:w="227"/>
        <w:gridCol w:w="229"/>
        <w:gridCol w:w="109"/>
        <w:gridCol w:w="109"/>
        <w:gridCol w:w="109"/>
        <w:gridCol w:w="150"/>
        <w:gridCol w:w="150"/>
        <w:gridCol w:w="151"/>
        <w:gridCol w:w="109"/>
        <w:gridCol w:w="109"/>
        <w:gridCol w:w="109"/>
        <w:gridCol w:w="1836"/>
        <w:gridCol w:w="1836"/>
        <w:gridCol w:w="1853"/>
        <w:gridCol w:w="109"/>
        <w:gridCol w:w="109"/>
        <w:gridCol w:w="109"/>
        <w:gridCol w:w="170"/>
        <w:gridCol w:w="170"/>
        <w:gridCol w:w="171"/>
        <w:gridCol w:w="115"/>
        <w:gridCol w:w="115"/>
        <w:gridCol w:w="115"/>
        <w:gridCol w:w="210"/>
        <w:gridCol w:w="210"/>
        <w:gridCol w:w="211"/>
        <w:gridCol w:w="115"/>
        <w:gridCol w:w="115"/>
        <w:gridCol w:w="115"/>
        <w:gridCol w:w="193"/>
        <w:gridCol w:w="193"/>
        <w:gridCol w:w="281"/>
      </w:tblGrid>
      <w:tr>
        <w:trPr/>
        <w:tc>
          <w:tcPr>
            <w:tcW w:w="29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7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7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Third Amended and Restated Certificate of Incorporation of the Registrant.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6/10/16</w:t>
            </w:r>
          </w:p>
        </w:tc>
      </w:tr>
      <w:tr>
        <w:trPr/>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Certificate of Amendment to Third Amended and Restated Certificate of Incorporation of the Registrant.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3/24/22</w:t>
            </w:r>
          </w:p>
        </w:tc>
      </w:tr>
      <w:tr>
        <w:trPr/>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Certificate of Elimination of Series A Preferred Non-Voting Convertible Preferred Stock of the Registrant.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10/28/25</w:t>
            </w:r>
          </w:p>
        </w:tc>
      </w:tr>
      <w:tr>
        <w:trPr/>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Sixth Amended and Restated Bylaws of the Registrant.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3/24/22</w:t>
            </w:r>
          </w:p>
        </w:tc>
      </w:tr>
      <w:tr>
        <w:trPr/>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Specimen Certificate for shares of Common Stock of the Registrant.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8/8/03</w:t>
            </w:r>
          </w:p>
        </w:tc>
      </w:tr>
      <w:tr>
        <w:trPr/>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(b)</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80"/>
                  <w:sz w:val="20"/>
                  <w:u w:val="single"/>
                </w:rPr>
                <w:t>Fifth</w:t>
              </w:r>
            </w:hyperlink>
            <w:hyperlink r:id="rId9">
              <w:r>
                <w:rPr>
                  <w:rStyle w:val="InternetLink"/>
                  <w:rFonts w:ascii="Times New Roman;serif" w:hAnsi="Times New Roman;serif"/>
                  <w:b w:val="false"/>
                  <w:color w:val="000080"/>
                  <w:sz w:val="20"/>
                  <w:u w:val="single"/>
                </w:rPr>
                <w:t xml:space="preserve"> Addendum to Sixth Amended and Restated Service Agreement, dated as of </w:t>
              </w:r>
            </w:hyperlink>
            <w:hyperlink r:id="rId10">
              <w:r>
                <w:rPr>
                  <w:rStyle w:val="InternetLink"/>
                  <w:rFonts w:ascii="Times New Roman;serif" w:hAnsi="Times New Roman;serif"/>
                  <w:b w:val="false"/>
                  <w:color w:val="000080"/>
                  <w:sz w:val="20"/>
                  <w:u w:val="single"/>
                </w:rPr>
                <w:t xml:space="preserve">January </w:t>
              </w:r>
            </w:hyperlink>
            <w:hyperlink r:id="rId11">
              <w:r>
                <w:rPr>
                  <w:rStyle w:val="InternetLink"/>
                  <w:rFonts w:ascii="Times New Roman;serif" w:hAnsi="Times New Roman;serif"/>
                  <w:b w:val="false"/>
                  <w:color w:val="000080"/>
                  <w:sz w:val="20"/>
                  <w:u w:val="single"/>
                </w:rPr>
                <w:t>1, 202</w:t>
              </w:r>
            </w:hyperlink>
            <w:hyperlink r:id="rId12">
              <w:r>
                <w:rPr>
                  <w:rStyle w:val="InternetLink"/>
                  <w:rFonts w:ascii="Times New Roman;serif" w:hAnsi="Times New Roman;serif"/>
                  <w:b w:val="false"/>
                  <w:color w:val="000080"/>
                  <w:sz w:val="20"/>
                  <w:u w:val="single"/>
                </w:rPr>
                <w:t>6</w:t>
              </w:r>
            </w:hyperlink>
            <w:hyperlink r:id="rId13">
              <w:r>
                <w:rPr>
                  <w:rStyle w:val="InternetLink"/>
                  <w:rFonts w:ascii="Times New Roman;serif" w:hAnsi="Times New Roman;serif"/>
                  <w:b w:val="false"/>
                  <w:color w:val="000080"/>
                  <w:sz w:val="20"/>
                  <w:u w:val="single"/>
                </w:rPr>
                <w:t>, by and between Comenity Bank and Comenity Servicing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1/5/26</w:t>
            </w:r>
          </w:p>
        </w:tc>
      </w:tr>
      <w:tr>
        <w:trPr/>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(b)</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80"/>
                  <w:sz w:val="20"/>
                  <w:u w:val="single"/>
                </w:rPr>
                <w:t>Sixth</w:t>
              </w:r>
            </w:hyperlink>
            <w:hyperlink r:id="rId15">
              <w:r>
                <w:rPr>
                  <w:rStyle w:val="InternetLink"/>
                  <w:rFonts w:ascii="Times New Roman;serif" w:hAnsi="Times New Roman;serif"/>
                  <w:b w:val="false"/>
                  <w:color w:val="000080"/>
                  <w:sz w:val="20"/>
                  <w:u w:val="single"/>
                </w:rPr>
                <w:t xml:space="preserve"> Addendum to Sixth Amended and Restated Service Agreement, dated as of </w:t>
              </w:r>
            </w:hyperlink>
            <w:hyperlink r:id="rId16">
              <w:r>
                <w:rPr>
                  <w:rStyle w:val="InternetLink"/>
                  <w:rFonts w:ascii="Times New Roman;serif" w:hAnsi="Times New Roman;serif"/>
                  <w:b w:val="false"/>
                  <w:color w:val="000080"/>
                  <w:sz w:val="20"/>
                  <w:u w:val="single"/>
                </w:rPr>
                <w:t>April</w:t>
              </w:r>
            </w:hyperlink>
            <w:hyperlink r:id="rId17">
              <w:r>
                <w:rPr>
                  <w:rStyle w:val="InternetLink"/>
                  <w:rFonts w:ascii="Times New Roman;serif" w:hAnsi="Times New Roman;serif"/>
                  <w:b w:val="false"/>
                  <w:color w:val="000080"/>
                  <w:sz w:val="20"/>
                  <w:u w:val="single"/>
                </w:rPr>
                <w:t xml:space="preserve"> 1, 2026, by and between Comenity Bank and Comenity Servicing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4/1/26</w:t>
            </w:r>
          </w:p>
        </w:tc>
      </w:tr>
      <w:tr>
        <w:trPr/>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80"/>
                  <w:sz w:val="20"/>
                  <w:u w:val="single"/>
                </w:rPr>
                <w:t xml:space="preserve">Form of </w:t>
              </w:r>
            </w:hyperlink>
            <w:hyperlink r:id="rId19">
              <w:r>
                <w:rPr>
                  <w:rStyle w:val="InternetLink"/>
                  <w:rFonts w:ascii="Times New Roman;serif" w:hAnsi="Times New Roman;serif"/>
                  <w:b w:val="false"/>
                  <w:color w:val="000080"/>
                  <w:sz w:val="20"/>
                  <w:u w:val="single"/>
                </w:rPr>
                <w:t xml:space="preserve">Capped Call </w:t>
              </w:r>
            </w:hyperlink>
            <w:hyperlink r:id="rId20">
              <w:r>
                <w:rPr>
                  <w:rStyle w:val="InternetLink"/>
                  <w:rFonts w:ascii="Times New Roman;serif" w:hAnsi="Times New Roman;serif"/>
                  <w:b w:val="false"/>
                  <w:color w:val="000080"/>
                  <w:sz w:val="20"/>
                  <w:u w:val="single"/>
                </w:rPr>
                <w:t>Unwind</w:t>
              </w:r>
            </w:hyperlink>
            <w:hyperlink r:id="rId21">
              <w:r>
                <w:rPr>
                  <w:rStyle w:val="InternetLink"/>
                  <w:rFonts w:ascii="Times New Roman;serif" w:hAnsi="Times New Roman;serif"/>
                  <w:b w:val="false"/>
                  <w:color w:val="000080"/>
                  <w:sz w:val="20"/>
                  <w:u w:val="single"/>
                </w:rPr>
                <w:t xml:space="preserve"> Agree</w:t>
              </w:r>
            </w:hyperlink>
            <w:hyperlink r:id="rId22">
              <w:r>
                <w:rPr>
                  <w:rStyle w:val="InternetLink"/>
                  <w:rFonts w:ascii="Times New Roman;serif" w:hAnsi="Times New Roman;serif"/>
                  <w:b w:val="false"/>
                  <w:color w:val="000080"/>
                  <w:sz w:val="20"/>
                  <w:u w:val="single"/>
                </w:rPr>
                <w:t>ment</w:t>
              </w:r>
            </w:hyperlink>
            <w:hyperlink r:id="rId23">
              <w:r>
                <w:rPr>
                  <w:rStyle w:val="InternetLink"/>
                  <w:rFonts w:ascii="Times New Roman;serif" w:hAnsi="Times New Roman;serif"/>
                  <w:b w:val="false"/>
                  <w:color w:val="000080"/>
                  <w:sz w:val="20"/>
                  <w:u w:val="single"/>
                </w:rPr>
                <w: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2/17/26</w:t>
            </w:r>
          </w:p>
        </w:tc>
      </w:tr>
      <w:tr>
        <w:trPr/>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bfh-03312026xexx311recurri.htm">
              <w:r>
                <w:rPr>
                  <w:rStyle w:val="InternetLink"/>
                  <w:rFonts w:ascii="Times New Roman;serif" w:hAnsi="Times New Roman;serif"/>
                  <w:b w:val="false"/>
                  <w:color w:val="0000FF"/>
                  <w:sz w:val="20"/>
                  <w:u w:val="single"/>
                </w:rPr>
                <w:t>Certification of Chief Executive Officer of Bread Financial Holdings, Inc. pursuant to Rule 13a-14(a) promulgated under the Securities Exchange Act of 1934, as amended.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bfh-03312026xexx312recurri.htm">
              <w:r>
                <w:rPr>
                  <w:rStyle w:val="InternetLink"/>
                  <w:rFonts w:ascii="Times New Roman;serif" w:hAnsi="Times New Roman;serif"/>
                  <w:b w:val="false"/>
                  <w:color w:val="0000FF"/>
                  <w:sz w:val="20"/>
                  <w:u w:val="single"/>
                </w:rPr>
                <w:t>Certification of Chief Financial Officer of Bread Financial Holdings, Inc. pursuant to Rule 13a-14(a) promulgated under the Securities Exchange Act of 1934, as amended.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bfh-03312026xexx321recurri.htm">
              <w:r>
                <w:rPr>
                  <w:rStyle w:val="InternetLink"/>
                  <w:rFonts w:ascii="Times New Roman;serif" w:hAnsi="Times New Roman;serif"/>
                  <w:b w:val="false"/>
                  <w:color w:val="0000FF"/>
                  <w:sz w:val="20"/>
                  <w:u w:val="single"/>
                </w:rPr>
                <w:t>Certification of Chief Executive Officer of Bread Financial Holdings, Inc. pursuant to Rule 13a-14(b) promulgated under the Securities Exchange Act of 1934, as amended, and Section 1350 of Chapter 63 of Title 18 of the United States Code.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bfh-03312026xexx322recurri.htm">
              <w:r>
                <w:rPr>
                  <w:rStyle w:val="InternetLink"/>
                  <w:rFonts w:ascii="Times New Roman;serif" w:hAnsi="Times New Roman;serif"/>
                  <w:b w:val="false"/>
                  <w:color w:val="0000FF"/>
                  <w:sz w:val="20"/>
                  <w:u w:val="single"/>
                </w:rPr>
                <w:t>Certification of Chief Financial Officer of Bread Financial Holdings, Inc. pursuant to Rule 13a-14(b) promulgated under the Securities Exchange Act of 1934, as amended, and Section 1350 of Chapter 63 of Title 18 of the United States Code.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47"/>
        <w:gridCol w:w="216"/>
        <w:gridCol w:w="218"/>
        <w:gridCol w:w="109"/>
        <w:gridCol w:w="109"/>
        <w:gridCol w:w="109"/>
        <w:gridCol w:w="150"/>
        <w:gridCol w:w="150"/>
        <w:gridCol w:w="151"/>
        <w:gridCol w:w="109"/>
        <w:gridCol w:w="109"/>
        <w:gridCol w:w="109"/>
        <w:gridCol w:w="1880"/>
        <w:gridCol w:w="1880"/>
        <w:gridCol w:w="1896"/>
        <w:gridCol w:w="109"/>
        <w:gridCol w:w="109"/>
        <w:gridCol w:w="109"/>
        <w:gridCol w:w="170"/>
        <w:gridCol w:w="170"/>
        <w:gridCol w:w="171"/>
        <w:gridCol w:w="112"/>
        <w:gridCol w:w="112"/>
        <w:gridCol w:w="112"/>
        <w:gridCol w:w="210"/>
        <w:gridCol w:w="210"/>
        <w:gridCol w:w="211"/>
        <w:gridCol w:w="112"/>
        <w:gridCol w:w="112"/>
        <w:gridCol w:w="112"/>
        <w:gridCol w:w="180"/>
        <w:gridCol w:w="180"/>
        <w:gridCol w:w="262"/>
      </w:tblGrid>
      <w:tr>
        <w:trPr/>
        <w:tc>
          <w:tcPr>
            <w:tcW w:w="24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6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Bread Financial Holdings, Inc.’s Quarterly Report on Form 10-Q for the quarter ended March 31, 2026, formatted in Inline XBRL: (i) Consolidated Statements of Income, (ii) Consolidated Statements of Comprehensive Income, (iii) Consolidated Balance Sheets, (iv) Consolidated Statements of Stockholders’ Equity, (v) Consolidated Statements of Cash Flows and (vi) Notes to Consolidated Financial Statements.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(a)Bread Financial Holdings, Inc.</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(b)WFN Credit Company, LLC</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(c)World Financial Network Credit Card Master Trust</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(d)World Financial Network Credit Card Master Note Trust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240" w:after="283"/>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Bread Financial Holdings, Inc. has duly caused this quarterly report on Form 10-Q to be signed on its behalf by the undersigned, thereunto duly authorized.</w:t>
      </w:r>
    </w:p>
    <w:p>
      <w:pPr>
        <w:pStyle w:val="TextBody"/>
        <w:bidi w:val="0"/>
        <w:spacing w:before="0" w:after="0"/>
        <w:jc w:val="left"/>
        <w:rPr/>
      </w:pPr>
      <w:r>
        <w:rPr/>
      </w:r>
    </w:p>
    <w:tbl>
      <w:tblPr>
        <w:tblW w:w="8157" w:type="dxa"/>
        <w:jc w:val="left"/>
        <w:tblInd w:w="0" w:type="dxa"/>
        <w:tblLayout w:type="fixed"/>
        <w:tblCellMar>
          <w:top w:w="28" w:type="dxa"/>
          <w:left w:w="28" w:type="dxa"/>
          <w:bottom w:w="28" w:type="dxa"/>
          <w:right w:w="28" w:type="dxa"/>
        </w:tblCellMar>
      </w:tblPr>
      <w:tblGrid>
        <w:gridCol w:w="695"/>
        <w:gridCol w:w="611"/>
        <w:gridCol w:w="614"/>
        <w:gridCol w:w="544"/>
        <w:gridCol w:w="544"/>
        <w:gridCol w:w="544"/>
        <w:gridCol w:w="1336"/>
        <w:gridCol w:w="1336"/>
        <w:gridCol w:w="1933"/>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BREAD FINANCIAL HOLDINGS, INC.</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April 28, 2026</w:t>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6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RALPH J. ANDRETTA</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Ralph J. Andretta</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President and Chief Executive Officer</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April 28, 2026</w:t>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6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PERRY S. BEBERMAN</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Perry S. Beberman</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Ralph J. Andretta, certify that:</w:t>
      </w:r>
    </w:p>
    <w:p>
      <w:pPr>
        <w:pStyle w:val="TextBody"/>
        <w:bidi w:val="0"/>
        <w:spacing w:lineRule="auto" w:line="288" w:before="240" w:after="283"/>
        <w:ind w:left="0" w:right="0" w:hanging="24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Bread Financial Holdings, Inc.;</w:t>
      </w:r>
    </w:p>
    <w:p>
      <w:pPr>
        <w:pStyle w:val="TextBody"/>
        <w:bidi w:val="0"/>
        <w:spacing w:lineRule="auto" w:line="288" w:before="240" w:after="283"/>
        <w:ind w:left="0" w:right="0" w:hanging="24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24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24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24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Date: April 28, 2026</w:t>
      </w:r>
    </w:p>
    <w:tbl>
      <w:tblPr>
        <w:tblW w:w="2457" w:type="dxa"/>
        <w:jc w:val="left"/>
        <w:tblInd w:w="0" w:type="dxa"/>
        <w:tblLayout w:type="fixed"/>
        <w:tblCellMar>
          <w:top w:w="28" w:type="dxa"/>
          <w:left w:w="28" w:type="dxa"/>
          <w:bottom w:w="28" w:type="dxa"/>
          <w:right w:w="28" w:type="dxa"/>
        </w:tblCellMar>
      </w:tblPr>
      <w:tblGrid>
        <w:gridCol w:w="124"/>
        <w:gridCol w:w="109"/>
        <w:gridCol w:w="109"/>
        <w:gridCol w:w="619"/>
        <w:gridCol w:w="619"/>
        <w:gridCol w:w="8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w:t>
            </w:r>
            <w:r>
              <w:rPr>
                <w:rFonts w:ascii="Times New Roman;serif" w:hAnsi="Times New Roman;serif"/>
                <w:b w:val="false"/>
                <w:color w:val="000000"/>
                <w:sz w:val="15"/>
              </w:rPr>
              <w:t>S</w:t>
            </w:r>
            <w:r>
              <w:rPr>
                <w:rFonts w:ascii="Times New Roman;serif" w:hAnsi="Times New Roman;serif"/>
                <w:b w:val="false"/>
                <w:color w:val="000000"/>
                <w:sz w:val="20"/>
              </w:rPr>
              <w:t>/ R</w:t>
            </w:r>
            <w:r>
              <w:rPr>
                <w:rFonts w:ascii="Times New Roman;serif" w:hAnsi="Times New Roman;serif"/>
                <w:b w:val="false"/>
                <w:color w:val="000000"/>
                <w:sz w:val="16"/>
              </w:rPr>
              <w:t>ALPH</w:t>
            </w:r>
            <w:r>
              <w:rPr>
                <w:color w:val="000000"/>
              </w:rPr>
              <w:t xml:space="preserve"> </w:t>
            </w:r>
            <w:r>
              <w:rPr>
                <w:rFonts w:ascii="Times New Roman;serif" w:hAnsi="Times New Roman;serif"/>
                <w:b w:val="false"/>
                <w:color w:val="000000"/>
                <w:sz w:val="20"/>
              </w:rPr>
              <w:t>J. A</w:t>
            </w:r>
            <w:r>
              <w:rPr>
                <w:rFonts w:ascii="Times New Roman;serif" w:hAnsi="Times New Roman;serif"/>
                <w:b w:val="false"/>
                <w:color w:val="000000"/>
                <w:sz w:val="16"/>
              </w:rPr>
              <w:t>NDRETTA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Ralph J. Andretta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 Perry S. Beberman, certify that:</w:t>
      </w:r>
    </w:p>
    <w:p>
      <w:pPr>
        <w:pStyle w:val="TextBody"/>
        <w:bidi w:val="0"/>
        <w:spacing w:lineRule="auto" w:line="288" w:before="240" w:after="283"/>
        <w:ind w:left="0" w:right="0" w:hanging="24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Bread Financial Holdings, Inc.;</w:t>
      </w:r>
    </w:p>
    <w:p>
      <w:pPr>
        <w:pStyle w:val="TextBody"/>
        <w:bidi w:val="0"/>
        <w:spacing w:lineRule="auto" w:line="288" w:before="240" w:after="283"/>
        <w:ind w:left="0" w:right="0" w:hanging="24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24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24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24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Date: April 28, 2026</w:t>
      </w:r>
    </w:p>
    <w:tbl>
      <w:tblPr>
        <w:tblW w:w="2367" w:type="dxa"/>
        <w:jc w:val="left"/>
        <w:tblInd w:w="0" w:type="dxa"/>
        <w:tblLayout w:type="fixed"/>
        <w:tblCellMar>
          <w:top w:w="28" w:type="dxa"/>
          <w:left w:w="28" w:type="dxa"/>
          <w:bottom w:w="28" w:type="dxa"/>
          <w:right w:w="28" w:type="dxa"/>
        </w:tblCellMar>
      </w:tblPr>
      <w:tblGrid>
        <w:gridCol w:w="124"/>
        <w:gridCol w:w="109"/>
        <w:gridCol w:w="109"/>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w:t>
            </w:r>
            <w:r>
              <w:rPr>
                <w:rFonts w:ascii="Times New Roman;serif" w:hAnsi="Times New Roman;serif"/>
                <w:b w:val="false"/>
                <w:color w:val="000000"/>
                <w:sz w:val="15"/>
              </w:rPr>
              <w:t>S</w:t>
            </w:r>
            <w:r>
              <w:rPr>
                <w:rFonts w:ascii="Times New Roman;serif" w:hAnsi="Times New Roman;serif"/>
                <w:b w:val="false"/>
                <w:color w:val="000000"/>
                <w:sz w:val="20"/>
              </w:rPr>
              <w:t>/ P</w:t>
            </w:r>
            <w:r>
              <w:rPr>
                <w:rFonts w:ascii="Times New Roman;serif" w:hAnsi="Times New Roman;serif"/>
                <w:b w:val="false"/>
                <w:color w:val="000000"/>
                <w:sz w:val="15"/>
              </w:rPr>
              <w:t xml:space="preserve">ERRY </w:t>
            </w:r>
            <w:r>
              <w:rPr>
                <w:rFonts w:ascii="Times New Roman;serif" w:hAnsi="Times New Roman;serif"/>
                <w:b w:val="false"/>
                <w:color w:val="000000"/>
                <w:sz w:val="20"/>
              </w:rPr>
              <w:t>S. B</w:t>
            </w:r>
            <w:r>
              <w:rPr>
                <w:rFonts w:ascii="Times New Roman;serif" w:hAnsi="Times New Roman;serif"/>
                <w:b w:val="false"/>
                <w:color w:val="000000"/>
                <w:sz w:val="15"/>
              </w:rPr>
              <w:t>EBERMAN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5"/>
              </w:rPr>
            </w:pPr>
            <w:r>
              <w:rPr>
                <w:rFonts w:ascii="Times New Roman;serif" w:hAnsi="Times New Roman;serif"/>
                <w:b/>
                <w:color w:val="000000"/>
                <w:sz w:val="15"/>
              </w:rPr>
              <w:t>Perry S. Beberman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5"/>
              </w:rPr>
            </w:pPr>
            <w:r>
              <w:rPr>
                <w:rFonts w:ascii="Times New Roman;serif" w:hAnsi="Times New Roman;serif"/>
                <w:b/>
                <w:color w:val="000000"/>
                <w:sz w:val="15"/>
              </w:rPr>
              <w:t>Chief Financial Officer</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Bread Financial Holdings, Inc. (the Company) for the quarterly period ended March 31, 2026, as filed with the Securities and Exchange Commission on the date hereof (the Report), Ralph J. Andretta, as Chief Executive Officer of the Company, hereby certifies pursuant to 18 U.S.C. Section 1350, as adopted pursuant to Section 906 of the Sarbanes-Oxley Act of 2002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(i)the Report fully complies with the requirements of Section 13(a) or 15(d) of the Securities Exchange Act of 1934;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(ii)the information contained in the Report fairly presents, in all material respects, the financial condition and results of operations of the Company.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Date: April 28, 2026</w:t>
      </w:r>
    </w:p>
    <w:tbl>
      <w:tblPr>
        <w:tblW w:w="2457" w:type="dxa"/>
        <w:jc w:val="left"/>
        <w:tblInd w:w="0" w:type="dxa"/>
        <w:tblLayout w:type="fixed"/>
        <w:tblCellMar>
          <w:top w:w="28" w:type="dxa"/>
          <w:left w:w="28" w:type="dxa"/>
          <w:bottom w:w="28" w:type="dxa"/>
          <w:right w:w="28" w:type="dxa"/>
        </w:tblCellMar>
      </w:tblPr>
      <w:tblGrid>
        <w:gridCol w:w="124"/>
        <w:gridCol w:w="109"/>
        <w:gridCol w:w="109"/>
        <w:gridCol w:w="619"/>
        <w:gridCol w:w="619"/>
        <w:gridCol w:w="8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w:t>
            </w:r>
            <w:r>
              <w:rPr>
                <w:rFonts w:ascii="Times New Roman;serif" w:hAnsi="Times New Roman;serif"/>
                <w:b w:val="false"/>
                <w:color w:val="000000"/>
                <w:sz w:val="15"/>
              </w:rPr>
              <w:t>S</w:t>
            </w:r>
            <w:r>
              <w:rPr>
                <w:rFonts w:ascii="Times New Roman;serif" w:hAnsi="Times New Roman;serif"/>
                <w:b w:val="false"/>
                <w:color w:val="000000"/>
                <w:sz w:val="20"/>
              </w:rPr>
              <w:t>/ R</w:t>
            </w:r>
            <w:r>
              <w:rPr>
                <w:rFonts w:ascii="Times New Roman;serif" w:hAnsi="Times New Roman;serif"/>
                <w:b w:val="false"/>
                <w:color w:val="000000"/>
                <w:sz w:val="16"/>
              </w:rPr>
              <w:t>ALPH</w:t>
            </w:r>
            <w:r>
              <w:rPr>
                <w:color w:val="000000"/>
              </w:rPr>
              <w:t xml:space="preserve"> </w:t>
            </w:r>
            <w:r>
              <w:rPr>
                <w:rFonts w:ascii="Times New Roman;serif" w:hAnsi="Times New Roman;serif"/>
                <w:b w:val="false"/>
                <w:color w:val="000000"/>
                <w:sz w:val="20"/>
              </w:rPr>
              <w:t>J. A</w:t>
            </w:r>
            <w:r>
              <w:rPr>
                <w:rFonts w:ascii="Times New Roman;serif" w:hAnsi="Times New Roman;serif"/>
                <w:b w:val="false"/>
                <w:color w:val="000000"/>
                <w:sz w:val="16"/>
              </w:rPr>
              <w:t>NDRETTA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16"/>
              </w:rPr>
            </w:pPr>
            <w:r>
              <w:rPr>
                <w:rFonts w:ascii="Times New Roman;serif" w:hAnsi="Times New Roman;serif"/>
                <w:b/>
                <w:color w:val="000000"/>
                <w:sz w:val="16"/>
              </w:rPr>
              <w:t>Ralph J. Andretta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16"/>
              </w:rPr>
            </w:pPr>
            <w:r>
              <w:rPr>
                <w:rFonts w:ascii="Times New Roman;serif" w:hAnsi="Times New Roman;serif"/>
                <w:b/>
                <w:color w:val="000000"/>
                <w:sz w:val="16"/>
              </w:rPr>
              <w:t>Chief Executive Officer</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Bread Financial Holdings, Inc. (the Company) for the quarterly period ended March 31, 2026, as filed with the Securities and Exchange Commission on the date hereof (the Report), Perry S. Beberman, as Chief Financial Officer of the Company, hereby certifies pursuant to 18 U.S.C. Section 1350, as adopted pursuant to Section 906 of the Sarbanes-Oxley Act of 2002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(i)the Report fully complies with the requirements of Section 13(a) or 15(d) of the Securities Exchange Act of 1934;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(ii)the information contained in the Report fairly presents, in all material respects, the financial condition and results of operations of the Company.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Date: April 28, 2026</w:t>
      </w:r>
    </w:p>
    <w:tbl>
      <w:tblPr>
        <w:tblW w:w="2472" w:type="dxa"/>
        <w:jc w:val="left"/>
        <w:tblInd w:w="0" w:type="dxa"/>
        <w:tblLayout w:type="fixed"/>
        <w:tblCellMar>
          <w:top w:w="28" w:type="dxa"/>
          <w:left w:w="28" w:type="dxa"/>
          <w:bottom w:w="28" w:type="dxa"/>
          <w:right w:w="28" w:type="dxa"/>
        </w:tblCellMar>
      </w:tblPr>
      <w:tblGrid>
        <w:gridCol w:w="124"/>
        <w:gridCol w:w="109"/>
        <w:gridCol w:w="109"/>
        <w:gridCol w:w="624"/>
        <w:gridCol w:w="624"/>
        <w:gridCol w:w="8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r>
              <w:rPr>
                <w:rFonts w:ascii="Times New Roman;serif" w:hAnsi="Times New Roman;serif"/>
                <w:b w:val="false"/>
                <w:color w:val="000000"/>
                <w:sz w:val="20"/>
                <w:shd w:fill="FFFFFF" w:val="clear"/>
              </w:rPr>
              <w:t>/s/ P</w:t>
            </w:r>
            <w:r>
              <w:rPr>
                <w:rFonts w:ascii="Times New Roman;serif" w:hAnsi="Times New Roman;serif"/>
                <w:b w:val="false"/>
                <w:color w:val="000000"/>
                <w:sz w:val="16"/>
                <w:shd w:fill="FFFFFF" w:val="clear"/>
              </w:rPr>
              <w:t>ERRY</w:t>
            </w:r>
            <w:r>
              <w:rPr>
                <w:color w:val="000000"/>
                <w:shd w:fill="FFFFFF" w:val="clear"/>
              </w:rPr>
              <w:t xml:space="preserve"> </w:t>
            </w:r>
            <w:r>
              <w:rPr>
                <w:rFonts w:ascii="Times New Roman;serif" w:hAnsi="Times New Roman;serif"/>
                <w:b w:val="false"/>
                <w:color w:val="000000"/>
                <w:sz w:val="20"/>
                <w:shd w:fill="FFFFFF" w:val="clear"/>
              </w:rPr>
              <w:t>S. B</w:t>
            </w:r>
            <w:r>
              <w:rPr>
                <w:rFonts w:ascii="Times New Roman;serif" w:hAnsi="Times New Roman;serif"/>
                <w:b w:val="false"/>
                <w:color w:val="000000"/>
                <w:sz w:val="16"/>
                <w:shd w:fill="FFFFFF" w:val="clear"/>
              </w:rPr>
              <w:t>EBERMAN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16"/>
              </w:rPr>
            </w:pPr>
            <w:r>
              <w:rPr>
                <w:rFonts w:ascii="Times New Roman;serif" w:hAnsi="Times New Roman;serif"/>
                <w:b/>
                <w:color w:val="000000"/>
                <w:sz w:val="16"/>
              </w:rPr>
              <w:t>Perry S. Beberman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16"/>
              </w:rPr>
            </w:pPr>
            <w:r>
              <w:rPr>
                <w:rFonts w:ascii="Times New Roman;serif" w:hAnsi="Times New Roman;serif"/>
                <w:b/>
                <w:color w:val="000000"/>
                <w:sz w:val="16"/>
              </w:rPr>
              <w:t>Chief Financial Officer</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101215/000110121516000364/exhibit_3-2.htm" TargetMode="External"/><Relationship Id="rId4" Type="http://schemas.openxmlformats.org/officeDocument/2006/relationships/hyperlink" Target="https://www.sec.gov/Archives/edgar/data/1101215/000110121522000058/exhibit_3-1.htm" TargetMode="External"/><Relationship Id="rId5" Type="http://schemas.openxmlformats.org/officeDocument/2006/relationships/hyperlink" Target="https://www.sec.gov/Archives/edgar/data/1101215/000110121525000173/bfh-09302025xexx33.htm" TargetMode="External"/><Relationship Id="rId6" Type="http://schemas.openxmlformats.org/officeDocument/2006/relationships/hyperlink" Target="https://www.sec.gov/Archives/edgar/data/1101215/000110121522000058/exhibit_3-2.htm" TargetMode="External"/><Relationship Id="rId7" Type="http://schemas.openxmlformats.org/officeDocument/2006/relationships/hyperlink" Target="https://www.sec.gov/Archives/edgar/data/1101215/000104746903026831/a2114800zex-4.htm" TargetMode="External"/><Relationship Id="rId8" Type="http://schemas.openxmlformats.org/officeDocument/2006/relationships/hyperlink" Target="https://www.sec.gov/Archives/edgar/data/1139552/000113955226000003/exhibit99101-01x26form8xk.htm" TargetMode="External"/><Relationship Id="rId9" Type="http://schemas.openxmlformats.org/officeDocument/2006/relationships/hyperlink" Target="https://www.sec.gov/Archives/edgar/data/1139552/000113955226000003/exhibit99101-01x26form8xk.htm" TargetMode="External"/><Relationship Id="rId10" Type="http://schemas.openxmlformats.org/officeDocument/2006/relationships/hyperlink" Target="https://www.sec.gov/Archives/edgar/data/1139552/000113955226000003/exhibit99101-01x26form8xk.htm" TargetMode="External"/><Relationship Id="rId11" Type="http://schemas.openxmlformats.org/officeDocument/2006/relationships/hyperlink" Target="https://www.sec.gov/Archives/edgar/data/1139552/000113955226000003/exhibit99101-01x26form8xk.htm" TargetMode="External"/><Relationship Id="rId12" Type="http://schemas.openxmlformats.org/officeDocument/2006/relationships/hyperlink" Target="https://www.sec.gov/Archives/edgar/data/1139552/000113955226000003/exhibit99101-01x26form8xk.htm" TargetMode="External"/><Relationship Id="rId13" Type="http://schemas.openxmlformats.org/officeDocument/2006/relationships/hyperlink" Target="https://www.sec.gov/Archives/edgar/data/1139552/000113955226000003/exhibit99101-01x26form8xk.htm" TargetMode="External"/><Relationship Id="rId14" Type="http://schemas.openxmlformats.org/officeDocument/2006/relationships/hyperlink" Target="https://www.sec.gov/Archives/edgar/data/1139552/000113955226000023/exhibit99104-01x26form8xk.htm" TargetMode="External"/><Relationship Id="rId15" Type="http://schemas.openxmlformats.org/officeDocument/2006/relationships/hyperlink" Target="https://www.sec.gov/Archives/edgar/data/1139552/000113955226000023/exhibit99104-01x26form8xk.htm" TargetMode="External"/><Relationship Id="rId16" Type="http://schemas.openxmlformats.org/officeDocument/2006/relationships/hyperlink" Target="https://www.sec.gov/Archives/edgar/data/1139552/000113955226000023/exhibit99104-01x26form8xk.htm" TargetMode="External"/><Relationship Id="rId17" Type="http://schemas.openxmlformats.org/officeDocument/2006/relationships/hyperlink" Target="https://www.sec.gov/Archives/edgar/data/1139552/000113955226000023/exhibit99104-01x26form8xk.htm" TargetMode="External"/><Relationship Id="rId18" Type="http://schemas.openxmlformats.org/officeDocument/2006/relationships/hyperlink" Target="https://www.sec.gov/Archives/edgar/data/1101215/000110121526000021/exhibit101-formofcappedcal.htm" TargetMode="External"/><Relationship Id="rId19" Type="http://schemas.openxmlformats.org/officeDocument/2006/relationships/hyperlink" Target="https://www.sec.gov/Archives/edgar/data/1101215/000110121526000021/exhibit101-formofcappedcal.htm" TargetMode="External"/><Relationship Id="rId20" Type="http://schemas.openxmlformats.org/officeDocument/2006/relationships/hyperlink" Target="https://www.sec.gov/Archives/edgar/data/1101215/000110121526000021/exhibit101-formofcappedcal.htm" TargetMode="External"/><Relationship Id="rId21" Type="http://schemas.openxmlformats.org/officeDocument/2006/relationships/hyperlink" Target="https://www.sec.gov/Archives/edgar/data/1101215/000110121526000021/exhibit101-formofcappedcal.htm" TargetMode="External"/><Relationship Id="rId22" Type="http://schemas.openxmlformats.org/officeDocument/2006/relationships/hyperlink" Target="https://www.sec.gov/Archives/edgar/data/1101215/000110121526000021/exhibit101-formofcappedcal.htm" TargetMode="External"/><Relationship Id="rId23" Type="http://schemas.openxmlformats.org/officeDocument/2006/relationships/hyperlink" Target="https://www.sec.gov/Archives/edgar/data/1101215/000110121526000021/exhibit101-formofcappedcal.htm" TargetMode="External"/><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28541</Words>
  <Characters>158224</Characters>
  <CharactersWithSpaces>184678</CharactersWithSpaces>
  <Paragraphs>3334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