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10-D</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ASSET-BACKED ISSUER</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DISTRIBUTION REPORT PURSUANT TO SECTION 13 OR 15(D) OF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20"/>
        </w:rPr>
        <w:t>For the monthly distribution period from</w:t>
      </w:r>
      <w:r>
        <w:rPr>
          <w:color w:val="000000"/>
          <w:shd w:fill="FFFFFF" w:val="clear"/>
        </w:rPr>
        <w:t xml:space="preserve"> </w:t>
      </w:r>
      <w:r>
        <w:rPr>
          <w:rFonts w:ascii="Times New Roman;serif" w:hAnsi="Times New Roman;serif"/>
          <w:b w:val="false"/>
          <w:color w:val="000000"/>
          <w:sz w:val="20"/>
          <w:shd w:fill="FFFFFF" w:val="clear"/>
        </w:rPr>
        <w:t>July 1, 2026 to July 31, 2026</w:t>
      </w:r>
    </w:p>
    <w:p>
      <w:pPr>
        <w:pStyle w:val="TextBody"/>
        <w:bidi w:val="0"/>
        <w:spacing w:lineRule="auto" w:line="192" w:before="6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issuing entity: 333-113669</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issuing entity: 0001282663</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World Financial Network Credit Card Master Note Trust</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issuing entity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depositor: 333-60418</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depositor: 0001139552</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WFN Credit Company, LLC</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depositor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sponsor (if applicable): 0001007254</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Comenity Bank</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sponsor as specified in its charter)</w:t>
      </w:r>
    </w:p>
    <w:p>
      <w:pPr>
        <w:pStyle w:val="TextBody"/>
        <w:bidi w:val="0"/>
        <w:spacing w:before="0" w:after="0"/>
        <w:jc w:val="center"/>
        <w:rPr/>
      </w:pPr>
      <w:r>
        <w:rPr/>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Benjamin L. Morgan (214) 494-3000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telephone number, including area code, of the person to contact in connection with this filing)</w:t>
      </w:r>
    </w:p>
    <w:p>
      <w:pPr>
        <w:pStyle w:val="TextBody"/>
        <w:bidi w:val="0"/>
        <w:spacing w:before="0" w:after="0"/>
        <w:jc w:val="both"/>
        <w:rPr/>
      </w:pPr>
      <w:r>
        <w:rPr/>
      </w:r>
    </w:p>
    <w:tbl>
      <w:tblPr>
        <w:tblW w:w="8369" w:type="dxa"/>
        <w:jc w:val="left"/>
        <w:tblInd w:w="0" w:type="dxa"/>
        <w:tblLayout w:type="fixed"/>
        <w:tblCellMar>
          <w:top w:w="28" w:type="dxa"/>
          <w:left w:w="28" w:type="dxa"/>
          <w:bottom w:w="28" w:type="dxa"/>
          <w:right w:w="28" w:type="dxa"/>
        </w:tblCellMar>
      </w:tblPr>
      <w:tblGrid>
        <w:gridCol w:w="2058"/>
        <w:gridCol w:w="1807"/>
        <w:gridCol w:w="1834"/>
        <w:gridCol w:w="780"/>
        <w:gridCol w:w="780"/>
        <w:gridCol w:w="1110"/>
      </w:tblGrid>
      <w:tr>
        <w:trPr/>
        <w:tc>
          <w:tcPr>
            <w:tcW w:w="205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31-1772814</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 of the issuing entity)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One Righter Parkway, Suite 100</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Wilmington, 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19803</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of issuing entity)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(302) 529-6140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if changed since last report)</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60" w:after="120"/>
        <w:jc w:val="both"/>
        <w:rPr/>
      </w:pPr>
      <w:r>
        <w:rPr/>
      </w:r>
    </w:p>
    <w:tbl>
      <w:tblPr>
        <w:tblW w:w="7767" w:type="dxa"/>
        <w:jc w:val="left"/>
        <w:tblInd w:w="0" w:type="dxa"/>
        <w:tblLayout w:type="fixed"/>
        <w:tblCellMar>
          <w:top w:w="28" w:type="dxa"/>
          <w:left w:w="28" w:type="dxa"/>
          <w:bottom w:w="28" w:type="dxa"/>
          <w:right w:w="28" w:type="dxa"/>
        </w:tblCellMar>
      </w:tblPr>
      <w:tblGrid>
        <w:gridCol w:w="1056"/>
        <w:gridCol w:w="932"/>
        <w:gridCol w:w="937"/>
        <w:gridCol w:w="373"/>
        <w:gridCol w:w="373"/>
        <w:gridCol w:w="373"/>
        <w:gridCol w:w="373"/>
        <w:gridCol w:w="373"/>
        <w:gridCol w:w="373"/>
        <w:gridCol w:w="373"/>
        <w:gridCol w:w="373"/>
        <w:gridCol w:w="373"/>
        <w:gridCol w:w="435"/>
        <w:gridCol w:w="435"/>
        <w:gridCol w:w="615"/>
      </w:tblGrid>
      <w:tr>
        <w:trPr/>
        <w:tc>
          <w:tcPr>
            <w:tcW w:w="10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Class</w:t>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Registered/reporting pursuant to (check one)</w:t>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(If Section 12(b)</w:t>
            </w:r>
          </w:p>
        </w:tc>
      </w:tr>
      <w:tr>
        <w:trPr/>
        <w:tc>
          <w:tcPr>
            <w:tcW w:w="2925" w:type="dxa"/>
            <w:gridSpan w:val="3"/>
            <w:vMerge w:val="continue"/>
            <w:tcBorders/>
            <w:tcMar>
              <w:top w:w="0" w:type="dxa"/>
              <w:left w:w="0" w:type="dxa"/>
              <w:bottom w:w="0" w:type="dxa"/>
              <w:right w:w="0" w:type="dxa"/>
            </w:tcMar>
            <w:vAlign w:val="center"/>
          </w:tcPr>
          <w:p>
            <w:pPr>
              <w:pStyle w:val="Normal"/>
              <w:bidi w:val="0"/>
              <w:jc w:val="left"/>
              <w:rPr/>
            </w:pPr>
            <w:r>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12(g)</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15(d)</w:t>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2024-A, Class A, Class M, Class 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2024-B, Class A</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0"/>
        <w:jc w:val="center"/>
        <w:rPr/>
      </w:pPr>
      <w:r>
        <w:rPr/>
      </w:r>
    </w:p>
    <w:p>
      <w:pPr>
        <w:pStyle w:val="TextBody"/>
        <w:bidi w:val="0"/>
        <w:spacing w:lineRule="auto" w:line="240" w:before="0" w:after="0"/>
        <w:ind w:left="0" w:right="0" w:firstLine="220"/>
        <w:jc w:val="center"/>
        <w:rPr/>
      </w:pPr>
      <w:r>
        <w:rPr>
          <w:rFonts w:ascii="Times New Roman;serif" w:hAnsi="Times New Roman;serif"/>
          <w:b w:val="false"/>
          <w:color w:val="000000"/>
          <w:sz w:val="20"/>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 xml:space="preserve">☐ </w:t>
      </w:r>
      <w:r>
        <w:rPr>
          <w:rFonts w:ascii="Times New Roman;serif" w:hAnsi="Times New Roman;serif"/>
          <w:b w:val="false"/>
          <w:color w:val="000000"/>
          <w:sz w:val="20"/>
        </w:rPr>
        <w:t>[Check]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 – DISTRIBUTION INFORMATION</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    Distribution and Pool Performance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response to Item 1 is set forth herein and in Exhibit 99.1.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No assets securitized by the depositor and held by World Financial Network Credit Card Master Note Trust were the subject of a demand to repurchase or replace for breach of the representations and warranties during the distribution period from </w:t>
      </w:r>
      <w:r>
        <w:rPr>
          <w:rFonts w:ascii="Times New Roman;serif" w:hAnsi="Times New Roman;serif"/>
          <w:b w:val="false"/>
          <w:color w:val="000000"/>
          <w:sz w:val="20"/>
          <w:shd w:fill="FFFFFF" w:val="clear"/>
        </w:rPr>
        <w:t>July 1, 2026 to July 31, 2026.</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The depositor filed its most recent For</w:t>
      </w:r>
      <w:r>
        <w:rPr>
          <w:rFonts w:ascii="Times New Roman;serif" w:hAnsi="Times New Roman;serif"/>
          <w:b w:val="false"/>
          <w:color w:val="000000"/>
          <w:sz w:val="20"/>
          <w:shd w:fill="FFFFFF" w:val="clear"/>
        </w:rPr>
        <w:t xml:space="preserve">m ABS-15G on </w:t>
      </w:r>
      <w:r>
        <w:rPr>
          <w:rFonts w:ascii="Times New Roman;serif" w:hAnsi="Times New Roman;serif"/>
          <w:b w:val="false"/>
          <w:color w:val="000000"/>
          <w:sz w:val="20"/>
        </w:rPr>
        <w:t>February 6, 2026</w:t>
      </w:r>
      <w:r>
        <w:rPr>
          <w:rFonts w:ascii="Times New Roman;serif" w:hAnsi="Times New Roman;serif"/>
          <w:b w:val="false"/>
          <w:color w:val="000000"/>
          <w:sz w:val="20"/>
          <w:shd w:fill="FFFFFF" w:val="clear"/>
        </w:rPr>
        <w:t>. The CIK number of the depositor is 0001139552.</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modifications, extensions or waivers to pool asset terms, fees, penalties or payments during the distribution period or that have cumulatively become material over time?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breaches of pool asset representations and warranties or transaction covenants?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changes in the solicitation, credit-granting, underwriting, origination or pool selection criteria or procedures?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shd w:fill="FFFFFF" w:val="clear"/>
        </w:rPr>
        <w:t>For each of Series 2024-A and Series 2024-B is t</w:t>
      </w:r>
      <w:r>
        <w:rPr>
          <w:rFonts w:ascii="Times New Roman;serif" w:hAnsi="Times New Roman;serif"/>
          <w:b w:val="false"/>
          <w:color w:val="000000"/>
          <w:sz w:val="20"/>
        </w:rPr>
        <w:t xml:space="preserve">he applicable Portfolio Yield averaged over any three consecutive Monthly Periods less than the applicable Base Rate averaged over such period?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 Excess Funding Account was less than the Required Principal Balance on any business day during the distribution period?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1A. Asset-Level Information.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Item 1B. Asset Representations Reviewer and Investor Communication.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3. Sales of Securities and Use of Proceeds.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5. Submission of Matters to a Vote of Security Holders.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 Change in Sponsor Interest in the Securities.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10.    Exhibits.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48"/>
        <w:gridCol w:w="2748"/>
        <w:gridCol w:w="2755"/>
        <w:gridCol w:w="254"/>
        <w:gridCol w:w="254"/>
        <w:gridCol w:w="36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july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Monthly Noteholder’s Statement for World Financial Network Credit Card Master Note Trust, Series 2024-A and Series 2024-B for the August 17, 2026 Payment Date.</w:t>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695"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600"/>
        <w:gridCol w:w="600"/>
        <w:gridCol w:w="600"/>
        <w:gridCol w:w="600"/>
        <w:gridCol w:w="600"/>
        <w:gridCol w:w="615"/>
        <w:gridCol w:w="109"/>
        <w:gridCol w:w="109"/>
        <w:gridCol w:w="10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WFN Credit Company, LLC, as depositor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48"/>
        <w:gridCol w:w="2748"/>
        <w:gridCol w:w="2755"/>
        <w:gridCol w:w="254"/>
        <w:gridCol w:w="254"/>
        <w:gridCol w:w="36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july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Monthly Noteholder’s Statement for World Financial </w:t>
            </w:r>
            <w:r>
              <w:rPr>
                <w:rFonts w:ascii="Times New Roman;serif" w:hAnsi="Times New Roman;serif"/>
                <w:b w:val="false"/>
                <w:color w:val="000000"/>
                <w:sz w:val="20"/>
                <w:shd w:fill="FFFFFF" w:val="clear"/>
              </w:rPr>
              <w:t xml:space="preserve">Network Credit Card Master Note Trust, Series 2024-A and Series 2024-B for the </w:t>
            </w:r>
            <w:r>
              <w:rPr>
                <w:rFonts w:ascii="Times New Roman;serif" w:hAnsi="Times New Roman;serif"/>
                <w:b w:val="false"/>
                <w:color w:val="000000"/>
                <w:sz w:val="20"/>
              </w:rPr>
              <w:t>August 17, 2026</w:t>
            </w:r>
            <w:r>
              <w:rPr>
                <w:color w:val="000000"/>
                <w:shd w:fill="FFFFFF" w:val="clear"/>
              </w:rPr>
              <w:t xml:space="preserve"> </w:t>
            </w:r>
            <w:r>
              <w:rPr>
                <w:rFonts w:ascii="Times New Roman;serif" w:hAnsi="Times New Roman;serif"/>
                <w:b w:val="false"/>
                <w:color w:val="000000"/>
                <w:sz w:val="20"/>
                <w:shd w:fill="FFFFFF" w:val="clear"/>
              </w:rPr>
              <w:t>Payment Date.</w:t>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information required to be prepared with respect to the Distribution Date of August 17, 2026 and with respect to the performance of the Trust during the month of July 2026 is set forth below. Capitalized terms herein are defined in the Indenture and the Indenture Supplements.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19" w:type="dxa"/>
        <w:jc w:val="right"/>
        <w:tblInd w:w="0" w:type="dxa"/>
        <w:tblLayout w:type="fixed"/>
        <w:tblCellMar>
          <w:top w:w="28" w:type="dxa"/>
          <w:left w:w="28" w:type="dxa"/>
          <w:bottom w:w="28" w:type="dxa"/>
          <w:right w:w="28" w:type="dxa"/>
        </w:tblCellMar>
      </w:tblPr>
      <w:tblGrid>
        <w:gridCol w:w="586"/>
        <w:gridCol w:w="514"/>
        <w:gridCol w:w="519"/>
        <w:gridCol w:w="109"/>
        <w:gridCol w:w="109"/>
        <w:gridCol w:w="109"/>
        <w:gridCol w:w="274"/>
        <w:gridCol w:w="274"/>
        <w:gridCol w:w="277"/>
        <w:gridCol w:w="109"/>
        <w:gridCol w:w="109"/>
        <w:gridCol w:w="109"/>
        <w:gridCol w:w="574"/>
        <w:gridCol w:w="574"/>
        <w:gridCol w:w="577"/>
        <w:gridCol w:w="109"/>
        <w:gridCol w:w="109"/>
        <w:gridCol w:w="109"/>
        <w:gridCol w:w="253"/>
        <w:gridCol w:w="253"/>
        <w:gridCol w:w="363"/>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8/13/2026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8/17/2026</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7/31/2026</w:t>
            </w:r>
          </w:p>
        </w:tc>
      </w:tr>
    </w:tbl>
    <w:tbl>
      <w:tblPr>
        <w:tblW w:w="8994" w:type="dxa"/>
        <w:jc w:val="right"/>
        <w:tblInd w:w="0" w:type="dxa"/>
        <w:tblLayout w:type="fixed"/>
        <w:tblCellMar>
          <w:top w:w="28" w:type="dxa"/>
          <w:left w:w="28" w:type="dxa"/>
          <w:bottom w:w="28" w:type="dxa"/>
          <w:right w:w="28" w:type="dxa"/>
        </w:tblCellMar>
      </w:tblPr>
      <w:tblGrid>
        <w:gridCol w:w="1773"/>
        <w:gridCol w:w="1555"/>
        <w:gridCol w:w="1562"/>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 DEAL PARAMETERS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M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B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C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Total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A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M Initial Note Principal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B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Initial Note Principal Balance %,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Excess Collateral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Required Retained Transferor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Additional Minimum Transferor % (2% Nov-Jan; 0% otherwise)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Class A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Class A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Class A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Class A Margin,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Class M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Class M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Class M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Class B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Class B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Class B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Class C Note Interest Rate,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Class C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Class C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Servicing Fee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549" w:type="dxa"/>
        <w:jc w:val="left"/>
        <w:tblInd w:w="0" w:type="dxa"/>
        <w:tblLayout w:type="fixed"/>
        <w:tblCellMar>
          <w:top w:w="28" w:type="dxa"/>
          <w:left w:w="28" w:type="dxa"/>
          <w:bottom w:w="28" w:type="dxa"/>
          <w:right w:w="28" w:type="dxa"/>
        </w:tblCellMar>
      </w:tblPr>
      <w:tblGrid>
        <w:gridCol w:w="1971"/>
        <w:gridCol w:w="1733"/>
        <w:gridCol w:w="1741"/>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 COLLATERAL AMOUNTS AND ALLOCATION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Initial Collateral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Principal Payments made to Noteholders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Principal Accumulation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Unreimbursed Investor Charge-offs and Reallocated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Collateral Amount - End of Current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$627,912,400.00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Excess Collateral Amount - End of Current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Required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Beginning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Beginning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Beginning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Beginning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Ending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Ending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Ending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Ending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Total Ending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Allocation Percentage- Finance Charges Collections and Default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Allocation Percentage-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57" w:type="dxa"/>
        <w:jc w:val="left"/>
        <w:tblInd w:w="0" w:type="dxa"/>
        <w:tblLayout w:type="fixed"/>
        <w:tblCellMar>
          <w:top w:w="28" w:type="dxa"/>
          <w:left w:w="28" w:type="dxa"/>
          <w:bottom w:w="28" w:type="dxa"/>
          <w:right w:w="28" w:type="dxa"/>
        </w:tblCellMar>
      </w:tblPr>
      <w:tblGrid>
        <w:gridCol w:w="1564"/>
        <w:gridCol w:w="1374"/>
        <w:gridCol w:w="1382"/>
        <w:gridCol w:w="109"/>
        <w:gridCol w:w="109"/>
        <w:gridCol w:w="109"/>
        <w:gridCol w:w="485"/>
        <w:gridCol w:w="485"/>
        <w:gridCol w:w="48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III. RECEIVABLES IN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Beginning of the Month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$4,915,280,375.16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$671,891,002.43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Defaulted Receivables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$35,861,827.71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Dilution (Principal net of Debit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$50,301,230.54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Sales (principal receivables generated):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$689,866,143.87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Net (Removal)/Addition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End of Month Principal Receivables (a - b - c - d + e +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$4,847,092,458.35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Recoveries of previously Charged-off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$7,946,157.95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of the Month Finance Charge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$738,325,719.48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End of the Month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$757,307,896.64</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6542" w:type="dxa"/>
        <w:jc w:val="left"/>
        <w:tblInd w:w="0" w:type="dxa"/>
        <w:tblLayout w:type="fixed"/>
        <w:tblCellMar>
          <w:top w:w="28" w:type="dxa"/>
          <w:left w:w="28" w:type="dxa"/>
          <w:bottom w:w="28" w:type="dxa"/>
          <w:right w:w="28" w:type="dxa"/>
        </w:tblCellMar>
      </w:tblPr>
      <w:tblGrid>
        <w:gridCol w:w="1718"/>
        <w:gridCol w:w="1510"/>
        <w:gridCol w:w="1512"/>
        <w:gridCol w:w="109"/>
        <w:gridCol w:w="109"/>
        <w:gridCol w:w="109"/>
        <w:gridCol w:w="313"/>
        <w:gridCol w:w="313"/>
        <w:gridCol w:w="695"/>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IV.RECEIVABLES PERFORMANCE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Collections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$671,891,002.43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Collections of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$148,479,312.17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Collections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$820,370,314.60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Monthly Payment Rate (% of Beginning Principal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1"/>
        <w:gridCol w:w="1424"/>
        <w:gridCol w:w="1430"/>
        <w:gridCol w:w="109"/>
        <w:gridCol w:w="109"/>
        <w:gridCol w:w="109"/>
        <w:gridCol w:w="313"/>
        <w:gridCol w:w="313"/>
        <w:gridCol w:w="695"/>
        <w:gridCol w:w="109"/>
        <w:gridCol w:w="109"/>
        <w:gridCol w:w="109"/>
        <w:gridCol w:w="331"/>
        <w:gridCol w:w="331"/>
        <w:gridCol w:w="672"/>
        <w:gridCol w:w="109"/>
        <w:gridCol w:w="109"/>
        <w:gridCol w:w="109"/>
        <w:gridCol w:w="330"/>
        <w:gridCol w:w="330"/>
        <w:gridCol w:w="331"/>
        <w:gridCol w:w="109"/>
        <w:gridCol w:w="109"/>
        <w:gridCol w:w="109"/>
        <w:gridCol w:w="233"/>
        <w:gridCol w:w="233"/>
        <w:gridCol w:w="310"/>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DELINQUENCIES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the month delinquencies: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1-30 days delinquent (CA1)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$159,927,881.61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31-60 days delinquent (CA2)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$72,459,296.37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61-90 days delinquent (CA3)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$53,984,979.36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91-120 days delinquent (CA4)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$46,066,224.81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121-150 days delinquent (CA5)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$33,445,938.75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151+ days delinquent (CA6)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$31,731,849.43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Total delinquencies (e +f + g + h + i +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$397,616,170.33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60+ days delinquent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$165,228,992.35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Lowest Delinquency Trigger (all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Investor Requests for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u w:val="single"/>
              </w:rPr>
              <w:t>CHARGE-OFFS: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Number of Charged-Off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Gross Charge-Offs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$35,861,827.71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Number of Charged-Off Accounts with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Recoveries (includes principal, finance charges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$7,946,157.95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 Gross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Net Principal Charge-Offs (Gross Charge-Offs -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$27,915,669.76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(u) Net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Average Net Charge Off (net principal charge-offs/number of charged-off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8027" w:type="dxa"/>
        <w:jc w:val="left"/>
        <w:tblInd w:w="0" w:type="dxa"/>
        <w:tblLayout w:type="fixed"/>
        <w:tblCellMar>
          <w:top w:w="28" w:type="dxa"/>
          <w:left w:w="28" w:type="dxa"/>
          <w:bottom w:w="28" w:type="dxa"/>
          <w:right w:w="28" w:type="dxa"/>
        </w:tblCellMar>
      </w:tblPr>
      <w:tblGrid>
        <w:gridCol w:w="2208"/>
        <w:gridCol w:w="1937"/>
        <w:gridCol w:w="1945"/>
        <w:gridCol w:w="109"/>
        <w:gridCol w:w="109"/>
        <w:gridCol w:w="109"/>
        <w:gridCol w:w="479"/>
        <w:gridCol w:w="479"/>
        <w:gridCol w:w="498"/>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 TRANSFEROR INTEREST AND SELLER'S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Required Retained Transferor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Additional Minimum Transferor Percentage (2% Nov-Jan; 0% otherwise)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Beginning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$2,070,394,267.72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Ending Transferor's Amount (including Excess Funding/Principal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$2,089,879,769.46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Minimum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$193,883,698.33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Excess Funding Account Balance at end of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Collections and Principal Accounts Balance at end of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Sum of Principal Receivables, Excess Funding, Collections and 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$4,904,113,058.35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Required Seller's Interest (as of the most recent RR measurement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$101,198,970.00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Seller's Interest (as of the most recent RR measurement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$2,695,886,458.35</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540" w:type="dxa"/>
        <w:jc w:val="left"/>
        <w:tblInd w:w="0" w:type="dxa"/>
        <w:tblLayout w:type="fixed"/>
        <w:tblCellMar>
          <w:top w:w="28" w:type="dxa"/>
          <w:left w:w="28" w:type="dxa"/>
          <w:bottom w:w="28" w:type="dxa"/>
          <w:right w:w="28" w:type="dxa"/>
        </w:tblCellMar>
      </w:tblPr>
      <w:tblGrid>
        <w:gridCol w:w="1710"/>
        <w:gridCol w:w="1503"/>
        <w:gridCol w:w="1512"/>
        <w:gridCol w:w="109"/>
        <w:gridCol w:w="109"/>
        <w:gridCol w:w="109"/>
        <w:gridCol w:w="109"/>
        <w:gridCol w:w="109"/>
        <w:gridCol w:w="109"/>
        <w:gridCol w:w="109"/>
        <w:gridCol w:w="109"/>
        <w:gridCol w:w="109"/>
        <w:gridCol w:w="409"/>
        <w:gridCol w:w="409"/>
        <w:gridCol w:w="413"/>
        <w:gridCol w:w="109"/>
        <w:gridCol w:w="109"/>
        <w:gridCol w:w="109"/>
        <w:gridCol w:w="372"/>
        <w:gridCol w:w="372"/>
        <w:gridCol w:w="532"/>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 TRUST ACCOUNT BALANCES AND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r>
      <w:tr>
        <w:trPr/>
        <w:tc>
          <w:tcPr>
            <w:tcW w:w="47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BEGINNING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$10,016,645.07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$9,662,467.10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Principal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Principal Accumulation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ENDING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Finance Charge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$9,636,626.18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$11,782,448.78</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Spread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Reserve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INTEREST AND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Interest and Earnings on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$34,382.33</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Interest and Earnings on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Interest and Earnings on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Interest and Earnings on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Interest and Earnings on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$98,306.82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Interest and Earnings on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$182,056.01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Interest and Earnings on Collection Account (allocated)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$25,311.35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279" w:type="dxa"/>
        <w:jc w:val="left"/>
        <w:tblInd w:w="0" w:type="dxa"/>
        <w:tblLayout w:type="fixed"/>
        <w:tblCellMar>
          <w:top w:w="28" w:type="dxa"/>
          <w:left w:w="28" w:type="dxa"/>
          <w:bottom w:w="28" w:type="dxa"/>
          <w:right w:w="28" w:type="dxa"/>
        </w:tblCellMar>
      </w:tblPr>
      <w:tblGrid>
        <w:gridCol w:w="1937"/>
        <w:gridCol w:w="1707"/>
        <w:gridCol w:w="1711"/>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 ALLOCATION and APPLICATION of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APPLICATIONS OF FINANCE CHARGE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Floating Allocation of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$19,311,711.56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$20,749,913.67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A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Class B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Servicing Fee (Collateral Amount*2%/12)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$1,046,520.67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$1,141,553.33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C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Investor Default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$4,581,241.47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$4,997,255.80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Uncovered Dilution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Unreimbursed Investor Chargeoffs &amp;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Required to be Deposited into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Required Reserve Account Amount,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Required to be Deposited into the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Required Payments and Deposits Relating to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Other Payments Required to be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Excess Finance Charge Collections (a-b-c-d-e-f-g-h-i-j-k-l-m-n-o-p-q-r)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$11,404,782.75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$10,186,104.54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277"/>
        <w:gridCol w:w="1997"/>
        <w:gridCol w:w="2006"/>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5"/>
      </w:tblGrid>
      <w:tr>
        <w:trPr/>
        <w:tc>
          <w:tcPr>
            <w:tcW w:w="227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 OF PRINCIPAL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Investor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$93,626,463.77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$93,626,327.08</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Less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Plus Shared Principal Collections from other Principal Sharing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Plus Aggregate amount of Finance Charge Collections applied to cover Defaults and Uncovered Dilution and to be treated as Available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$4,581,241.47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$4,997,255.80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Available Principal Collections (t+u+v+w)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$98,207,705.24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$98,623,582.88</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Deposits to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Monthly Principal applied for payments to the Class A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Monthly Principal applied for payments to the Class M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 Monthly Principal applied for payments to the Class B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Monthly Principal applied for payments to the Class C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 Shared Principal Collections applied to other Principal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9" w:type="dxa"/>
        <w:jc w:val="left"/>
        <w:tblInd w:w="0" w:type="dxa"/>
        <w:tblLayout w:type="fixed"/>
        <w:tblCellMar>
          <w:top w:w="28" w:type="dxa"/>
          <w:left w:w="28" w:type="dxa"/>
          <w:bottom w:w="28" w:type="dxa"/>
          <w:right w:w="28" w:type="dxa"/>
        </w:tblCellMar>
      </w:tblPr>
      <w:tblGrid>
        <w:gridCol w:w="1666"/>
        <w:gridCol w:w="1466"/>
        <w:gridCol w:w="1473"/>
        <w:gridCol w:w="109"/>
        <w:gridCol w:w="109"/>
        <w:gridCol w:w="109"/>
        <w:gridCol w:w="109"/>
        <w:gridCol w:w="109"/>
        <w:gridCol w:w="109"/>
        <w:gridCol w:w="109"/>
        <w:gridCol w:w="109"/>
        <w:gridCol w:w="109"/>
        <w:gridCol w:w="379"/>
        <w:gridCol w:w="379"/>
        <w:gridCol w:w="383"/>
        <w:gridCol w:w="109"/>
        <w:gridCol w:w="109"/>
        <w:gridCol w:w="109"/>
        <w:gridCol w:w="379"/>
        <w:gridCol w:w="379"/>
        <w:gridCol w:w="383"/>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VIII. INVESTOR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Investor Defaults and Uncovered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$4,581,241.47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$4,997,255.80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Reimbursed from Available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$4,581,241.47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$4,997,255.80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 Reimbursed from Excess Funding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Total reimbursed in respect of Investor Defaults and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$4,581,241.47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$4,997,255.80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Investor Charge-off (a -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544"/>
        <w:gridCol w:w="2073"/>
        <w:gridCol w:w="2082"/>
        <w:gridCol w:w="109"/>
        <w:gridCol w:w="109"/>
        <w:gridCol w:w="109"/>
        <w:gridCol w:w="109"/>
        <w:gridCol w:w="109"/>
        <w:gridCol w:w="109"/>
        <w:gridCol w:w="109"/>
        <w:gridCol w:w="109"/>
        <w:gridCol w:w="109"/>
        <w:gridCol w:w="286"/>
        <w:gridCol w:w="278"/>
        <w:gridCol w:w="475"/>
        <w:gridCol w:w="109"/>
        <w:gridCol w:w="109"/>
        <w:gridCol w:w="109"/>
        <w:gridCol w:w="307"/>
        <w:gridCol w:w="253"/>
        <w:gridCol w:w="441"/>
        <w:gridCol w:w="158"/>
      </w:tblGrid>
      <w:tr>
        <w:trPr/>
        <w:tc>
          <w:tcPr>
            <w:tcW w:w="2544"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IX. YIELD and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Series 2024-A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(Monthly interest, any net swap payments and monthly servicing fees divided by collateral amounts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Base Rate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Base Rate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Base Rate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3 Month Average Base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Gross 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allocable to each series divided by the collateral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Gross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Gross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Gross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3 Month Average Gross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less defaults allocable to each series divided by the collateral amount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3 Month Average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Excess Spread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(Portfolio Yield less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Portfolio Adjusted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Portfolio Adjusted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Portfolio Adjusted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Portfolio Adjusted Yield (3 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Series 2024-A controlled accumulation period commenced in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682" w:type="dxa"/>
        <w:jc w:val="left"/>
        <w:tblInd w:w="0" w:type="dxa"/>
        <w:tblLayout w:type="fixed"/>
        <w:tblCellMar>
          <w:top w:w="28" w:type="dxa"/>
          <w:left w:w="28" w:type="dxa"/>
          <w:bottom w:w="28" w:type="dxa"/>
          <w:right w:w="28" w:type="dxa"/>
        </w:tblCellMar>
      </w:tblPr>
      <w:tblGrid>
        <w:gridCol w:w="2103"/>
        <w:gridCol w:w="1848"/>
        <w:gridCol w:w="1854"/>
        <w:gridCol w:w="109"/>
        <w:gridCol w:w="109"/>
        <w:gridCol w:w="109"/>
        <w:gridCol w:w="109"/>
        <w:gridCol w:w="109"/>
        <w:gridCol w:w="109"/>
        <w:gridCol w:w="109"/>
        <w:gridCol w:w="109"/>
        <w:gridCol w:w="109"/>
        <w:gridCol w:w="438"/>
        <w:gridCol w:w="438"/>
        <w:gridCol w:w="445"/>
        <w:gridCol w:w="109"/>
        <w:gridCol w:w="109"/>
        <w:gridCol w:w="109"/>
        <w:gridCol w:w="364"/>
        <w:gridCol w:w="364"/>
        <w:gridCol w:w="366"/>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Cumulative Class A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deposited in the PAA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Cumulative Class M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deposited in the PAA (d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$8,904,200.00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Cumulative Class B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deposited in the PAA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Cumulative Class C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deposited in the PAA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Ending PAA balance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$114,041,200.00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64" w:type="dxa"/>
        <w:jc w:val="center"/>
        <w:tblInd w:w="0" w:type="dxa"/>
        <w:tblLayout w:type="fixed"/>
        <w:tblCellMar>
          <w:top w:w="28" w:type="dxa"/>
          <w:left w:w="28" w:type="dxa"/>
          <w:bottom w:w="28" w:type="dxa"/>
          <w:right w:w="28" w:type="dxa"/>
        </w:tblCellMar>
      </w:tblPr>
      <w:tblGrid>
        <w:gridCol w:w="1848"/>
        <w:gridCol w:w="1623"/>
        <w:gridCol w:w="1628"/>
        <w:gridCol w:w="109"/>
        <w:gridCol w:w="109"/>
        <w:gridCol w:w="109"/>
        <w:gridCol w:w="109"/>
        <w:gridCol w:w="109"/>
        <w:gridCol w:w="109"/>
        <w:gridCol w:w="109"/>
        <w:gridCol w:w="109"/>
        <w:gridCol w:w="109"/>
        <w:gridCol w:w="369"/>
        <w:gridCol w:w="369"/>
        <w:gridCol w:w="371"/>
        <w:gridCol w:w="109"/>
        <w:gridCol w:w="109"/>
        <w:gridCol w:w="109"/>
        <w:gridCol w:w="364"/>
        <w:gridCol w:w="364"/>
        <w:gridCol w:w="366"/>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 PRINCIPAL 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Paid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Paid (d +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Paid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Paid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Principal Paid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3867"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109"/>
        <w:gridCol w:w="109"/>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XII.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Solely with respect to the Series 2024-A and Series 2024-B Notes: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Comenity Bank (the “Bank”) hereby confirms that, with reference to the EU Securitization Rules and the UK Securitization Rules, in each case as in effect on the Closing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 as “originator” for purposes of the EU Securitization Rules and UK Securitization Rules, the Bank continues and will continue to retain on an ongoing basis a material net economic interest in the transaction constituted by the issuance of the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 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(iii) the Bank has not changed and will not change the retention option or method of calculation of the material net economic interest referred to in (i), except as permitted under the EU Securitization Rules and the UK Securitization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 (as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 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pStyle w:val="TextBody"/>
        <w:bidi w:val="0"/>
        <w:spacing w:before="0" w:after="0"/>
        <w:jc w:val="left"/>
        <w:rPr/>
      </w:pPr>
      <w:r>
        <w:rPr/>
      </w:r>
    </w:p>
    <w:p>
      <w:pPr>
        <w:pStyle w:val="TextBody"/>
        <w:bidi w:val="0"/>
        <w:spacing w:before="0" w:after="0"/>
        <w:jc w:val="left"/>
        <w:rPr/>
      </w:pPr>
      <w:r>
        <w:rPr/>
      </w:r>
    </w:p>
    <w:tbl>
      <w:tblPr>
        <w:tblW w:w="2828"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233"/>
        <w:gridCol w:w="233"/>
        <w:gridCol w:w="233"/>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Comenity Bank, as Servicer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3794</Words>
  <Characters>21593</Characters>
  <CharactersWithSpaces>24694</CharactersWithSpaces>
  <Paragraphs>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