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5" w:lineRule="exact"/>
        <w:rPr>
          <w:sz w:val="24"/>
          <w:szCs w:val="24"/>
          <w:color w:val="auto"/>
        </w:rPr>
      </w:pPr>
    </w:p>
    <w:p>
      <w:pPr>
        <w:ind w:left="660" w:right="2680" w:hanging="652"/>
        <w:spacing w:after="0" w:line="257" w:lineRule="auto"/>
        <w:tabs>
          <w:tab w:leader="none" w:pos="32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16"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001-15749</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BREAD FINANCIAL HOLDINGS,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69215</wp:posOffset>
            </wp:positionV>
            <wp:extent cx="34290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408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31-1429215</w:t>
            </w:r>
          </w:p>
        </w:tc>
      </w:tr>
      <w:tr>
        <w:trPr>
          <w:trHeight w:val="168"/>
        </w:trPr>
        <w:tc>
          <w:tcPr>
            <w:tcW w:w="4080" w:type="dxa"/>
            <w:vAlign w:val="bottom"/>
          </w:tcPr>
          <w:p>
            <w:pPr>
              <w:jc w:val="center"/>
              <w:ind w:right="1899"/>
              <w:spacing w:after="0" w:line="16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20" w:type="dxa"/>
            <w:vAlign w:val="bottom"/>
          </w:tcPr>
          <w:p>
            <w:pPr>
              <w:jc w:val="center"/>
              <w:ind w:left="1879"/>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80" w:type="dxa"/>
            <w:vAlign w:val="bottom"/>
          </w:tcPr>
          <w:p>
            <w:pPr>
              <w:jc w:val="center"/>
              <w:ind w:right="1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80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3095 Loyalty Circle</w:t>
            </w:r>
          </w:p>
        </w:tc>
        <w:tc>
          <w:tcPr>
            <w:tcW w:w="3420" w:type="dxa"/>
            <w:vAlign w:val="bottom"/>
          </w:tcPr>
          <w:p>
            <w:pPr>
              <w:spacing w:after="0"/>
              <w:rPr>
                <w:sz w:val="19"/>
                <w:szCs w:val="19"/>
                <w:color w:val="auto"/>
              </w:rPr>
            </w:pPr>
          </w:p>
        </w:tc>
      </w:tr>
      <w:tr>
        <w:trPr>
          <w:trHeight w:val="236"/>
        </w:trPr>
        <w:tc>
          <w:tcPr>
            <w:tcW w:w="3480" w:type="dxa"/>
            <w:vAlign w:val="bottom"/>
          </w:tcPr>
          <w:p>
            <w:pPr>
              <w:jc w:val="center"/>
              <w:ind w:left="2055"/>
              <w:spacing w:after="0"/>
              <w:rPr>
                <w:sz w:val="20"/>
                <w:szCs w:val="20"/>
                <w:color w:val="auto"/>
              </w:rPr>
            </w:pPr>
            <w:r>
              <w:rPr>
                <w:rFonts w:ascii="Times New Roman" w:cs="Times New Roman" w:eastAsia="Times New Roman" w:hAnsi="Times New Roman"/>
                <w:sz w:val="18"/>
                <w:szCs w:val="18"/>
                <w:b w:val="1"/>
                <w:bCs w:val="1"/>
                <w:color w:val="auto"/>
                <w:w w:val="99"/>
              </w:rPr>
              <w:t>Columbus, Ohio</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20" w:type="dxa"/>
            <w:vAlign w:val="bottom"/>
          </w:tcPr>
          <w:p>
            <w:pPr>
              <w:jc w:val="right"/>
              <w:ind w:right="2477"/>
              <w:spacing w:after="0"/>
              <w:rPr>
                <w:sz w:val="20"/>
                <w:szCs w:val="20"/>
                <w:color w:val="auto"/>
              </w:rPr>
            </w:pPr>
            <w:r>
              <w:rPr>
                <w:rFonts w:ascii="Times New Roman" w:cs="Times New Roman" w:eastAsia="Times New Roman" w:hAnsi="Times New Roman"/>
                <w:sz w:val="18"/>
                <w:szCs w:val="18"/>
                <w:b w:val="1"/>
                <w:bCs w:val="1"/>
                <w:color w:val="auto"/>
              </w:rPr>
              <w:t>43219</w:t>
            </w:r>
          </w:p>
        </w:tc>
      </w:tr>
      <w:tr>
        <w:trPr>
          <w:trHeight w:val="212"/>
        </w:trPr>
        <w:tc>
          <w:tcPr>
            <w:tcW w:w="7800" w:type="dxa"/>
            <w:vAlign w:val="bottom"/>
            <w:gridSpan w:val="6"/>
          </w:tcPr>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420" w:type="dxa"/>
            <w:vAlign w:val="bottom"/>
          </w:tcPr>
          <w:p>
            <w:pPr>
              <w:jc w:val="center"/>
              <w:ind w:right="2077"/>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82"/>
        </w:trPr>
        <w:tc>
          <w:tcPr>
            <w:tcW w:w="3480" w:type="dxa"/>
            <w:vAlign w:val="bottom"/>
          </w:tcPr>
          <w:p>
            <w:pPr>
              <w:spacing w:after="0"/>
              <w:rPr>
                <w:sz w:val="24"/>
                <w:szCs w:val="24"/>
                <w:color w:val="auto"/>
              </w:rPr>
            </w:pPr>
          </w:p>
        </w:tc>
        <w:tc>
          <w:tcPr>
            <w:tcW w:w="380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(614) 729-4000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91"/>
        </w:trPr>
        <w:tc>
          <w:tcPr>
            <w:tcW w:w="3480" w:type="dxa"/>
            <w:vAlign w:val="bottom"/>
          </w:tcPr>
          <w:p>
            <w:pPr>
              <w:spacing w:after="0"/>
              <w:rPr>
                <w:sz w:val="16"/>
                <w:szCs w:val="16"/>
                <w:color w:val="auto"/>
              </w:rPr>
            </w:pPr>
          </w:p>
        </w:tc>
        <w:tc>
          <w:tcPr>
            <w:tcW w:w="43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420" w:type="dxa"/>
            <w:vAlign w:val="bottom"/>
          </w:tcPr>
          <w:p>
            <w:pPr>
              <w:spacing w:after="0"/>
              <w:rPr>
                <w:sz w:val="16"/>
                <w:szCs w:val="16"/>
                <w:color w:val="auto"/>
              </w:rPr>
            </w:pPr>
          </w:p>
        </w:tc>
      </w:tr>
      <w:tr>
        <w:trPr>
          <w:trHeight w:val="282"/>
        </w:trPr>
        <w:tc>
          <w:tcPr>
            <w:tcW w:w="3480" w:type="dxa"/>
            <w:vAlign w:val="bottom"/>
          </w:tcPr>
          <w:p>
            <w:pPr>
              <w:spacing w:after="0"/>
              <w:rPr>
                <w:sz w:val="24"/>
                <w:szCs w:val="24"/>
                <w:color w:val="auto"/>
              </w:rPr>
            </w:pPr>
          </w:p>
        </w:tc>
        <w:tc>
          <w:tcPr>
            <w:tcW w:w="432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w w:val="98"/>
              </w:rPr>
              <w:t>_______________________________________</w:t>
            </w:r>
          </w:p>
        </w:tc>
        <w:tc>
          <w:tcPr>
            <w:tcW w:w="3420" w:type="dxa"/>
            <w:vAlign w:val="bottom"/>
          </w:tcPr>
          <w:p>
            <w:pPr>
              <w:spacing w:after="0"/>
              <w:rPr>
                <w:sz w:val="24"/>
                <w:szCs w:val="24"/>
                <w:color w:val="auto"/>
              </w:rPr>
            </w:pPr>
          </w:p>
        </w:tc>
      </w:tr>
      <w:tr>
        <w:trPr>
          <w:trHeight w:val="306"/>
        </w:trPr>
        <w:tc>
          <w:tcPr>
            <w:tcW w:w="3480" w:type="dxa"/>
            <w:vAlign w:val="bottom"/>
          </w:tcPr>
          <w:p>
            <w:pPr>
              <w:spacing w:after="0"/>
              <w:rPr>
                <w:sz w:val="24"/>
                <w:szCs w:val="24"/>
                <w:color w:val="auto"/>
              </w:rPr>
            </w:pPr>
          </w:p>
        </w:tc>
        <w:tc>
          <w:tcPr>
            <w:tcW w:w="43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20" w:type="dxa"/>
            <w:vAlign w:val="bottom"/>
          </w:tcPr>
          <w:p>
            <w:pPr>
              <w:spacing w:after="0"/>
              <w:rPr>
                <w:sz w:val="24"/>
                <w:szCs w:val="24"/>
                <w:color w:val="auto"/>
              </w:rPr>
            </w:pPr>
          </w:p>
        </w:tc>
      </w:tr>
      <w:tr>
        <w:trPr>
          <w:trHeight w:val="340"/>
        </w:trPr>
        <w:tc>
          <w:tcPr>
            <w:tcW w:w="3480" w:type="dxa"/>
            <w:vAlign w:val="bottom"/>
          </w:tcPr>
          <w:p>
            <w:pPr>
              <w:jc w:val="center"/>
              <w:ind w:left="255"/>
              <w:spacing w:after="0"/>
              <w:rPr>
                <w:sz w:val="20"/>
                <w:szCs w:val="20"/>
                <w:color w:val="auto"/>
              </w:rPr>
            </w:pPr>
            <w:r>
              <w:rPr>
                <w:rFonts w:ascii="Times New Roman" w:cs="Times New Roman" w:eastAsia="Times New Roman" w:hAnsi="Times New Roman"/>
                <w:sz w:val="16"/>
                <w:szCs w:val="16"/>
                <w:color w:val="auto"/>
              </w:rPr>
              <w:t>Title of each class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Trading symbol</w:t>
            </w:r>
          </w:p>
        </w:tc>
        <w:tc>
          <w:tcPr>
            <w:tcW w:w="3420" w:type="dxa"/>
            <w:vAlign w:val="bottom"/>
          </w:tcPr>
          <w:p>
            <w:pPr>
              <w:jc w:val="center"/>
              <w:ind w:right="337"/>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480" w:type="dxa"/>
            <w:vAlign w:val="bottom"/>
            <w:tcBorders>
              <w:top w:val="single" w:sz="8" w:color="auto"/>
            </w:tcBorders>
          </w:tcPr>
          <w:p>
            <w:pPr>
              <w:jc w:val="center"/>
              <w:ind w:left="255"/>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BFH</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94"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p>
    <w:p>
      <w:pPr>
        <w:spacing w:after="0"/>
        <w:rPr>
          <w:sz w:val="20"/>
          <w:szCs w:val="20"/>
          <w:color w:val="auto"/>
        </w:rPr>
      </w:pPr>
      <w:r>
        <w:rPr>
          <w:rFonts w:ascii="Wingdings" w:cs="Wingdings" w:eastAsia="Wingdings" w:hAnsi="Wingdings"/>
          <w:sz w:val="14"/>
          <w:szCs w:val="14"/>
          <w:b w:val="1"/>
          <w:bCs w:val="1"/>
          <w:color w:val="auto"/>
        </w:rPr>
        <w:t>o</w:t>
      </w:r>
    </w:p>
    <w:p>
      <w:pPr>
        <w:spacing w:after="0" w:line="109"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Smaller reporting company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14"/>
          <w:szCs w:val="14"/>
          <w:b w:val="1"/>
          <w:bCs w:val="1"/>
          <w:color w:val="auto"/>
        </w:rPr>
        <w:t>o</w:t>
      </w:r>
    </w:p>
    <w:p>
      <w:pPr>
        <w:spacing w:after="0" w:line="11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70" w:lineRule="exact"/>
        <w:rPr>
          <w:sz w:val="24"/>
          <w:szCs w:val="24"/>
          <w:color w:val="auto"/>
        </w:rPr>
      </w:pPr>
    </w:p>
    <w:p>
      <w:pPr>
        <w:ind w:right="374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As of October 25, 2024, 49,715,062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00" w:type="dxa"/>
            <w:vAlign w:val="bottom"/>
            <w:gridSpan w:val="1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11"/>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4"/>
            <w:vMerge w:val="restart"/>
          </w:tcPr>
          <w:p>
            <w:pPr>
              <w:jc w:val="center"/>
              <w:ind w:right="240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60" w:type="dxa"/>
            <w:vAlign w:val="bottom"/>
            <w:gridSpan w:val="14"/>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2024 and 2023</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2024 and 2023</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September 30, 2024 and December 31, 2023</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2024 and 2023</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September 30, 2024 and 2023</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(MD&amp;A)</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60" w:type="dxa"/>
            <w:vAlign w:val="bottom"/>
            <w:gridSpan w:val="12"/>
          </w:tcPr>
          <w:p>
            <w:pPr>
              <w:jc w:val="center"/>
              <w:ind w:right="31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320" w:type="dxa"/>
            <w:vAlign w:val="bottom"/>
            <w:gridSpan w:val="2"/>
          </w:tcPr>
          <w:p>
            <w:pPr>
              <w:spacing w:after="0"/>
              <w:rPr>
                <w:sz w:val="16"/>
                <w:szCs w:val="16"/>
                <w:color w:val="auto"/>
              </w:rPr>
            </w:pPr>
          </w:p>
        </w:tc>
        <w:tc>
          <w:tcPr>
            <w:tcW w:w="9020" w:type="dxa"/>
            <w:vAlign w:val="bottom"/>
            <w:gridSpan w:val="23"/>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320" w:type="dxa"/>
            <w:vAlign w:val="bottom"/>
            <w:gridSpan w:val="2"/>
            <w:shd w:val="clear" w:color="auto" w:fill="CCEEFF"/>
          </w:tcPr>
          <w:p>
            <w:pPr>
              <w:spacing w:after="0"/>
              <w:rPr>
                <w:sz w:val="16"/>
                <w:szCs w:val="16"/>
                <w:color w:val="auto"/>
              </w:rPr>
            </w:pPr>
          </w:p>
        </w:tc>
        <w:tc>
          <w:tcPr>
            <w:tcW w:w="9020" w:type="dxa"/>
            <w:vAlign w:val="bottom"/>
            <w:gridSpan w:val="2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(MD&amp;A).</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the unaudited Consolidated Financial Statements and related notes thereto presented in this quarterly report and the audited Consolidated Financial Statements and related notes thereto included in our Annual Report on Form 10-K for the year ended December 31, 2023, filed with the Securities and Exchange Commission (the SEC) on February 20, 2024 (the 2023 Form 10-K). Some of the information contained in this discussion and analysis constitutes forward-looking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2023 Form 10-K and this and our other Quarterly Reports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We create opportunities for our customers and partners through digitally enabled choices that offer ease, empowerment, financial flexibility and exceptional customer experiences. Driven by a digital-first approach, data insights and white-label technology, we deliver growth for our partners through a comprehensive product suite, including private label and co-brand credit cards and buy now, pay later (BNPL) products such as installment loans and our “split-pay” offerings. We also offer direct-to-consumer solutions that give customers more access, choice and freedom through our branded Bread Cashback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American Express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Credit Card, Bread Rewards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American Express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Credit Card and Bread Savings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the NFL, Signet, Ulta and Victoria’s Secret, as well as small- and medium-sized businesses (SMBs). Our partner base is well diversified across a broad range of industries, including travel and entertainment, health and beauty, jewelry, sporting goods, home goods, technology and electronics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prepare our audited Consolidated Financial Statements in accordance with accounting principles generally accepted in the United States of America (GAAP). However, certain information included herein constitutes Non-GAAP Financial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Measures. Our calculations of Non-GAAP Financial Measures may differ from the calculations of similarly titled measures by other companies. In particular:</w:t>
      </w:r>
    </w:p>
    <w:p>
      <w:pPr>
        <w:spacing w:after="0" w:line="189" w:lineRule="exact"/>
        <w:rPr>
          <w:sz w:val="20"/>
          <w:szCs w:val="20"/>
          <w:color w:val="auto"/>
        </w:rPr>
      </w:pPr>
    </w:p>
    <w:p>
      <w:pPr>
        <w:ind w:left="660" w:right="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and again in September 2024, we entered into separate, privately negotiated repurchase agreements with a limited number of convertible note holders to repurchase a portion of our outstanding $316 million aggregate principal amount of 4.25% Convertible Senior Notes due 2028 (the Convertible Notes). From a GAAP perspective, we paid a premium to induce these repurchases which resulted in an impact to non-interest expenses. This aggregate $96 million impact is reflected in Total non-interest expenses, with a corresponding $5 million favorable tax impact, also reflected in Net income and consequentially our Earnings per diluted share. We have shown adjustments to these three financial statement line items, for total Company as well as for continuing operations, to exclude the impact from our repurchased Convertible Notes. We use Adjusted total non-interest expenses, Adjusted net income, and Adjusted earnings per diluted share to more clearly evaluate the ongoing operations of the Company.</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Pretax pre-provision earnings </w:t>
      </w:r>
      <w:r>
        <w:rPr>
          <w:rFonts w:ascii="Times New Roman" w:cs="Times New Roman" w:eastAsia="Times New Roman" w:hAnsi="Times New Roman"/>
          <w:sz w:val="18"/>
          <w:szCs w:val="18"/>
          <w:color w:val="auto"/>
        </w:rPr>
        <w:t>(PPNR) represents Income from continuing operations before income taxes and the Provision for credit losses.</w:t>
      </w:r>
      <w:r>
        <w:rPr>
          <w:rFonts w:ascii="Times New Roman" w:cs="Times New Roman" w:eastAsia="Times New Roman" w:hAnsi="Times New Roman"/>
          <w:sz w:val="18"/>
          <w:szCs w:val="18"/>
          <w:i w:val="1"/>
          <w:iCs w:val="1"/>
          <w:color w:val="auto"/>
        </w:rPr>
        <w:t xml:space="preserve"> PPNR excluding gain on portfolio sale and impact from repurchased Convertible Notes </w:t>
      </w:r>
      <w:r>
        <w:rPr>
          <w:rFonts w:ascii="Times New Roman" w:cs="Times New Roman" w:eastAsia="Times New Roman" w:hAnsi="Times New Roman"/>
          <w:sz w:val="18"/>
          <w:szCs w:val="18"/>
          <w:color w:val="auto"/>
        </w:rPr>
        <w:t>then excludes from PPNR the gain on any portfolio sale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as well as the inducement expense from our repurchased Convertible Notes in the period. We use PPNR and PPNR excluding gain on portfolio sale and impact from repurchased Convertible Notes as metrics to evaluate our results of operations before income taxes, excluding the volatility that can occur within Provision for credit losses and the one-time nature of a gain on the sale of a portfolio and/or the impact from repurchased Convertible Notes.</w:t>
      </w:r>
    </w:p>
    <w:p>
      <w:pPr>
        <w:spacing w:after="0" w:line="2" w:lineRule="exact"/>
        <w:rPr>
          <w:rFonts w:ascii="Times New Roman" w:cs="Times New Roman" w:eastAsia="Times New Roman" w:hAnsi="Times New Roman"/>
          <w:sz w:val="18"/>
          <w:szCs w:val="18"/>
          <w:color w:val="auto"/>
        </w:rPr>
      </w:pPr>
    </w:p>
    <w:p>
      <w:pPr>
        <w:jc w:val="both"/>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average tangible common equity </w:t>
      </w:r>
      <w:r>
        <w:rPr>
          <w:rFonts w:ascii="Times New Roman" w:cs="Times New Roman" w:eastAsia="Times New Roman" w:hAnsi="Times New Roman"/>
          <w:sz w:val="18"/>
          <w:szCs w:val="18"/>
          <w:color w:val="auto"/>
        </w:rPr>
        <w:t>(ROTCE) represents annualized Income from continuing operations divided by average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equity. Tangible common equity (TCE) represents Total stockholders' equity reduced by Goodwill and intangible assets, net. We use ROTCE as a metric to evaluate the Company's performance.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common equity over Tangible assets </w:t>
      </w:r>
      <w:r>
        <w:rPr>
          <w:rFonts w:ascii="Times New Roman" w:cs="Times New Roman" w:eastAsia="Times New Roman" w:hAnsi="Times New Roman"/>
          <w:sz w:val="18"/>
          <w:szCs w:val="18"/>
          <w:color w:val="auto"/>
        </w:rPr>
        <w:t>(TCE/TA) represents TCE divided by Tangible assets (TA), which is Total assets reduced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and intangible assets, net. We use TCE/TA as a metric to evaluate the Company’s capital adequacy and estimate its ability to absorb losses.</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Tangible book value per common share </w:t>
      </w:r>
      <w:r>
        <w:rPr>
          <w:rFonts w:ascii="Times New Roman" w:cs="Times New Roman" w:eastAsia="Times New Roman" w:hAnsi="Times New Roman"/>
          <w:sz w:val="18"/>
          <w:szCs w:val="18"/>
          <w:color w:val="auto"/>
        </w:rPr>
        <w:t>represents TCE divided by shares outstanding. We use Tangible book value per common share, a metric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across the industry, to estimate liquidation value.</w:t>
      </w:r>
    </w:p>
    <w:p>
      <w:pPr>
        <w:spacing w:after="0" w:line="2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the use of these Non-GAAP financial measures provide additional clarity in understanding our results of operations and trends. For a reconciliation of these Non-GAAP financial measures to the most directly comparable GAAP measures, please see “Table 6: Reconciliation of GAAP to Non-GAAP Financial Measures” that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Business Environment section provides an overview of our results of operations and financial position for the third quarter of 2024, as well as our related outlook for the remainder of 2024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2023 Form 10-K as well as our Quarterly Report on Form 10-Q for the quarter ended March 31, 2024 and our Quarterly Report on Form 10-Q for the quarter ended June 30, 2024,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September 30, 2024, compared with the same period in the prior year.</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Credit sales of $6.5 billion were down 3% year-over-year reflecting self-moderated consumer spending and strategic credit tightening, partially offset by new brand partner growth. Average credit card and other loans of $17.8 billion increased 1%, also driven primarily by new brand partner growth, as well as a stabilizing consumer spending trend. End-of-period credit card and other loans of $17.9 billion were flat year-over-year. Total interest income was down 2% from the third quarter of 2023, primarily as a result of lower Interest and fees on loans due to decreased late fees driven by lower early-stage delinquency volumes, our gradual shift in product mix to a lower proportion of private label accounts which tend to have higher late fees, and higher reversals of interest and fees resulting from higher gross credit losses; all partially offset by Interest on cash and investment securities. Net interest margin for the third quarter of 2024 was 18.8%, relative to 20.6% for the third quarter of 2023, driven by decreased late fees and higher funding costs, particularly with direct-to-consumer (DTC) deposits. Year-over-year, Non-interest income decreased $3 million, primarily driven by a decrease in the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year in merchant discount fees resulting from lower “big ticket” credit sales. Overall, Total net interest and non-interest income for the quarter was $983 million, down 5% versus the third quarter of 2023.</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Provision for credit losses increased for the quarter ended September 30, 2024, relative to the third quarter of 2023, driven by a $22 million reserve build in the current year period compared with a flat reserve build in the prior year period. The increase in Provision for credit losses also includes net principal losses of $347 million and $304 million during those same respective periods.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Allowance for credit losses decreased as of September 30, 2024, relative to December 31, 2023, due primarily to lower Credit card and other loans balances, which are down from their seasonal peak at the beginning of 2024, partially offset by the increased reserve rate. Overall, we continue to maintain an elevated reserve rate, 12.2% as of September 30, 2024, reflecting a conservative weighting of economic scenarios in our credit reserve modeling, which we intend to maintain until we see sustained improvement in delinquencies and an improved macroeconomic outlook. From an overall credit quality perspective, our percentage of Vantage 660+ cardholders remains above pre-pandemic levels due to prudent credit tightening and a more diversified product mix, with co-brand and proprietary cards representing a larger proportion of our portfolio.</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Total non-interest expenses of $574 million increased 14% from the third quarter of 2023. The year-over-year increase was primarily driven by the impact from our repurchased Convertible Notes, which increased Total non-interest expenses by $96 million. Excluding the impact from our repurchased Convertible Notes, Adjusted total non-interest expenses, a Non-GAAP financial measure, decreased 5% from the third quarter of 2023, driven by a decrease in Card and processing expenses, including fraud, partially offset by an increase in Employee compensation and benefits expense due to higher short-term and long-term incentive compensation.</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continued strengthening our balance sheet during the third quarter of 2024, by reducing debt and dilution risk, while growing our Common equity tier 1 capital ratio to 13.3% as of September 30, 2024, a 40 basis points improvement year-over-year. Additionally, DTC deposits increased to $7.5 billion as of September 30, 2024, with average DTC deposits now representing 41% of our total funding, up from 35% a year ago.</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third quarter of 2024 we made further progress with the implementation of our mitigation strategy in response to the final rule on credit card late fees published by the Consumer Financial Protection Bureau (CFPB). Industry organizations have challenged the final rule in court, and the ultimate outcome of such challenge, including the impact on the final rule, is uncertain. The final rule had an original effective date of May 14, 2024; however, on May 10, 2024, the United States District Court for the Northern District of Texas granted an injunction and stay of the final rule, and the injunction granted remains in effect as of the date of this report. We are closely monitoring the ongoing litigation related to the rule, but also continue to execute on our mitigation strategy given the uncertainty surrounding the timing and outcome. Because of that uncertainty, our full year 2024 financial outlook assumes the final rule does not take effect this year. Refer to “Management’s Discussion and Analysis of Financial Condition and Results of Operations (MD&amp;A) — Business Environment” in our Quarterly Report on Form 10-Q for the quarter ended March 31, 2024 for our 2024 financial outlook inclusive of impacts from the CFPB's final rule on credit card late fees.</w:t>
      </w:r>
    </w:p>
    <w:p>
      <w:pPr>
        <w:spacing w:after="0" w:line="21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Our 2024 financial outlook reflects slower Credit sales growth as a result of continued moderation in consumer spending and strategic credit tightening, both of which consequently will impact growth in Credit card and other loans and Net interest and non-interest income, as well as the Net loss rate. In addition, our 2024 outlook assumes ongoing interest rate decreases by the Federal Reserve Board, which will slightly decrease Total net interest income.</w:t>
      </w:r>
    </w:p>
    <w:p>
      <w:pPr>
        <w:spacing w:after="0" w:line="18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Based on our current economic outlook, strategic credit tightening actions, higher gross credit losses, and visibility into our new business pipeline, we expect 2024 Average credit card and other loans to be down low-single digits on a percentage point basis relative to 2023. Total net interest and non-interest income, excluding the gains on portfolio sales during the years of comparison, is anticipated to be down in the low- to mid-single digits on a percentage point basis from 2023, with full year Net interest margin expected to be lower than 2023 reflecting higher reversals of interest and fees due to expected higher gross credit losses, declining interest rates, and a continued shift in product mix to co-brand and proprietary products.</w:t>
      </w:r>
    </w:p>
    <w:p>
      <w:pPr>
        <w:spacing w:after="0" w:line="2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a result of efficiencies gained from our ongoing investments in technology modernization and digital advancement, along with disciplined expense management, we expect Total non-interest expenses excluding the impact from our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repurchased Convertible Notes, a Non-GAAP financial measure, to be down mid-single digits on a percentage point basis relative to 2023. Total non-interest expenses are projected to be higher sequentially in the fourth quarter of 2024 compared with the third quarter’s Adjusted total non-interest expenses, a Non-GAAP financial measure, due to higher sales volumes and marketing expenses.</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2024 financial outlook continues to assume a full year Net loss rate in the low 8% range. As a result of the recent hurricanes we have frozen delinquency progression for cardholders in Federal Emergency Management Agency identified impact zones, which will result in a modest shift of approximately $10 million in net credit losses from the fourth quarter of 2024 to the second quarter of 2025, and therefore a slightly lower net loss rate in the fourth quarter and consequently an offsetting higher net loss rate in the second quarter of 2025.</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our 2024 financial outlook, we also expect our full year normalized effective tax rate, excluding the impact from our repurchased Convertible Notes, a Non-GAAP financial measure, to be in the range of 25% to 26%, with quarter-over-quarter variability due to the timing of certain discrete items.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remain disciplined in our commitment to our capital priorities and are confident in our ability to adapt our business to potential regulatory and economic changes while achieving strong financial results.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Note: We are unable to provide a quantitative reconciliation of the forward-looking 2024 financial outlook for the Non-GAAP financial measures above, to their most directly comparable forward-looking GAAP measures, as we cannot reliably predict all of the necessary components of such forward-looking GAAP measures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commentary on the variances in our results of operations for the three and nine months ended September 30, 2024, compared with the same periods in the prior year, as presented in the accompanying tables. This discussion should be read in conjunction with the discussion under “Business Environment”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Summary of Our Financial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6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interest and non-interest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taxes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per diluted share </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per diluted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income from continuing operations per</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diluted share </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 — continuing operations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ind w:left="340" w:right="160" w:hanging="332"/>
        <w:spacing w:after="0" w:line="220"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Adjusted for the impact from our repurchased Convertible Notes, and therefore represent Non-GAAP financial measures.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p>
    <w:p>
      <w:pPr>
        <w:ind w:left="340" w:right="20" w:hanging="332"/>
        <w:spacing w:after="0" w:line="229" w:lineRule="auto"/>
        <w:tabs>
          <w:tab w:leader="none" w:pos="32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Summary of Total Net Interest and Non-interest Income, After Provision for Credit Losses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3140" w:type="dxa"/>
            <w:vAlign w:val="bottom"/>
            <w:gridSpan w:val="8"/>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7"/>
                <w:szCs w:val="17"/>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cash and investment securities</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deposits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borrowings</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Interchange revenue, net of retailer share arrangements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portfolio sale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interest and non-interest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net interest and non-interest income, after provision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credit losses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Interest and Non-interest Income, After Provision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Total interest income decreased for the three and nine months ended September 30, 2024, due to the following:</w:t>
      </w:r>
    </w:p>
    <w:p>
      <w:pPr>
        <w:spacing w:after="0" w:line="252" w:lineRule="exact"/>
        <w:rPr>
          <w:sz w:val="20"/>
          <w:szCs w:val="20"/>
          <w:color w:val="auto"/>
        </w:rPr>
      </w:pPr>
    </w:p>
    <w:p>
      <w:pPr>
        <w:ind w:left="660" w:right="8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fees on loans </w:t>
      </w:r>
      <w:r>
        <w:rPr>
          <w:rFonts w:ascii="Times New Roman" w:cs="Times New Roman" w:eastAsia="Times New Roman" w:hAnsi="Times New Roman"/>
          <w:sz w:val="18"/>
          <w:szCs w:val="18"/>
          <w:color w:val="auto"/>
        </w:rPr>
        <w:t>decreased during the three and nine months ended September 30, 2024, due primarily to lower late fees driven by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early-stage delinquency volumes and from our gradual shift in product mix to a lower proportion of private label accounts, as well as higher reversals of interest and fees resulting from higher gross credit losses; collectively decreasing finance charge and late fee yields by approximately 124 basis points and 13 basis points, respectively.</w:t>
      </w:r>
    </w:p>
    <w:p>
      <w:pPr>
        <w:spacing w:after="0" w:line="1" w:lineRule="exact"/>
        <w:rPr>
          <w:rFonts w:ascii="Times New Roman" w:cs="Times New Roman" w:eastAsia="Times New Roman" w:hAnsi="Times New Roman"/>
          <w:sz w:val="18"/>
          <w:szCs w:val="18"/>
          <w:color w:val="auto"/>
        </w:rPr>
      </w:pPr>
    </w:p>
    <w:p>
      <w:pPr>
        <w:jc w:val="both"/>
        <w:ind w:left="660" w:right="120" w:hanging="328"/>
        <w:spacing w:after="0" w:line="255"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on cash and investment securities </w:t>
      </w:r>
      <w:r>
        <w:rPr>
          <w:rFonts w:ascii="Times New Roman" w:cs="Times New Roman" w:eastAsia="Times New Roman" w:hAnsi="Times New Roman"/>
          <w:sz w:val="18"/>
          <w:szCs w:val="18"/>
          <w:color w:val="auto"/>
        </w:rPr>
        <w:t>increased during the three and nine months ended September 30, 2024, partially offsetting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Interest and fees on loans, due to higher average balances which increased interest income by $9 million and $16 million, respectively, as well as, during the nine month period, higher average interest rates which increased interest income by $9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Total interest expense increased for the three and nine months ended September 30, 2024, due to the following:</w:t>
      </w:r>
    </w:p>
    <w:p>
      <w:pPr>
        <w:spacing w:after="0" w:line="252" w:lineRule="exact"/>
        <w:rPr>
          <w:sz w:val="20"/>
          <w:szCs w:val="20"/>
          <w:color w:val="auto"/>
        </w:rPr>
      </w:pPr>
    </w:p>
    <w:p>
      <w:pPr>
        <w:ind w:left="660" w:right="1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deposits </w:t>
      </w:r>
      <w:r>
        <w:rPr>
          <w:rFonts w:ascii="Times New Roman" w:cs="Times New Roman" w:eastAsia="Times New Roman" w:hAnsi="Times New Roman"/>
          <w:sz w:val="18"/>
          <w:szCs w:val="18"/>
          <w:color w:val="auto"/>
        </w:rPr>
        <w:t>increased due to higher average interest rates which increased interest expense by $14 million and $76 million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of comparison, partially offset by lower average wholesale deposit balances, which decreased funding costs by $4 million and $2 million over the respective periods of comparisons.</w:t>
      </w:r>
    </w:p>
    <w:p>
      <w:pPr>
        <w:ind w:left="660" w:right="10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borrowings </w:t>
      </w:r>
      <w:r>
        <w:rPr>
          <w:rFonts w:ascii="Times New Roman" w:cs="Times New Roman" w:eastAsia="Times New Roman" w:hAnsi="Times New Roman"/>
          <w:sz w:val="18"/>
          <w:szCs w:val="18"/>
          <w:color w:val="auto"/>
        </w:rPr>
        <w:t>increased during the three month period due to higher average borrowings which increased funding costs by $7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higher average interest rates which increased funding costs by $4 million. Whereas during the nine month period, Interest on borrowings increased due to higher average interest rates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increased funding costs by $38 million, partially offset by lower average borrowings which decreased funding costs by $24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Total non-interest income decreased for the three and nine months ended September 30, 2024, due to the following:</w:t>
      </w:r>
    </w:p>
    <w:p>
      <w:pPr>
        <w:spacing w:after="0" w:line="252" w:lineRule="exact"/>
        <w:rPr>
          <w:sz w:val="20"/>
          <w:szCs w:val="20"/>
          <w:color w:val="auto"/>
        </w:rPr>
      </w:pPr>
    </w:p>
    <w:p>
      <w:pPr>
        <w:ind w:left="660" w:right="2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Interchange revenue, net of retailer share arrangements</w:t>
      </w:r>
      <w:r>
        <w:rPr>
          <w:rFonts w:ascii="Times New Roman" w:cs="Times New Roman" w:eastAsia="Times New Roman" w:hAnsi="Times New Roman"/>
          <w:sz w:val="18"/>
          <w:szCs w:val="18"/>
          <w:color w:val="auto"/>
        </w:rPr>
        <w:t>, typically a contra-revenue item for us, increased for the three and nine month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decrease in merchant discount fees, from lower “big ticket” credit sales, and interchange revenue earned, partially offset by a reduction in costs associated with brand partner retailer share arrangements.</w:t>
      </w:r>
    </w:p>
    <w:p>
      <w:pPr>
        <w:ind w:left="660" w:right="4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Gain on portfolio sale </w:t>
      </w:r>
      <w:r>
        <w:rPr>
          <w:rFonts w:ascii="Times New Roman" w:cs="Times New Roman" w:eastAsia="Times New Roman" w:hAnsi="Times New Roman"/>
          <w:sz w:val="18"/>
          <w:szCs w:val="18"/>
          <w:color w:val="auto"/>
        </w:rPr>
        <w:t>reflects the gain we recognized from the sale of a credit card loan portfolio in April 2024, that was adjusted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to recognize an incremental amount due under the purchase and sale agreement. For 2023, we recognized a gain from the sale of the BJ's Wholesale Club (BJ’s) portfolio in late February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increased during the three months ended September 30, 2024, driven by a $22 million reserve build in the current year period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a flat reserve build in the prior year period. The increase in Provision for credit losses also includes net principal losses of $347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$304 million during those same respective periods. Provision for credit losses increased during the nine months ended September 30, 2024, driven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million reserve release in the current year period compared with a $251 million reserve release in the prior year period, with the release in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period primarily related to the sale of the BJ's portfolio. The reserve releases in both years were offset by net principal losses of $1,122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$998 million during those same respective periods. Overall, we continue to maintain an elevated reserve rate, 12.2% as of September 30, 2024, reflecting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conservative weighting of economic scenarios in our credit reserve modeling, which we intend to maintain until we see sustained improvement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delinquencies and an improved macroeconomic outlook.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Summary of Total Non-interest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3380" w:type="dxa"/>
            <w:vAlign w:val="bottom"/>
            <w:gridSpan w:val="8"/>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and processing expenses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processing and communication</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non-interest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total non-interest expenses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440" w:hanging="332"/>
        <w:spacing w:after="0" w:line="224"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Adjusts Total non-interest expenses for the $96 million impact from our repurchased Convertible Notes, included in Other, and therefore represents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Non-interest Expenses</w:t>
      </w:r>
    </w:p>
    <w:p>
      <w:pPr>
        <w:spacing w:after="0" w:line="25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Non-interest expenses: </w:t>
      </w:r>
      <w:r>
        <w:rPr>
          <w:rFonts w:ascii="Times New Roman" w:cs="Times New Roman" w:eastAsia="Times New Roman" w:hAnsi="Times New Roman"/>
          <w:sz w:val="18"/>
          <w:szCs w:val="18"/>
          <w:color w:val="auto"/>
        </w:rPr>
        <w:t>Total non-interest expenses increased for the three month ended September 30, 2024 and decreased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Adjusted total non-interest expenses, which represents a Non-GAAP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measure and has been adjusted for the $96 million impact from our repurchased Convertible Notes, decreased in both periods of comparison.</w:t>
      </w:r>
    </w:p>
    <w:p>
      <w:pPr>
        <w:spacing w:after="0" w:line="250" w:lineRule="exact"/>
        <w:rPr>
          <w:sz w:val="20"/>
          <w:szCs w:val="20"/>
          <w:color w:val="auto"/>
        </w:rPr>
      </w:pPr>
    </w:p>
    <w:p>
      <w:pPr>
        <w:ind w:left="660" w:right="1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increased in both the three and nine month periods due to higher short-term and long-term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partially offset by ongoing strategic adjustments in customer care staffing, as well as a reduction in demand-based outsourced and contract labor.</w:t>
      </w:r>
    </w:p>
    <w:p>
      <w:pPr>
        <w:ind w:left="660" w:right="8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Card and processing expenses </w:t>
      </w:r>
      <w:r>
        <w:rPr>
          <w:rFonts w:ascii="Times New Roman" w:cs="Times New Roman" w:eastAsia="Times New Roman" w:hAnsi="Times New Roman"/>
          <w:sz w:val="18"/>
          <w:szCs w:val="18"/>
          <w:color w:val="auto"/>
        </w:rPr>
        <w:t>decreased in both the three and nine month periods due primarily to lower fraud losses, as well as reduced volume-related card and statement costs.</w:t>
      </w:r>
    </w:p>
    <w:p>
      <w:pPr>
        <w:ind w:left="660" w:right="3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expenses </w:t>
      </w:r>
      <w:r>
        <w:rPr>
          <w:rFonts w:ascii="Times New Roman" w:cs="Times New Roman" w:eastAsia="Times New Roman" w:hAnsi="Times New Roman"/>
          <w:sz w:val="18"/>
          <w:szCs w:val="18"/>
          <w:color w:val="auto"/>
        </w:rPr>
        <w:t>were essentially flat during the three month period and decreased during the nine month period due primarily to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associated with brand partner and BFH joint marketing campaigns, partially offset by higher spending associated with DTC product offerings.</w:t>
      </w:r>
    </w:p>
    <w:p>
      <w:pPr>
        <w:spacing w:after="0" w:line="1"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was essentially flat during the three month period and decreased during the nine month period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for developed technology associated with an acquisition completed in late 2020.</w:t>
      </w:r>
    </w:p>
    <w:p>
      <w:pPr>
        <w:ind w:left="660" w:right="1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increased in both the three and nine month periods primarily related to the impact from our repurchased Convertible Notes; excluding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Other expenses decreased in both periods of comparison due to decreased legal and other business activity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Provision for income taxes decreased for the three months ended September 30, 2024 primarily driven by a decrease in Income from continuing operations before income taxes. The effective tax rate was 92.2% and 23.0% for the three month periods ended September 30, 2024 and 2023, respectively. The increase in the effective tax rate resulted from an increase in nondeductible items in the current year period, primarily related to the nondeductible portion of our repurchased Convertible Notes transactions, and a favorable discrete item in the prior year period. The Provision for income taxes decreased for the nine months ended September 30, 2024 primarily driven by a decrease in Income from continuing operations before income taxes in the current year relative to the prior year period, which itself was higher due to the gain on the sale of the BJ's portfolio. The effective tax rate was 33.4% and 27.1% for the nine month periods ended September 30, 2024 and 2023, respectively. The increase in the effective tax rate was also driven primarily by an increase in nondeductible items in the current year period related to the nondeductible portion of our repurchased Convertible Notes transactions.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Summary Financial Highlights – Continuing Operations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September 30,</w:t>
            </w:r>
          </w:p>
        </w:tc>
        <w:tc>
          <w:tcPr>
            <w:tcW w:w="140" w:type="dxa"/>
            <w:vAlign w:val="bottom"/>
          </w:tcPr>
          <w:p>
            <w:pPr>
              <w:spacing w:after="0"/>
              <w:rPr>
                <w:sz w:val="16"/>
                <w:szCs w:val="16"/>
                <w:color w:val="auto"/>
              </w:rPr>
            </w:pPr>
          </w:p>
        </w:tc>
        <w:tc>
          <w:tcPr>
            <w:tcW w:w="326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As of or for the nine months ended September 30,</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6,668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21,098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PPNR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PPNR excluding gain on portfolio sale and impact from</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repurchased Convertible Notes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1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17,766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17,540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18,199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End-of-period credit card and other loans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17,933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17,922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17,922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End-of-period direct-to-consumer (retail) deposits</w:t>
            </w:r>
          </w:p>
        </w:tc>
        <w:tc>
          <w:tcPr>
            <w:tcW w:w="1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6,098</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6,098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assets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equity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average tangible common equity </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yield </w:t>
            </w:r>
            <w:r>
              <w:rPr>
                <w:rFonts w:ascii="Times New Roman" w:cs="Times New Roman" w:eastAsia="Times New Roman" w:hAnsi="Times New Roman"/>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Double leverage ratio </w:t>
            </w:r>
            <w:r>
              <w:rPr>
                <w:rFonts w:ascii="Times New Roman" w:cs="Times New Roman" w:eastAsia="Times New Roman" w:hAnsi="Times New Roman"/>
                <w:sz w:val="23"/>
                <w:szCs w:val="23"/>
                <w:color w:val="auto"/>
                <w:vertAlign w:val="superscript"/>
              </w:rPr>
              <w:t>(8)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(10)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19,010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18,730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18,730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Tangible common equity / tangible assets ratio (TCE/TA)</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Tangible book value per common share </w:t>
            </w:r>
            <w:r>
              <w:rPr>
                <w:rFonts w:ascii="Times New Roman" w:cs="Times New Roman" w:eastAsia="Times New Roman" w:hAnsi="Times New Roman"/>
                <w:sz w:val="23"/>
                <w:szCs w:val="23"/>
                <w:color w:val="auto"/>
                <w:vertAlign w:val="superscript"/>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47.48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Payment rate </w:t>
            </w:r>
            <w:r>
              <w:rPr>
                <w:rFonts w:ascii="Times New Roman" w:cs="Times New Roman" w:eastAsia="Times New Roman" w:hAnsi="Times New Roman"/>
                <w:sz w:val="23"/>
                <w:szCs w:val="23"/>
                <w:color w:val="auto"/>
                <w:vertAlign w:val="superscript"/>
              </w:rPr>
              <w:t>(14)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Delinquency rate </w:t>
            </w:r>
            <w:r>
              <w:rPr>
                <w:rFonts w:ascii="Times New Roman" w:cs="Times New Roman" w:eastAsia="Times New Roman" w:hAnsi="Times New Roman"/>
                <w:sz w:val="23"/>
                <w:szCs w:val="23"/>
                <w:color w:val="auto"/>
                <w:vertAlign w:val="superscript"/>
              </w:rPr>
              <w:t>(15)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rate </w:t>
            </w:r>
            <w:r>
              <w:rPr>
                <w:rFonts w:ascii="Times New Roman" w:cs="Times New Roman" w:eastAsia="Times New Roman" w:hAnsi="Times New Roman"/>
                <w:sz w:val="23"/>
                <w:szCs w:val="23"/>
                <w:color w:val="auto"/>
                <w:vertAlign w:val="superscript"/>
              </w:rPr>
              <w:t>(16)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Reserve rate </w:t>
            </w:r>
            <w:r>
              <w:rPr>
                <w:rFonts w:ascii="Times New Roman" w:cs="Times New Roman" w:eastAsia="Times New Roman" w:hAnsi="Times New Roman"/>
                <w:sz w:val="23"/>
                <w:szCs w:val="23"/>
                <w:color w:val="auto"/>
                <w:vertAlign w:val="superscript"/>
              </w:rPr>
              <w:t>(17)</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20"/>
        <w:spacing w:after="0" w:line="264" w:lineRule="auto"/>
        <w:rPr>
          <w:sz w:val="20"/>
          <w:szCs w:val="20"/>
          <w:color w:val="auto"/>
        </w:rPr>
      </w:pPr>
      <w:r>
        <w:rPr>
          <w:rFonts w:ascii="Times New Roman" w:cs="Times New Roman" w:eastAsia="Times New Roman" w:hAnsi="Times New Roman"/>
          <w:sz w:val="16"/>
          <w:szCs w:val="16"/>
          <w:color w:val="auto"/>
        </w:rPr>
        <w:t>Note: Beginning in 2024, we revised the calculation of average balances to more closely align with industry practice by incorporating an average daily balance. Prior to 2024, average balances represent the average balance at the beginning and end of each month, averaged over the periods indicated.</w:t>
      </w:r>
    </w:p>
    <w:p>
      <w:pPr>
        <w:spacing w:after="0" w:line="1" w:lineRule="exact"/>
        <w:rPr>
          <w:sz w:val="20"/>
          <w:szCs w:val="20"/>
          <w:color w:val="auto"/>
        </w:rPr>
      </w:pPr>
    </w:p>
    <w:p>
      <w:pPr>
        <w:ind w:left="340" w:right="60" w:hanging="332"/>
        <w:spacing w:after="0" w:line="234"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PPNR represents Income from continuing operations before income taxes and the Provision for credit losses. PPNR is a Non-GAAP financial measure. PPNR excluding gain on portfolio sale and impact from repurchased Convertible Notes excludes from PPNR the gain on any portfolio sale in the period, as well as the impact from our repurchased Convertible Notes in the period, and is also a Non-GAAP financial measure. See “Non-GAAP Financial Measures” and </w:t>
      </w:r>
      <w:r>
        <w:rPr>
          <w:rFonts w:ascii="Times New Roman" w:cs="Times New Roman" w:eastAsia="Times New Roman" w:hAnsi="Times New Roman"/>
          <w:sz w:val="16"/>
          <w:szCs w:val="16"/>
          <w:b w:val="1"/>
          <w:bCs w:val="1"/>
          <w:color w:val="auto"/>
        </w:rPr>
        <w:t>Table 6: Reconciliation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GAAP to Non-GAAP Financial Measures</w:t>
      </w: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assets represents annualized Income from continuing operations divided by average Total assets.</w:t>
      </w:r>
    </w:p>
    <w:p>
      <w:pPr>
        <w:ind w:left="320" w:hanging="312"/>
        <w:spacing w:after="0" w:line="187"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Return on average equity represents annualized Income from continuing operations divided by average Total stockholders’ equity.</w:t>
      </w:r>
    </w:p>
    <w:p>
      <w:pPr>
        <w:ind w:left="340" w:right="100" w:hanging="332"/>
        <w:spacing w:after="0" w:line="229"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Net interest margin represents annualized Net interest income divided by average Total interest-earning assets. See also </w:t>
      </w:r>
      <w:r>
        <w:rPr>
          <w:rFonts w:ascii="Times New Roman" w:cs="Times New Roman" w:eastAsia="Times New Roman" w:hAnsi="Times New Roman"/>
          <w:sz w:val="16"/>
          <w:szCs w:val="16"/>
          <w:b w:val="1"/>
          <w:bCs w:val="1"/>
          <w:color w:val="auto"/>
        </w:rPr>
        <w:t>Table 5: Net Interest Margin</w:t>
      </w:r>
      <w:r>
        <w:rPr>
          <w:rFonts w:ascii="Times New Roman" w:cs="Times New Roman" w:eastAsia="Times New Roman" w:hAnsi="Times New Roman"/>
          <w:sz w:val="16"/>
          <w:szCs w:val="16"/>
          <w:color w:val="auto"/>
        </w:rPr>
        <w:t>.</w:t>
      </w:r>
    </w:p>
    <w:p>
      <w:pPr>
        <w:ind w:left="320" w:hanging="312"/>
        <w:spacing w:after="0" w:line="191"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yield represents annualized Interest and fees on loans divided by Average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Efficiency ratio represents Total non-interest expenses divided by Total net interest and non-interest income.</w:t>
      </w:r>
    </w:p>
    <w:p>
      <w:pPr>
        <w:ind w:left="320" w:hanging="312"/>
        <w:spacing w:after="0" w:line="191"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Double leverage ratio represents Parent Company investment in subsidiaries divided by BFH consolidated equity.</w:t>
      </w:r>
    </w:p>
    <w:p>
      <w:pPr>
        <w:spacing w:after="0" w:line="10" w:lineRule="exact"/>
        <w:rPr>
          <w:rFonts w:ascii="Times New Roman" w:cs="Times New Roman" w:eastAsia="Times New Roman" w:hAnsi="Times New Roman"/>
          <w:sz w:val="21"/>
          <w:szCs w:val="21"/>
          <w:color w:val="auto"/>
          <w:vertAlign w:val="superscript"/>
        </w:rPr>
      </w:pPr>
    </w:p>
    <w:p>
      <w:pPr>
        <w:ind w:left="340" w:hanging="332"/>
        <w:spacing w:after="0" w:line="228"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jc w:val="both"/>
        <w:ind w:left="340" w:right="480" w:hanging="332"/>
        <w:spacing w:after="0" w:line="228"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the allowable portion of the Allowance for credit losses.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20" w:lineRule="auto"/>
        <w:tabs>
          <w:tab w:leader="none" w:pos="33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21"/>
          <w:szCs w:val="21"/>
          <w:color w:val="auto"/>
          <w:vertAlign w:val="superscript"/>
        </w:rPr>
      </w:pPr>
    </w:p>
    <w:p>
      <w:pPr>
        <w:ind w:left="340" w:right="300" w:hanging="332"/>
        <w:spacing w:after="0" w:line="228"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Tangible common equity over tangible assets (TCE/TA) represents TCE divided by Tangible assets (TA), which is Total assets reduced by Goodwill and intangible assets, net. TCE/TA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Measures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1"/>
          <w:szCs w:val="21"/>
          <w:color w:val="auto"/>
          <w:vertAlign w:val="superscript"/>
        </w:rPr>
      </w:pPr>
    </w:p>
    <w:p>
      <w:pPr>
        <w:ind w:left="340" w:right="180" w:hanging="332"/>
        <w:spacing w:after="0" w:line="215"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Tangible book value per common share represents TCE divided by shares outstanding and is a Non-GAAP financial measure. See “Non-GAAP Financial Measures” and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w:t>
      </w:r>
    </w:p>
    <w:p>
      <w:pPr>
        <w:ind w:left="340" w:right="20" w:hanging="332"/>
        <w:spacing w:after="0" w:line="220"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rate represents consumer payments during the last month of the period, divided by the beginning-of-month Credit card and other loans, including held for sale in applicable periods.</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16"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Delinquency rate represents outstanding balances that are contractually delinquent (i.e., balances greater than 30 days past due) as of the end of the period, divided by the outstanding principal amount of Credit card and other loans as of the same period-end.</w:t>
      </w:r>
    </w:p>
    <w:p>
      <w:pPr>
        <w:spacing w:after="0" w:line="1" w:lineRule="exact"/>
        <w:rPr>
          <w:rFonts w:ascii="Times New Roman" w:cs="Times New Roman" w:eastAsia="Times New Roman" w:hAnsi="Times New Roman"/>
          <w:sz w:val="21"/>
          <w:szCs w:val="21"/>
          <w:color w:val="auto"/>
          <w:vertAlign w:val="superscript"/>
        </w:rPr>
      </w:pPr>
    </w:p>
    <w:p>
      <w:pPr>
        <w:ind w:left="340" w:right="140" w:hanging="332"/>
        <w:spacing w:after="0" w:line="222"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loss rate, an annualized rate, represents net principal losses for the period divided by Average credit card and other loans for the same period. Net loss rate for the three and nine months ended September 30, 2023 was impacted by the transition of our credit card processing services in June 2022.</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191" w:lineRule="auto"/>
        <w:tabs>
          <w:tab w:leader="none" w:pos="3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Reserve rate represents the Allowance for credit losses divided by End-of-period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Net Interest Margin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11"/>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gridSpan w:val="10"/>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Income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Average Yield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Yield /</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jc w:val="right"/>
              <w:ind w:right="403"/>
              <w:spacing w:after="0"/>
              <w:rPr>
                <w:sz w:val="20"/>
                <w:szCs w:val="20"/>
                <w:color w:val="auto"/>
              </w:rPr>
            </w:pPr>
            <w:r>
              <w:rPr>
                <w:rFonts w:ascii="Times New Roman" w:cs="Times New Roman" w:eastAsia="Times New Roman" w:hAnsi="Times New Roman"/>
                <w:sz w:val="9"/>
                <w:szCs w:val="9"/>
                <w:b w:val="1"/>
                <w:bCs w:val="1"/>
                <w:color w:val="auto"/>
              </w:rPr>
              <w:t>(1)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54"/>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auto"/>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5.07 %</w:t>
            </w:r>
          </w:p>
        </w:tc>
        <w:tc>
          <w:tcPr>
            <w:tcW w:w="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1,224</w:t>
            </w:r>
          </w:p>
        </w:tc>
        <w:tc>
          <w:tcPr>
            <w:tcW w:w="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27.40 %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1,256</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28.64 %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21,974</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1,277</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23.12 %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 (retail) deposits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4.95 %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4.47 %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12,849</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4.74 %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6.54 %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9.19 %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7.17 %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7.26 %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6.99 %</w:t>
            </w:r>
          </w:p>
        </w:tc>
        <w:tc>
          <w:tcPr>
            <w:tcW w:w="0" w:type="dxa"/>
            <w:vAlign w:val="bottom"/>
          </w:tcPr>
          <w:p>
            <w:pPr>
              <w:spacing w:after="0"/>
              <w:rPr>
                <w:sz w:val="1"/>
                <w:szCs w:val="1"/>
                <w:color w:val="auto"/>
              </w:rPr>
            </w:pPr>
          </w:p>
        </w:tc>
      </w:tr>
      <w:tr>
        <w:trPr>
          <w:trHeight w:val="207"/>
        </w:trPr>
        <w:tc>
          <w:tcPr>
            <w:tcW w:w="3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5.42 %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1,037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11"/>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gridSpan w:val="10"/>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2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Income /</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Average Yield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Interest Income /</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Yield /</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423"/>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443"/>
              <w:spacing w:after="0"/>
              <w:rPr>
                <w:sz w:val="20"/>
                <w:szCs w:val="20"/>
                <w:color w:val="auto"/>
              </w:rPr>
            </w:pPr>
            <w:r>
              <w:rPr>
                <w:rFonts w:ascii="Times New Roman" w:cs="Times New Roman" w:eastAsia="Times New Roman" w:hAnsi="Times New Roman"/>
                <w:sz w:val="9"/>
                <w:szCs w:val="9"/>
                <w:b w:val="1"/>
                <w:bCs w:val="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investment securities</w:t>
            </w: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3,645</w:t>
            </w: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26.96 %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3,697</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27.09 %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 (retail) deposits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deposits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202</w:t>
            </w: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212</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deposits</w:t>
            </w: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borrowings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9.13 %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6.64 %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Interest-bearing borrowings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6.56 %</w:t>
            </w:r>
          </w:p>
        </w:tc>
        <w:tc>
          <w:tcPr>
            <w:tcW w:w="0" w:type="dxa"/>
            <w:vAlign w:val="bottom"/>
          </w:tcPr>
          <w:p>
            <w:pPr>
              <w:spacing w:after="0"/>
              <w:rPr>
                <w:sz w:val="1"/>
                <w:szCs w:val="1"/>
                <w:color w:val="auto"/>
              </w:rPr>
            </w:pPr>
          </w:p>
        </w:tc>
      </w:tr>
      <w:tr>
        <w:trPr>
          <w:trHeight w:val="207"/>
        </w:trPr>
        <w:tc>
          <w:tcPr>
            <w:tcW w:w="3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729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3,077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Net interest margin </w:t>
            </w:r>
            <w:r>
              <w:rPr>
                <w:rFonts w:ascii="Times New Roman" w:cs="Times New Roman" w:eastAsia="Times New Roman" w:hAnsi="Times New Roman"/>
                <w:sz w:val="21"/>
                <w:szCs w:val="21"/>
                <w:b w:val="1"/>
                <w:bCs w:val="1"/>
                <w:color w:val="auto"/>
                <w:vertAlign w:val="superscript"/>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23"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Beginning in 2024, we revised the calculation of average balances to more closely align with industry practice by incorporating an average daily balance. Prior to 2024, average balances represent the average balance at the beginning and end of each month, averaged over the periods indicated.</w:t>
      </w:r>
    </w:p>
    <w:p>
      <w:pPr>
        <w:ind w:left="320" w:hanging="312"/>
        <w:spacing w:after="0" w:line="191"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margin represents annualized Net interest income divided by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Reconciliation of GAAP to Non-GAAP Financial Measures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September 30,</w:t>
            </w:r>
          </w:p>
        </w:tc>
        <w:tc>
          <w:tcPr>
            <w:tcW w:w="200" w:type="dxa"/>
            <w:vAlign w:val="bottom"/>
          </w:tcPr>
          <w:p>
            <w:pPr>
              <w:spacing w:after="0"/>
              <w:rPr>
                <w:sz w:val="16"/>
                <w:szCs w:val="16"/>
                <w:color w:val="auto"/>
              </w:rPr>
            </w:pPr>
          </w:p>
        </w:tc>
        <w:tc>
          <w:tcPr>
            <w:tcW w:w="3400" w:type="dxa"/>
            <w:vAlign w:val="bottom"/>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As of or for the nine months ended September 30,</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 from repurchased Convertible Notes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diluted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diluted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Impact from repurchased Convertible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net income per diluted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Adjusted income from continuing operations per diluted</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 per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 from repurchased Convertible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2"/>
        </w:trPr>
        <w:tc>
          <w:tcPr>
            <w:tcW w:w="396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Adjusted income from continuing operations per</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4"/>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 share</w:t>
            </w:r>
          </w:p>
        </w:tc>
        <w:tc>
          <w:tcPr>
            <w:tcW w:w="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total non-interest 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Impact from repurchased Convertible Notes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total non-interest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Pretax pre-provision earnings (PPNR)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7"/>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Pretax pre-provision earnings (PPNR)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Gain on portfolio sale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Impact from repurchased Convertible Notes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3960" w:type="dxa"/>
            <w:vAlign w:val="bottom"/>
            <w:tcBorders>
              <w:top w:val="single" w:sz="8" w:color="CCEEFF"/>
            </w:tcBorders>
            <w:shd w:val="clear" w:color="auto" w:fill="CCEEFF"/>
          </w:tcPr>
          <w:p>
            <w:pPr>
              <w:ind w:left="560"/>
              <w:spacing w:after="0" w:line="145" w:lineRule="exact"/>
              <w:rPr>
                <w:sz w:val="20"/>
                <w:szCs w:val="20"/>
                <w:color w:val="auto"/>
              </w:rPr>
            </w:pPr>
            <w:r>
              <w:rPr>
                <w:rFonts w:ascii="Times New Roman" w:cs="Times New Roman" w:eastAsia="Times New Roman" w:hAnsi="Times New Roman"/>
                <w:sz w:val="16"/>
                <w:szCs w:val="16"/>
                <w:color w:val="auto"/>
              </w:rPr>
              <w:t>PPNR excluding gain on portfolio sale and impact</w:t>
            </w:r>
          </w:p>
        </w:tc>
        <w:tc>
          <w:tcPr>
            <w:tcW w:w="1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from repurchased Convertible Notes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tangible common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total stockholders’ equity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Average goodwill and intangible assets, net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common equity (TCE)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Goodwill and intangible assets, net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Tangible common equity (TCE)</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or for the three months ended September 30,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or for the nine months ended September 30,</w:t>
            </w:r>
          </w:p>
        </w:tc>
      </w:tr>
      <w:tr>
        <w:trPr>
          <w:trHeight w:val="23"/>
        </w:trPr>
        <w:tc>
          <w:tcPr>
            <w:tcW w:w="3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 and percentages)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Tangible assets (TA)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21,608</w:t>
            </w:r>
          </w:p>
        </w:tc>
        <w:tc>
          <w:tcPr>
            <w:tcW w:w="80" w:type="dxa"/>
            <w:vAlign w:val="bottom"/>
          </w:tcPr>
          <w:p>
            <w:pPr>
              <w:spacing w:after="0"/>
              <w:rPr>
                <w:sz w:val="18"/>
                <w:szCs w:val="18"/>
                <w:color w:val="auto"/>
              </w:rPr>
            </w:pPr>
          </w:p>
        </w:tc>
        <w:tc>
          <w:tcPr>
            <w:tcW w:w="1140" w:type="dxa"/>
            <w:vAlign w:val="bottom"/>
          </w:tcPr>
          <w:p>
            <w:pPr>
              <w:jc w:val="center"/>
              <w:ind w:left="861"/>
              <w:spacing w:after="0"/>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Goodwill and intangible assets, net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3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Tangible assets (TA)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20,837</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20,837</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ind w:left="861"/>
              <w:spacing w:after="0"/>
              <w:rPr>
                <w:sz w:val="20"/>
                <w:szCs w:val="20"/>
                <w:color w:val="auto"/>
              </w:rPr>
            </w:pPr>
            <w:r>
              <w:rPr>
                <w:rFonts w:ascii="Times New Roman" w:cs="Times New Roman" w:eastAsia="Times New Roman" w:hAnsi="Times New Roman"/>
                <w:sz w:val="16"/>
                <w:szCs w:val="16"/>
                <w:color w:val="auto"/>
                <w:w w:val="99"/>
              </w:rPr>
              <w:t>1</w:t>
            </w:r>
          </w:p>
        </w:tc>
      </w:tr>
      <w:tr>
        <w:trPr>
          <w:trHeight w:val="21"/>
        </w:trPr>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 denoting a variance of 1,000 percent or more.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balances greater than 30 days past due) as of the end of the period, by the outstanding principal amount of Credit card and other loans as of the same period-end.</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delinquency trends on our Credit card and other loans portfolio based on the principal balances outstanding as of the dates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Delinquency Trends on Credit Card and Other Loans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488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outstanding ─ principal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balances contractually delinquent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to 60 days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 to 90 days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 or more days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unaudited Consolidated Financial Statements.</w:t>
      </w: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losses that are deemed uncollectible, less recoveries, and exclude charged-off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fees and third-party fraud losses (including synthetic fraud). Charged-off interest and fees reduce Interest and fees on loans, while third-party fraud losses are recorded in Card and processing expenses. Credit card loans, including unpaid interest and fees, are generally charged-off in the month during which an account becomes 180 days past due. BNPL loans such as our installment loans and our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BNPL loans.</w:t>
      </w:r>
    </w:p>
    <w:p>
      <w:pPr>
        <w:spacing w:after="0" w:line="2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Beginning in January 2024, we revised the calculation of Average credit card and other loans to more closely align with industry practice by incorporating an average daily balance. Prior to 2024, Average credit card and other loans represent the average balance of the loans at the beginning and end of each month, averaged over the periods indicated. The following table provides our net principal losses for the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Net Principal Losses on Credit Card and Other Loans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4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credit card and other loans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18,199</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principal losses</w:t>
            </w:r>
          </w:p>
        </w:tc>
        <w:tc>
          <w:tcPr>
            <w:tcW w:w="200" w:type="dxa"/>
            <w:vAlign w:val="bottom"/>
          </w:tcPr>
          <w:p>
            <w:pPr>
              <w:spacing w:after="0"/>
              <w:rPr>
                <w:sz w:val="19"/>
                <w:szCs w:val="19"/>
                <w:color w:val="auto"/>
              </w:rPr>
            </w:pP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as a percentage of average credit card and other loans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40" w:hanging="332"/>
        <w:spacing w:after="0" w:line="224"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principal losses as a percentage of Average credit card and other loans for the three and nine months ended September 30, 2023 were impacted by the transition of our credit card processing services in June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and our public secured financings, and meet our regulatory and policy requirements, including capital and leverage ratio requirements applicable to Comenity Bank (CB) and Comenity Capital Bank (CCB) under Federal Deposit Insurance Corporation (FDIC) regulations, in a cost effective and prudent manner through both expected and unexpected market environments. We also monitor our Double Leverage Ratio, which reflects our Parent Company’s investment in its subsidiaries relative to its consolidated equity, and is often used by regulators and other stakeholders as a measure of the use of debt by a parent entity to fund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include cash generated from operating activities, our bank credit facility, issuances of senior unsecured or convertible debt securities by our Parent Company, financings through our securitization programs, and deposits with the Banks.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spacing w:after="0" w:line="21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primary uses of liquidity are for underwriting Credit card and other loans, scheduled payments of principal and interest on our debt, operational expenses, capital expenditures, including digital and product innovation and technology enhancements, stock repurchases and dividends.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from time to time retire or purchase our outstanding debt or convertible debt securities through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debt or convertible debt securities or other sources of liquidity. The amounts involved may be material.</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also need additional financing in the future to repay or refinance our existing debt at or prior to maturity, and to fund our growth, which may include issuance of additional debt, equity or convertible securities or engaging in other capital markets or financing transactions. Given the maturities of certain of our outstanding debt instruments and the macroeconomic outlook, it is possible that we will be required to repay, extend or refinance some or all of our maturing debt in volatile and/or unfavorable markets.</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 to enhance daily monitoring of our liquidity and funding positions, determine potential mitigating actions if necessary and provide enhanced reporting to our Boards of Directors, at both the Bread Financial and Bank-levels, and regulators.</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 November 2023, we obtained credit ratings for our Parent Company from the major credit rating agencies, Moody’s Investor Services (Moody’s), Standard &amp; Poor’s (S&amp;P) and Fitch Ratings (Fitch), in order to facilitate debt financings and broaden the investor base for our Parent Company debt securities.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management approach is designed, among other things, to maintain appropriate and stable Parent Company senior unsecured debt ratings from the credit rating agencies which help support our access to cost-effective unsecured funding as a component of our overall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provides a summary of the credit ratings for the senior unsecured long-term debt of Bread Financial Holdings, Inc. as of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Moody’s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S&amp;P</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Ba3</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Stable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31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also seek to maintain appropriate and stable credit ratings for our credit card securitizations issued through World Financial Network Credit Card Master Note Trust (WFNMNT) from the rating agencies (DBRS, S&amp;P and Fitch). The table below provides a summary of the structured finance credit ratings for certain of the asset-backed securities, specifically the Class A notes of WFNMNT as of September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WFNMNT</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DBRS</w:t>
            </w:r>
          </w:p>
        </w:tc>
        <w:tc>
          <w:tcPr>
            <w:tcW w:w="19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S&amp;P</w:t>
            </w: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Fitch</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notes</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AAA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AAA</w:t>
            </w:r>
          </w:p>
        </w:tc>
      </w:tr>
    </w:tbl>
    <w:p>
      <w:pPr>
        <w:spacing w:after="0" w:line="3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Sources</w:t>
      </w:r>
    </w:p>
    <w:p>
      <w:pPr>
        <w:spacing w:after="0" w:line="256"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As referenced above, our primary sources of liquidity include cash generated from operating activities, our bank credit facility, issuances of senior unsecured or convertible debt securities by our Parent Company, financings through our securitization programs, and deposits with the Banks.</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September 30, 2024, we were in compliance with all such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June 2023, we entered into our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As of September 30, 2024, all $700 million remained available for future borrowings under the Revolving Credit Facility.</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18, 2024, we amended our Revolving Credit Facility to extend the maturity date from June 13, 2026 to October 18, 2028, as well as to delete the provisions relating to our prior term loan facility (which was repaid in full and terminated in December 2023) and make certain other amendments.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 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 For additional information on the issuance of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Capped Call transactions, see “Consolidated Liquidity and Capital Resources” under Part II of our 2023 Form 10-K.</w:t>
      </w:r>
    </w:p>
    <w:p>
      <w:pPr>
        <w:spacing w:after="0" w:line="2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2024 we entered into separate, privately negotiated repurchase agreements with a limited number of Convertible Note holders to repurchase $238 million aggregate principal amount of our outstanding Convertible Notes for a final aggregate cash repurchase price of $374 million, which was funded with cash on hand. The final aggregate cash repurchase price, or settlement value, was subject to adjustment as a portion of the repurchase price for select repurchases was based in part on the daily volume-weighted average price per share of Parent Company’s common stock over an agreed measurement period beginning in August 2024 and ending in September 2024. In connection with these aggregate repurchases, we recognized an</w:t>
      </w:r>
    </w:p>
    <w:p>
      <w:pPr>
        <w:spacing w:after="0" w:line="3"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17"/>
          <w:szCs w:val="17"/>
          <w:color w:val="auto"/>
        </w:rPr>
        <w:t>$87 million inducement expense in Other non-interest expenses representing the total settlement value, inclusive of transaction fees, in excess of the total conversion value (calculated in accordance with the indenture governing the Convertible Notes), as well as a $60 million reduction in Additional paid-in capital (APIC) related to the total conversion value paid in excess of the carrying value of the Convertible Notes repurchased and a deferred tax impact.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we entered into two additional separate, privately negotiated repurchase agreements with holders of our Convertible Notes who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approached us to repurchase $25 million aggregate principal amount of our outstanding Convertible Notes for a final aggregate cash repurchase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million, which was funded with cash on hand. The final aggregate cash repurchase price, or settlement value, was subject to adjustment as 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repurchase price was based in part on the daily volume-weighted average price per share of Parent Company’s common stock over an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period during September 2024. In connection with these aggregate repurchases, we recognized a $9 million inducement expense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expenses representing the total settlement value, inclusive of transaction fees, in excess of the total conversion value (calculated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indenture governing the Convertible Notes), as well as a $7 million reduction in APIC related to the total conversion value paid in excess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of the Convertible Notes repurchased and a deferred tax impact.</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summary, in total through August and September 2024, we recognized a $96 million inducement expense in Other non-interest expenses representing the settlement value, inclusive of transaction fees, in excess of the conversion value, and a $67 million reduction in APIC representing the excess of the conversion value over the carrying value of the Convertible Notes repurchased and a deferred tax impact.</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Following the settlement of these repurchases, $54 million of Convertible Notes remained outstanding as of September 30, 2024.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Beginning on October 1, 2024, the Convertible Notes became convertible at the option of the holders during the quarterly period ending December 31, 2024, due to the last reported sales price per share of Parent Company’s common stock having exceeded 130% of the conversion price for each of at least 20 trading days, whether or not consecutive, during the 30 consecutive trading days ending on, and including, the last trading day of the immediately preceding quarter i.e., the quarter ended September 30, 2024 (the Common Stock Sale Price Condition). The Common Stock Sale Price Condition is remeasured each quarter, so the Convertible Notes may continue or cease to be convertible in future quarters depending on the performance of our stock price. Upon any such conversion, we will pay cash up to the aggregate principal amount of the Convertible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Convertible Notes being converted. As of the date of this report, we have not received any conversion requests.</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the repurchases noted above. Although we do not trade or speculate in derivatives, the Capped Call transactions are expected to remain outstanding, possibly until maturity, with the objective of optimizing the economic value we receive under these transactions, in line with our strategic objectives designed to potentially offset certain of the economic impacts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January 2024, we issued and sold an additional $300 million aggregate principal amount of 9.750% Senior Notes due 2029 (Senior Notes due 2029) at an issue price of 101.00% of principal plus accrued interest from December 22, 2023. The Senior Notes due 2029 issued in January 2024 were issued as additional notes under the same indenture pursuant to which the initial $600 million of Senior Notes due 2029 were issued on December 22, 2023. The Senior Notes due 2029 that were issued in both December 2023 and January 2024 constitute a single series of notes and have the same terms, other than the issue date and issue price. We used the proceeds of the January 2024 offering of Senior Notes due 2029, together with $100 million of cash on hand, to fund the redemption of $400 million in aggregate principal amount of our outstanding 7.000% Senior Notes due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utilize a variety of deposit products to finance our operating activities, including funding for our non-securitized credit card and other loans, and to fund the securitization enhancement requirements of the Banks. We offer DTC retail deposit products, including Individual Retirement Account savings and certificates of deposit which CCB began offering in June 2024, as well as deposits sourced through contractual arrangements with various financial counterparties (often referred to as wholesale deposits, and includes brokered deposits). Across both our retail and wholesale deposits, the Banks offer various non-maturity deposit products that are generally redeemable on demand by the customer, and as such have no scheduled maturity date. The Banks also issue certificates of deposit with scheduled maturity dates ranging between October 2024 and September 2029, in denominations of at least $1,000, on which interest is paid either monthly or at maturity. The following table summarizes our retail and wholesale deposit products by type and associated attributes as of the dates presented: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Deposits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5,339</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13,594</w:t>
            </w:r>
          </w:p>
        </w:tc>
        <w:tc>
          <w:tcPr>
            <w:tcW w:w="0" w:type="dxa"/>
            <w:vAlign w:val="bottom"/>
          </w:tcPr>
          <w:p>
            <w:pPr>
              <w:spacing w:after="0"/>
              <w:rPr>
                <w:sz w:val="1"/>
                <w:szCs w:val="1"/>
                <w:color w:val="auto"/>
              </w:rPr>
            </w:pPr>
          </w:p>
        </w:tc>
      </w:tr>
      <w:tr>
        <w:trPr>
          <w:trHeight w:val="270"/>
        </w:trPr>
        <w:tc>
          <w:tcPr>
            <w:tcW w:w="7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Non-maturity deposit products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Non-maturity deposits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6,706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- 5.14%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- 5.64%</w:t>
            </w:r>
          </w:p>
        </w:tc>
        <w:tc>
          <w:tcPr>
            <w:tcW w:w="0" w:type="dxa"/>
            <w:vAlign w:val="bottom"/>
          </w:tcPr>
          <w:p>
            <w:pPr>
              <w:spacing w:after="0"/>
              <w:rPr>
                <w:sz w:val="1"/>
                <w:szCs w:val="1"/>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range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- 5.70%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- 5.70%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deposits that exceeded applicable FDIC insurance limits, which are generally $250,000 per depositor, per insured bank, per ownership category, were estimated to be $543 million (4% of Total deposits) and $509 million (4% of Total deposits), respectively. The measurement of estimated uninsured deposits aligns with regulatory guidelines.</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Overall, we continue to improve our funding mix through actions taken to grow our DTC deposits and reduce our Parent Company unsecured borrowings, while maintaining the flexibility of secured, unsecured, and wholesale funding. Typical seasonality of credit card and other loan balance pay downs in the first quarter of each year, and efforts undertaken in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reduce our long-term unsecured debt, lowered our funding requirements by approximately $1.5 billion from year-end 2023. As a result, we opportunistically reduced our wholesale and brokered deposits, repurchased a portion of our outstanding Convertible Notes and paid down a portion of our secured conduit line balances, shown further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Programs Including Conduit Facilities</w:t>
      </w:r>
    </w:p>
    <w:p>
      <w:pPr>
        <w:spacing w:after="0" w:line="25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Borrowings under the Conduit Facilities are included in Debt issued by consolidated VIEs in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Conduit Borrowing Capacity Rollforward and Maturities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00" w:type="dxa"/>
            <w:vAlign w:val="bottom"/>
          </w:tcPr>
          <w:p>
            <w:pPr>
              <w:spacing w:after="0"/>
              <w:rPr>
                <w:sz w:val="20"/>
                <w:szCs w:val="20"/>
                <w:color w:val="auto"/>
              </w:rPr>
            </w:pPr>
          </w:p>
        </w:tc>
        <w:tc>
          <w:tcPr>
            <w:tcW w:w="23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3"/>
        </w:trPr>
        <w:tc>
          <w:tcPr>
            <w:tcW w:w="27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Drawn </w:t>
            </w:r>
            <w:r>
              <w:rPr>
                <w:rFonts w:ascii="Times New Roman" w:cs="Times New Roman" w:eastAsia="Times New Roman" w:hAnsi="Times New Roman"/>
                <w:sz w:val="23"/>
                <w:szCs w:val="23"/>
                <w:b w:val="1"/>
                <w:bCs w:val="1"/>
                <w:color w:val="auto"/>
                <w:vertAlign w:val="superscript"/>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Drawn </w:t>
            </w:r>
            <w:r>
              <w:rPr>
                <w:rFonts w:ascii="Times New Roman" w:cs="Times New Roman" w:eastAsia="Times New Roman" w:hAnsi="Times New Roman"/>
                <w:sz w:val="23"/>
                <w:szCs w:val="23"/>
                <w:b w:val="1"/>
                <w:bCs w:val="1"/>
                <w:color w:val="auto"/>
                <w:vertAlign w:val="superscript"/>
              </w:rPr>
              <w:t>(6)</w:t>
            </w:r>
          </w:p>
        </w:tc>
        <w:tc>
          <w:tcPr>
            <w:tcW w:w="100" w:type="dxa"/>
            <w:vAlign w:val="bottom"/>
          </w:tcPr>
          <w:p>
            <w:pPr>
              <w:spacing w:after="0"/>
              <w:rPr>
                <w:sz w:val="19"/>
                <w:szCs w:val="19"/>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27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29"/>
        </w:trPr>
        <w:tc>
          <w:tcPr>
            <w:tcW w:w="2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2024</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2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29"/>
        </w:trPr>
        <w:tc>
          <w:tcPr>
            <w:tcW w:w="27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2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2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320" w:hanging="312"/>
        <w:spacing w:after="0" w:line="210"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20" w:hanging="312"/>
        <w:spacing w:after="0" w:line="191"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w:t>
      </w:r>
    </w:p>
    <w:p>
      <w:pPr>
        <w:ind w:left="320" w:hanging="312"/>
        <w:spacing w:after="0" w:line="191"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w:t>
      </w:r>
    </w:p>
    <w:p>
      <w:pPr>
        <w:ind w:left="340" w:right="40" w:hanging="332"/>
        <w:spacing w:after="0" w:line="21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$0.7 billion and $1.2 billion of debt issued by the Trusts as of September 30, 2024 and December 31, 2023, respectively, which were not sold, but were retained by us as a credit enhancement and therefore have been eliminated from the Total.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WFNMNT issued $570 million of Series 2024-A public term asset-backed notes, which mature in April 2027. The offering consisted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$500 million of Class A notes with a fixed interest rate of 5.47% per year, $44 million of zero coupon Class M notes, and $26 million of zero coupon Class B notes. The Class M and B notes were retained by us and eliminated from the Consolidated Balance Sheet. As well, in August 2024 WFNMNT issued $500 million of Series 2024-B public term asset-backed notes, which mature in July 2027. The offering consisted of $500 million of Class A notes with a fixed interest rate of 4.62% per year.</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2024, we had approximately $11.6 billion of securitized credit card loans. Securitizations require credit enhancements in the form of cash, spread deposits, additional loans and subordinated classes. The credit enhancement is principally based on the outstanding balances of the series issued by the Trusts and by the performance of the credit card loans in the Trusts.</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Regulation RR (Credit Risk Retention) adopted by the FDIC, the SEC, the Federal Reserve Board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21, 2024, our Board of Directors approved a stock repurchase program to acquire up to $30 million in shares of our outstanding common stock in the open market during the period ending on December 31, 2024. The rationale for this repurchase program, and the amount thereof, was to offset the impact of dilution associated with issuances of employee restricted stock units, with the objective of reducing the Company’s weighted average diluted share count to approximately 50 million shares for 2024, subject to then current estimates and assumptions applicable as of the date of approval.</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under the authorized stock repurchase program, we acquired a total of 0.3 million shares of our common stock for $11 million. Following their repurchase, these 0.3 million shares ceased to be outstanding shares of common stock and are now treated as authorized but unissued shares of common stock. As of September 30, 2024, we had $19 million remaining for future repurchases under the authorized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paid $10 million and $32 million in dividends to holders of our common stock. On October 24, 2024, our Board of Directors declared a quarterly cash dividend of $0.21 per share on our common stock, payable on December 13, 2024, to stockholders of record at the close of business on November 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may require future cash payments, the vast majority of which relate to deposits, debt issued by consolidated VIEs, long-term and other debt and operating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 activity for the periods indicated, followed by a discussion of the variance drivers impacting our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Cash Flows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used in:</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primarily include net income adjusted for (i) non-cash items included in net income, such as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$1,380 million and $1,370 million for the nine months ended September 30, 2024 and 2023, respectively. The net cash provided by operating activities during these periods was primarily driven by cash generated from net income for the periods after adjusting for the Provision for credit losses in both periods of comparison, and for the nine months ended September 30, 2024, the Loss on debt extinguishment and repurchased Convertible Notes and for the nine months ended September 30, 2023, the Gain on portfolio sale.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primarily include changes in Credit card and other loans. Cash provided by investing activities was $182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$2,579 million for the nine months ended September 30, 2024 and 2023, respectively. The net cash provided by investing activities during the nine months ended September 30, 2024 was primarily due to the paydown of Credit card and other loans, as well as the sale of a credit card loan portfolio, partially offset by the purchase of a credit card loan portfolio. The net cash provided by investing activities during the nine months ended September 30, 2023 was primarily due to the sale of the BJ's portfolio and the paydown of Credit card and other loans.</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primarily include changes in deposits and long-term debt. Cash used in financing activities was $1,707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$4,481 million for the nine months ended September 30, 2024 and 2023, respectively. The net cash used in financing activities during these periods was primarily driven by net repayments of both debt issued by consolidated variable interest entities (securitizations) and unsecured borrowings, including our repurchased Convertible Notes, as well as a net decrease in wholesale deposits.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have generally sought to rely on operating efficiencies from scale, technology modernization and digital advancement, and expansion in lower cost jurisdictions (in select circumstances) to offset increased costs of employee compensation and other operating expenses impacted by inflation. We also recognize that a customer’s ability and willingness to repay us has been negatively impacted by factors such as inflation and the effects of higher interest rates, which results in higher delinquencies that could lead to increased credit losses, as reflected in our elevated Reserve rate. If the efforts to control inflation in the U.S. and globally are not successful and inflationary pressures continue to persist, they could increase the risk of a recession, which may adversely impact our business, results of operations and financial condition.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loss rates for our Credit card and other loans portfolio also have historically exhibited seasonal patterns and generally tend to be the highest in the first quarter of the year. While the effects of the seasonal trends discussed above remain evident, macroeconomic trends, such as those discussed within the Business Environment sections of our quarterly and annual reports on Forms 10-Q and Form 10-K generally have a more significant impact on our key financial metrics and can outweigh any seasonal impacts that we may experience.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MATTERS AND CAPITAL ADEQUACY</w:t>
      </w:r>
    </w:p>
    <w:p>
      <w:pPr>
        <w:spacing w:after="0" w:line="25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CB is subject to various regulatory capital requirements administered by the State of Delaware and the FDIC. CCB is also subject to various regulatory capital requirements administered by the State of Utah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 For additional information about legislative and regulatory matters impacting us, see “Business–Supervision and Regulation” under Part I of our 2023 Form 10-K. For additional detail regarding the CFPB’s final rule relating to credit card late fees, see “Management’s Discussion and Analysis of Financial Condition and Results of Operations (MD&amp;A)</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Business Environment” and “Risk Factors” included herein and in our 2023 Form 10-K and our Quarterly Report on Form 10-Q for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referenced above, our business is subject to extensive federal and state laws and regulations, as well as related regulation and supervision, including by the FDIC, CFPB and other federal and state authorities. Pending and future laws and regulations (state and federal) may adversely impact our business. We actively monitor legislation and rulemaking that could impact our business and operations, including the FDIC’s proposed rulemakings during the quarter. Among other rulemakings, in August 2024 the FDIC issued (i) proposed rule changes that would expand the scope of deposits that constitute “brokered deposits,” which are subject to greater regulatory requirements (the Proposed Brokered Deposits Rule), and (ii) proposed rule changes that would permit the FDIC to determine that parent companies of legacy industrial banks/loan companies (such as CCB) are “covered companies” subjecting them to regulation by the FDIC (the Proposed ILC Parent Company Rule). We have submitted a comment letter to the FDIC in opposition to the Proposed ILC Parent Company Rule, and we intend to participate in the comment letter process in opposition to the Proposed Brokered Deposits Rule.</w:t>
      </w: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 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September 30, 2024 and 2023,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Banks adopted the option provided by the interim final rule issued by joint federal bank regulatory agencies, which largely delayed the effects of the current expected credit loss (CECL) model on their regulatory capital for two years, until January 1, 2022, after which the effects are phased-in over a three-year period through December 31, 2024. Under the interim final rule, the amount of adjustments to regulatory capital deferred until the phase-in period includes both the initial impact of our adoption of CECL as of January 1, 2020, and 25% of subsequent changes in our Allowance for credit losses during each quarter of the two-year period ended December 31, 2021. In accordance with the interim final rule, we began to ratably phase-in these effects on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actual capital ratios and minimum ratios for each Bank, as well as Bread Financial,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Capital Ratios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r>
      <w:tr>
        <w:trPr>
          <w:trHeight w:val="176"/>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Well Capitalized under</w:t>
            </w:r>
          </w:p>
        </w:tc>
      </w:tr>
      <w:tr>
        <w:trPr>
          <w:trHeight w:val="162"/>
        </w:trPr>
        <w:tc>
          <w:tcPr>
            <w:tcW w:w="3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Capital Adequacy</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Prompt Corrective</w:t>
            </w:r>
          </w:p>
        </w:tc>
      </w:tr>
      <w:tr>
        <w:trPr>
          <w:trHeight w:val="204"/>
        </w:trPr>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20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r>
      <w:tr>
        <w:trPr>
          <w:trHeight w:val="23"/>
        </w:trPr>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22"/>
                <w:szCs w:val="22"/>
                <w:color w:val="auto"/>
              </w:rPr>
            </w:pPr>
          </w:p>
        </w:tc>
        <w:tc>
          <w:tcPr>
            <w:tcW w:w="18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13.3 %</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13.3</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14.6</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11.7</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19,010</w:t>
            </w: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17.4 %</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7"/>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17.4</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18.8</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15.2</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r>
        <w:trPr>
          <w:trHeight w:val="162"/>
        </w:trPr>
        <w:tc>
          <w:tcPr>
            <w:tcW w:w="36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16.0 %</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4.5 %</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36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16.0</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17.4</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r>
      <w:tr>
        <w:trPr>
          <w:trHeight w:val="31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1300" w:type="dxa"/>
            <w:vAlign w:val="bottom"/>
          </w:tcPr>
          <w:p>
            <w:pPr>
              <w:spacing w:after="0"/>
              <w:rPr>
                <w:sz w:val="24"/>
                <w:szCs w:val="24"/>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14.4</w:t>
            </w:r>
          </w:p>
        </w:tc>
        <w:tc>
          <w:tcPr>
            <w:tcW w:w="20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4.0</w:t>
            </w: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hanging="332"/>
        <w:spacing w:after="0" w:line="231"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jc w:val="both"/>
        <w:ind w:left="340" w:right="40" w:hanging="332"/>
        <w:spacing w:after="0" w:line="232"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spacing w:after="0" w:line="1" w:lineRule="exact"/>
        <w:rPr>
          <w:rFonts w:ascii="Times New Roman" w:cs="Times New Roman" w:eastAsia="Times New Roman" w:hAnsi="Times New Roman"/>
          <w:sz w:val="21"/>
          <w:szCs w:val="21"/>
          <w:color w:val="auto"/>
          <w:vertAlign w:val="superscript"/>
        </w:rPr>
      </w:pPr>
    </w:p>
    <w:p>
      <w:pPr>
        <w:ind w:left="340" w:right="400" w:hanging="332"/>
        <w:spacing w:after="0" w:line="228"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the allowable portion of the Allowance for credit losses. See below for a reconciliation of our Total stockholders’ equity under GAAP to tier 1 and tier 2 capital under the Basel III Standardized Approach.</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spacing w:after="0" w:line="10" w:lineRule="exact"/>
        <w:rPr>
          <w:rFonts w:ascii="Times New Roman" w:cs="Times New Roman" w:eastAsia="Times New Roman" w:hAnsi="Times New Roman"/>
          <w:sz w:val="21"/>
          <w:szCs w:val="21"/>
          <w:color w:val="auto"/>
          <w:vertAlign w:val="superscript"/>
        </w:rPr>
      </w:pPr>
    </w:p>
    <w:p>
      <w:pPr>
        <w:ind w:left="340" w:right="120" w:hanging="332"/>
        <w:spacing w:after="0" w:line="21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Total stockholders’ equity under GAAP to Basel III Standardized Approach Common equity tier 1 capital, Tier 1 capital, Tier 2 capital and Total capital, as of the date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4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9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CECL phase-in adjustment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net of CECL phase-in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29"/>
        </w:trPr>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9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0"/>
        </w:trPr>
        <w:tc>
          <w:tcPr>
            <w:tcW w:w="9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0"/>
        </w:trPr>
        <w:tc>
          <w:tcPr>
            <w:tcW w:w="9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Qualifying allowance for credit losses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0"/>
        </w:trPr>
        <w:tc>
          <w:tcPr>
            <w:tcW w:w="94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4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net of the related $40 million deferred tax liability.</w:t>
      </w:r>
    </w:p>
    <w:p>
      <w:pPr>
        <w:ind w:left="320" w:hanging="312"/>
        <w:spacing w:after="0" w:line="191"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allowable portion of the Allowance for credit losses, which is a maximum of 1.25% of RWA and is net of applicable CECL phase-in adjustments.</w:t>
      </w:r>
    </w:p>
    <w:p>
      <w:pPr>
        <w:spacing w:after="0" w:line="2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our Basel III Standardized Approach Common equity tier 1 capital, Tier 1 capital and Tier 2 capital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64"/>
        </w:trPr>
        <w:tc>
          <w:tcPr>
            <w:tcW w:w="750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beginning balance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equity</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additional paid-in capital</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intangible 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equity tier 1 capital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1 capital</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2 capital beginning balance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qualifying allowance for credit losses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Tier 2 capital</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40" w:hanging="332"/>
        <w:spacing w:after="0" w:line="217"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impact of the CECL phase-in adjustment and the cumulative effect, net of tax, of adopting the proportional amortization method of accounting for our tax credit investment.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Further information about each Bank’s capital components and calculations can be found in each Bank’s Consolidated Reports of Condition and Income Form FFIEC 041 (Call Reports) as filed with the FDIC.</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20,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of the requirements of the consent order are satisfied. Without limiting the generality of the foregoing, the Servicer has taken steps to address each provision within the consent order that required action be taken by a specified deadline, including providing a copy of the consent order to the Parent Company Board of Directors, increasing the size and governance processes of the Servicer’s Board of Managers, establishing an Executive Oversight Committee to oversee and ensure compliance with the consent order, and submitting all required reports and plans of action to the FDIC. The Servicer is committed to complying with each of the ongoing or longer-term requirements of the consent order, including the enhancement of its compliance management processes and related corporate governance, compliance with the applicable system conversion requirements, and enhanced risk management and reporting requirements. In addition, the Board of Directors of each of the Banks oversee the Servicer’s compliance with the requirements of the consent order and provide effective challenge of Servicer management toward that end.</w:t>
      </w:r>
    </w:p>
    <w:p>
      <w:pPr>
        <w:spacing w:after="0" w:line="21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August 22, 2024, each Bank entered into an agreement with the FDIC to pay civil money penalties (CMPs) of $1 million per Bank. The CMPs arose out of the June 2022 transition of our credit card processing services to strategic outsourcing partners and were related to disruptions to the Banks’ customer reward programs and automatic payments following the transition. These issues were self-identified and remediated timely, and the Banks provided full cooperation with the regulators throughout their examination. The Banks’ agreements to pay the CMPs did not require admission of wrongdoing, and there are no operational limitations on the Banks or our business associated with the CMPs.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(MD&amp;A)” included in our 2023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See the “Recently Adopted and Recently Issued Accounting Standards” under Note 1, “Description of Business, Basis of Presentation and Summary of Significant Accounting Policies”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and future economic conditions.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7" w:lineRule="exact"/>
        <w:rPr>
          <w:sz w:val="20"/>
          <w:szCs w:val="20"/>
          <w:color w:val="auto"/>
        </w:rPr>
      </w:pPr>
    </w:p>
    <w:p>
      <w:pPr>
        <w:ind w:left="660" w:right="24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market conditions, inflation, higher interest rates, labor market conditions, recessionary pressures or a concern over a prolonged economic slowdown, and the related impact on consumer spending behavior, payments, debt levels, savings rates and other behavior;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market, public health and social events or conditions, including ongoing wars and military conflicts and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performance of our customers, including the level of future delinquency and write-off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demand for services from, significant brand partners or customers in the highly competitive markets in which we compete;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U.S. consumer credit;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volatility in the Allowance for credit losses that may result from the application of the CECL model;</w:t>
      </w:r>
    </w:p>
    <w:p>
      <w:pPr>
        <w:spacing w:after="0" w:line="9" w:lineRule="exact"/>
        <w:rPr>
          <w:rFonts w:ascii="Times New Roman" w:cs="Times New Roman" w:eastAsia="Times New Roman" w:hAnsi="Times New Roman"/>
          <w:sz w:val="18"/>
          <w:szCs w:val="18"/>
          <w:color w:val="auto"/>
        </w:rPr>
      </w:pPr>
    </w:p>
    <w:p>
      <w:pPr>
        <w:ind w:left="660" w:right="9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in the models and estimates on which we rely, including the amount of our Allowance for credit losses and our credit risk management models;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fraudulent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complete or successfully integrate or disaggregate business acquisitions, divestitures and other strategic initiatives;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results are dependent upon our brand partners, including our brand partners’ financial performance and reputation, as well as the effective promotion and support of our products by brand partners;</w:t>
      </w:r>
    </w:p>
    <w:p>
      <w:pPr>
        <w:ind w:left="660" w:right="54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financial responsibility with respect to a divested business, including required equity ownership, guarantees, indemnities or other financial obligations;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doing business, including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inability to access financial or capital markets, including asset-backed securitization funding or deposits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limit our Banks’ ability to pay dividends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federal and state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regulatory capital requirements or other support for our Banks;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arising from or relating to the transition of our credit card processing services to third party service providers that we completed in 2022;</w:t>
      </w:r>
    </w:p>
    <w:p>
      <w:pPr>
        <w:spacing w:after="0" w:line="9" w:lineRule="exact"/>
        <w:rPr>
          <w:rFonts w:ascii="Times New Roman" w:cs="Times New Roman" w:eastAsia="Times New Roman" w:hAnsi="Times New Roman"/>
          <w:sz w:val="18"/>
          <w:szCs w:val="18"/>
          <w:color w:val="auto"/>
        </w:rPr>
      </w:pPr>
    </w:p>
    <w:p>
      <w:pPr>
        <w:ind w:left="660" w:right="8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in our operational or security systems, including as a result of cyberattacks, unanticipated impacts from technology modernization projects, failure of our information security controls or otherwise;</w:t>
      </w:r>
    </w:p>
    <w:p>
      <w:pPr>
        <w:ind w:left="660" w:right="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consumer information or other data due to compromised physical or cyber security, including disruptive attacks from financially motivated bad actors and third party supply chain issues;</w:t>
      </w:r>
    </w:p>
    <w:p>
      <w:pPr>
        <w:ind w:left="660" w:right="14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or other liability or adverse impacts arising out of or related to the spinoff of our former LoyaltyOne segment or the bankruptcy filings of Loyalty Ventures Inc. (LVI) and certain of its subsidiaries and subsequent litigation or other disputes;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identified in our filings with the SEC, including in the “Risk Factors” and “Management’s Discussion and Analysis of Financial Condition and Results of Operations” sections of our 2023 Form 10-K, our Quarterly Report on Form 10-Q for the quarter ended March 31, 2024 and our Quarterly Report on Form 10-Q for the quarter ended June 30, 2024.</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 In addition, the CFPB issued a final rule earlier this year that, absent a successful legal challenge, will place significant limits on credit card late fees, which would have a significant impact on our business and results of operations for at least the short term and, depending on the effectiveness of the mitigating actions that we have taken or may in the future take in anticipation of, or in response to, the final rule, may potentially adversely impact us over the long term; we cannot provide any assurance as to the effective date of the rule, the result of any pending or future challenges or other litigation relating to the rule, or our ability to mitigate or offset the impact of the rule on our business and results of operations.</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r>
      <w:tr>
        <w:trPr>
          <w:trHeight w:val="213"/>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cash and investment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3"/>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borrowings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08"/>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3,191</w:t>
            </w: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Interchange revenue, net of retailer share arrangements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portfolio sale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3"/>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8"/>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interest and non-interest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3,273</w:t>
            </w: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interest and non-interest income, after provision for credit losses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Card and processing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Information processing and communication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8"/>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non-interest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1,576</w:t>
            </w:r>
          </w:p>
        </w:tc>
      </w:tr>
      <w:tr>
        <w:trPr>
          <w:trHeight w:val="21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16"/>
        </w:trPr>
        <w:tc>
          <w:tcPr>
            <w:tcW w:w="61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from discontinued operations, net of income taxes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5"/>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income per share (Note 15)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r>
      <w:tr>
        <w:trPr>
          <w:trHeight w:val="212"/>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2"/>
        </w:trPr>
        <w:tc>
          <w:tcPr>
            <w:tcW w:w="6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21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per share (Note 15)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8"/>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r>
      <w:tr>
        <w:trPr>
          <w:trHeight w:val="213"/>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37"/>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(Note 15)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9" w:lineRule="exact"/>
        <w:rPr>
          <w:sz w:val="20"/>
          <w:szCs w:val="20"/>
          <w:color w:val="auto"/>
        </w:rPr>
      </w:pPr>
    </w:p>
    <w:p>
      <w:pPr>
        <w:ind w:left="180" w:hanging="172"/>
        <w:spacing w:after="0" w:line="247"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See Notes to unaudited Consolidated Financial Statements.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9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4"/>
        </w:trPr>
        <w:tc>
          <w:tcPr>
            <w:tcW w:w="65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
        </w:trPr>
        <w:tc>
          <w:tcPr>
            <w:tcW w:w="6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70"/>
        </w:trPr>
        <w:tc>
          <w:tcPr>
            <w:tcW w:w="6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w:t>
            </w:r>
          </w:p>
        </w:tc>
        <w:tc>
          <w:tcPr>
            <w:tcW w:w="700" w:type="dxa"/>
            <w:vAlign w:val="bottom"/>
          </w:tcPr>
          <w:p>
            <w:pPr>
              <w:spacing w:after="0"/>
              <w:rPr>
                <w:sz w:val="19"/>
                <w:szCs w:val="19"/>
                <w:color w:val="auto"/>
              </w:rPr>
            </w:pPr>
          </w:p>
        </w:tc>
        <w:tc>
          <w:tcPr>
            <w:tcW w:w="4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 benefit</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debt securities, net of tax</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58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r>
      <w:tr>
        <w:trPr>
          <w:trHeight w:val="223"/>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58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1"/>
        </w:trPr>
        <w:tc>
          <w:tcPr>
            <w:tcW w:w="6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and other loans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Total credit card and other loans (includes loans available to settle obligations of consolidated variable</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entities September 30, 2024, $11,644; December 31, 2023, $12,844,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(Fair value: September 30, 2024, $230; December 31, 2023, $217)</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variable interest entities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 million shares; issued, 49.7 million shares as of</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2024 and 49.3 million shares as of December 31, 2023,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Convertible Notes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($0.21 per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($0.21 per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Cumulative effect of change in accounting principle </w:t>
            </w:r>
            <w:r>
              <w:rPr>
                <w:rFonts w:ascii="Times New Roman" w:cs="Times New Roman" w:eastAsia="Times New Roman" w:hAnsi="Times New Roman"/>
                <w:sz w:val="23"/>
                <w:szCs w:val="23"/>
                <w:color w:val="auto"/>
                <w:vertAlign w:val="superscript"/>
              </w:rPr>
              <w:t>(1)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Convertible Notes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($0.63 per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 transactions for convertible senior notes due 2028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5"/>
        </w:trPr>
        <w:tc>
          <w:tcPr>
            <w:tcW w:w="4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and dividend equivalent rights declared ($0.63 per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shares to employees, net of shares withheld for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8" w:lineRule="exact"/>
        <w:rPr>
          <w:sz w:val="20"/>
          <w:szCs w:val="20"/>
          <w:color w:val="auto"/>
        </w:rPr>
      </w:pPr>
    </w:p>
    <w:p>
      <w:pPr>
        <w:ind w:left="340" w:right="100" w:hanging="332"/>
        <w:spacing w:after="0" w:line="220"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cumulative effect, net of tax, of adopting the proportional amortization method of accounting for our tax credit investment. For additional information refer to Note 1, “Description of Business, Basis of Presentation and Summary of Significant Accounting Policies” to the unaudited Consolidated Financial Statements.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deferred origination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portfolio sale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(gain) on debt extinguishment and repurchased Convertible Notes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other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1,370</w:t>
            </w:r>
          </w:p>
        </w:tc>
      </w:tr>
      <w:tr>
        <w:trPr>
          <w:trHeight w:val="90"/>
        </w:trPr>
        <w:tc>
          <w:tcPr>
            <w:tcW w:w="8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credit card and other loans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credit card loan portfolios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credit card loan portfolio</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including capital expenditures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2,579</w:t>
            </w:r>
          </w:p>
        </w:tc>
      </w:tr>
      <w:tr>
        <w:trPr>
          <w:trHeight w:val="90"/>
        </w:trPr>
        <w:tc>
          <w:tcPr>
            <w:tcW w:w="8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borrowings under debt agreements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unsecured borrowings under debt agreements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Repayments/maturities of debt issued by consolidated variable interest entities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deposits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for capped call transactions</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(4,481)</w:t>
            </w:r>
          </w:p>
        </w:tc>
      </w:tr>
      <w:tr>
        <w:trPr>
          <w:trHeight w:val="90"/>
        </w:trPr>
        <w:tc>
          <w:tcPr>
            <w:tcW w:w="8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w:t>
            </w:r>
          </w:p>
        </w:tc>
      </w:tr>
      <w:tr>
        <w:trPr>
          <w:trHeight w:val="237"/>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08"/>
        </w:trPr>
        <w:tc>
          <w:tcPr>
            <w:tcW w:w="8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reconciliation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r>
      <w:tr>
        <w:trPr>
          <w:trHeight w:val="21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3,395</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Consolidated Statements of Cash Flows are presented with the combined cash flows from continuing and discontinued operations.</w:t>
      </w:r>
    </w:p>
    <w:p>
      <w:pPr>
        <w:spacing w:after="0" w:line="5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See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92" w:lineRule="exact"/>
        <w:rPr>
          <w:sz w:val="20"/>
          <w:szCs w:val="20"/>
          <w:color w:val="auto"/>
        </w:rPr>
      </w:pPr>
    </w:p>
    <w:p>
      <w:pPr>
        <w:ind w:right="1080" w:firstLine="8"/>
        <w:spacing w:after="0" w:line="534"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SUMMARY OF SIGNIFICANT ACCOUNTING POLICIES DESCRIPTION OF THE BUSINESS</w:t>
      </w:r>
    </w:p>
    <w:p>
      <w:pPr>
        <w:spacing w:after="0" w:line="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We create opportunities for our customers and partners through digitally enabled choices that offer ease, empowerment, financial flexibility and exceptional customer experiences. Driven by a digital-first approach, data insights and white-label technology, we deliver growth for our partners through a comprehensive product suite, including private label and co-brand credit cards and buy now, pay later (BNPL) products such as installment loans and our “split-pay” offerings. We also offer direct-to-consumer solutions that give customers more access, choice and freedom through our branded Bread Cashback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American Express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Credit Card, Bread Rewards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American Express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Credit Card and Bread Savings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the NFL, Signet, Ulta and Victoria’s Secret, as well as small- and medium-sized businesses (SMBs). Our partner base is well diversified across a broad range of industries, including travel and entertainment, health and beauty, jewelry, sporting goods, home goods, technology and electronics and the industry in which we first began, specialty apparel.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accounting principles generally accepted in the United States of America (GAAP), and should be read in conjunction with the Consolidated Financial Statements and notes thereto included in our Annual Report on Form 10-K for the year ended December 31, 2023, filed with the Securities and Exchange Commission on February 20, 2024 (the 2023 Form 10-K). If not significantly different, certain note disclosures included therein have been omitted from these unaudited Consolidated Financial Statements.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 entire year. The preparation of financial statements in conformity with GAAP requires management to make estimates and 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Provision for income taxes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all subsidiaries in which we have a controlling financial interest. All intercompany transactions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discussed in Note 1, “Description of Business, Basis of Presentation and Summary of Significant Accounting Policies” included in our 2023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3514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351472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Adopted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60" w:type="dxa"/>
            <w:vAlign w:val="bottom"/>
            <w:tcBorders>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Investments - Equity Method and</w:t>
            </w:r>
          </w:p>
        </w:tc>
        <w:tc>
          <w:tcPr>
            <w:tcW w:w="2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Expands the election to apply the</w:t>
            </w:r>
          </w:p>
        </w:tc>
        <w:tc>
          <w:tcPr>
            <w:tcW w:w="5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Adopted under the modified retrospective method on January 1,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Joint Ventures: Accounting for</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proportional amortization method of</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which resulted in an insignificant decrease to retained earnings.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Investments in Tax Credit Structures</w:t>
            </w: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accounting to tax credit investments</w:t>
            </w:r>
          </w:p>
        </w:tc>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did not have a significant impact on our results of operations,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Using the Proportional Amortization</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beyond low-income-housing tax credit</w:t>
            </w:r>
          </w:p>
        </w:tc>
        <w:tc>
          <w:tcPr>
            <w:tcW w:w="55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Method</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when certain conditions</w:t>
            </w: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position, regulatory risk-based capital, or on our operational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tcBorders>
              <w:right w:val="single" w:sz="8" w:color="auto"/>
            </w:tcBorders>
            <w:shd w:val="clear" w:color="auto" w:fill="CCEEFF"/>
          </w:tcPr>
          <w:p>
            <w:pPr>
              <w:spacing w:after="0"/>
              <w:rPr>
                <w:sz w:val="21"/>
                <w:szCs w:val="21"/>
                <w:color w:val="auto"/>
              </w:rPr>
            </w:pPr>
          </w:p>
        </w:tc>
        <w:tc>
          <w:tcPr>
            <w:tcW w:w="2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 met.</w:t>
            </w: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processes, controls and governance in support of the new guidance.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March 2023</w:t>
            </w:r>
          </w:p>
        </w:tc>
        <w:tc>
          <w:tcPr>
            <w:tcW w:w="2860" w:type="dxa"/>
            <w:vAlign w:val="bottom"/>
            <w:tcBorders>
              <w:bottom w:val="single" w:sz="8" w:color="auto"/>
              <w:right w:val="single" w:sz="8" w:color="auto"/>
            </w:tcBorders>
            <w:shd w:val="clear" w:color="auto" w:fill="CCEEFF"/>
          </w:tcPr>
          <w:p>
            <w:pPr>
              <w:spacing w:after="0"/>
              <w:rPr>
                <w:sz w:val="21"/>
                <w:szCs w:val="21"/>
                <w:color w:val="auto"/>
              </w:rPr>
            </w:pPr>
          </w:p>
        </w:tc>
        <w:tc>
          <w:tcPr>
            <w:tcW w:w="55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 Standards Recently Issued but Not Yet Adopted</w:t>
            </w:r>
          </w:p>
        </w:tc>
        <w:tc>
          <w:tcPr>
            <w:tcW w:w="5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Timing and Financial Statement Impact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860" w:type="dxa"/>
            <w:vAlign w:val="bottom"/>
            <w:tcBorders>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8"/>
                <w:szCs w:val="18"/>
                <w:color w:val="auto"/>
              </w:rPr>
              <w:t>Segment Reporting: Improvements to</w:t>
            </w:r>
          </w:p>
        </w:tc>
        <w:tc>
          <w:tcPr>
            <w:tcW w:w="286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Requires interim and annual</w:t>
            </w:r>
          </w:p>
        </w:tc>
        <w:tc>
          <w:tcPr>
            <w:tcW w:w="5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Reportable Segment Disclosures</w:t>
            </w:r>
          </w:p>
        </w:tc>
        <w:tc>
          <w:tcPr>
            <w:tcW w:w="2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disclosure of significant segment</w:t>
            </w:r>
          </w:p>
        </w:tc>
        <w:tc>
          <w:tcPr>
            <w:tcW w:w="5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2024, and effective for interim reporting periods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expense categories and amounts that</w:t>
            </w: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beginning in 2025. Early adoption is permitted, although we do not plan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November 2023</w:t>
            </w: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are regularly provided to the chief</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decision maker, as well as</w:t>
            </w:r>
          </w:p>
        </w:tc>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86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Adoption will result in expanded disclosures for our single reportable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disclosure of the aggregate amount</w:t>
            </w:r>
          </w:p>
        </w:tc>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description of other segment items</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segment but is not expected to have a significant impact on our financial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beyond significant segment expenses.</w:t>
            </w:r>
          </w:p>
        </w:tc>
        <w:tc>
          <w:tcPr>
            <w:tcW w:w="5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reporting, or on our operational processes, controls and governance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support of the new guidance.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860" w:type="dxa"/>
            <w:vAlign w:val="bottom"/>
            <w:tcBorders>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Income Taxes: Improvements to</w:t>
            </w:r>
          </w:p>
        </w:tc>
        <w:tc>
          <w:tcPr>
            <w:tcW w:w="28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Requires greater disaggregation of rate</w:t>
            </w:r>
          </w:p>
        </w:tc>
        <w:tc>
          <w:tcPr>
            <w:tcW w:w="55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Effective beginning with our Annual Report on Form 10-K for the 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tcBorders>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Income Tax Disclosures</w:t>
            </w:r>
          </w:p>
        </w:tc>
        <w:tc>
          <w:tcPr>
            <w:tcW w:w="286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reconciliation and income taxes paid</w:t>
            </w:r>
          </w:p>
        </w:tc>
        <w:tc>
          <w:tcPr>
            <w:tcW w:w="5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ending December 31, 2025. Early adoption is permitted, although we do not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as well as other changes</w:t>
            </w:r>
          </w:p>
        </w:tc>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plan to early adopt.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Issued December 2023</w:t>
            </w:r>
          </w:p>
        </w:tc>
        <w:tc>
          <w:tcPr>
            <w:tcW w:w="28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intended to enhance the transparency</w:t>
            </w:r>
          </w:p>
        </w:tc>
        <w:tc>
          <w:tcPr>
            <w:tcW w:w="5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decision-usefulness of income tax</w:t>
            </w:r>
          </w:p>
        </w:tc>
        <w:tc>
          <w:tcPr>
            <w:tcW w:w="552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Adoption will require enhancements to our income tax disclosures but is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860" w:type="dxa"/>
            <w:vAlign w:val="bottom"/>
            <w:tcBorders>
              <w:right w:val="single" w:sz="8" w:color="auto"/>
            </w:tcBorders>
            <w:shd w:val="clear" w:color="auto" w:fill="CCEEFF"/>
          </w:tcPr>
          <w:p>
            <w:pPr>
              <w:spacing w:after="0"/>
              <w:rPr>
                <w:sz w:val="4"/>
                <w:szCs w:val="4"/>
                <w:color w:val="auto"/>
              </w:rPr>
            </w:pPr>
          </w:p>
        </w:tc>
        <w:tc>
          <w:tcPr>
            <w:tcW w:w="2860" w:type="dxa"/>
            <w:vAlign w:val="bottom"/>
            <w:tcBorders>
              <w:right w:val="single" w:sz="8" w:color="auto"/>
            </w:tcBorders>
            <w:vMerge w:val="continue"/>
            <w:shd w:val="clear" w:color="auto" w:fill="CCEEFF"/>
          </w:tcPr>
          <w:p>
            <w:pPr>
              <w:spacing w:after="0"/>
              <w:rPr>
                <w:sz w:val="4"/>
                <w:szCs w:val="4"/>
                <w:color w:val="auto"/>
              </w:rPr>
            </w:pPr>
          </w:p>
        </w:tc>
        <w:tc>
          <w:tcPr>
            <w:tcW w:w="55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spacing w:after="0"/>
              <w:rPr>
                <w:sz w:val="16"/>
                <w:szCs w:val="16"/>
                <w:color w:val="auto"/>
              </w:rPr>
            </w:pPr>
          </w:p>
        </w:tc>
        <w:tc>
          <w:tcPr>
            <w:tcW w:w="28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disclosures.</w:t>
            </w:r>
          </w:p>
        </w:tc>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expected to have a significant impact on our financial reporting, or on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tcBorders>
              <w:right w:val="single" w:sz="8" w:color="auto"/>
            </w:tcBorders>
            <w:shd w:val="clear" w:color="auto" w:fill="CCEEFF"/>
          </w:tcPr>
          <w:p>
            <w:pPr>
              <w:spacing w:after="0"/>
              <w:rPr>
                <w:sz w:val="15"/>
                <w:szCs w:val="15"/>
                <w:color w:val="auto"/>
              </w:rPr>
            </w:pPr>
          </w:p>
        </w:tc>
        <w:tc>
          <w:tcPr>
            <w:tcW w:w="2860" w:type="dxa"/>
            <w:vAlign w:val="bottom"/>
            <w:tcBorders>
              <w:right w:val="single" w:sz="8" w:color="auto"/>
            </w:tcBorders>
            <w:shd w:val="clear" w:color="auto" w:fill="CCEEFF"/>
          </w:tcPr>
          <w:p>
            <w:pPr>
              <w:spacing w:after="0"/>
              <w:rPr>
                <w:sz w:val="15"/>
                <w:szCs w:val="15"/>
                <w:color w:val="auto"/>
              </w:rPr>
            </w:pPr>
          </w:p>
        </w:tc>
        <w:tc>
          <w:tcPr>
            <w:tcW w:w="5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operational processes, controls and governance in support of the new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guidance.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CREDIT CARD AND OTHER LOANS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which consist primarily of BNPL products such as installment loans and our “split-pay” offerings, have a range of fixed terms such as interest rates, fees and repayment periods, and borrowers are required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losses. We continue to accrue interest and fee income on all accounts, except in limited circumstances, until the related balance and all related interest and fees are paid or charged-off.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generally classify our Credit card and other loans as held for investment. We sell a majority of our credit card loans originated by Comenity Bank (CB) and by Comenity Capital Bank (CCB), which together are referred to herein as the “Banks”, to certain of our master trusts (the Trusts), which are consolidated VIEs, and therefore these loans are restricted for securitization investors. All new originations of Credit card and other loans are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Credit card and other loans,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4"/>
        </w:trPr>
        <w:tc>
          <w:tcPr>
            <w:tcW w:w="8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BNPL and other loans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credit card and other loans </w:t>
            </w:r>
            <w:r>
              <w:rPr>
                <w:rFonts w:ascii="Times New Roman" w:cs="Times New Roman" w:eastAsia="Times New Roman" w:hAnsi="Times New Roman"/>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140" w:hanging="332"/>
        <w:spacing w:after="0" w:line="222"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$11.6 billion and $12.8 billion of Credit card and other loans available to settle obligations of consolidated VIEs as of September 30, 2024 and December 31, 2023, respectively.</w:t>
      </w:r>
    </w:p>
    <w:p>
      <w:pPr>
        <w:spacing w:after="0" w:line="1" w:lineRule="exact"/>
        <w:rPr>
          <w:rFonts w:ascii="Times New Roman" w:cs="Times New Roman" w:eastAsia="Times New Roman" w:hAnsi="Times New Roman"/>
          <w:sz w:val="21"/>
          <w:szCs w:val="21"/>
          <w:color w:val="auto"/>
          <w:vertAlign w:val="superscript"/>
        </w:rPr>
      </w:pPr>
    </w:p>
    <w:p>
      <w:pPr>
        <w:ind w:left="340" w:right="340" w:hanging="332"/>
        <w:spacing w:after="0" w:line="222"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$383 million and $371 million, of accrued interest and fees that have not yet been billed to cardholders as of September 30, 2024 and December 31, 2023,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and Other Loans Aging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delinquency trends of our Credit card and other loans portfolio, based on the amortized cost, as of the dates presented:</w:t>
      </w:r>
    </w:p>
    <w:p>
      <w:pPr>
        <w:spacing w:after="0" w:line="28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jc w:val="center"/>
        <w:ind w:right="220"/>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Credit Card and Other Loans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6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260" w:hanging="332"/>
        <w:spacing w:after="0" w:line="237"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BNPL and 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As of September 30, 2024 and December 31, 2023, accrued interest and fees that have not yet been billed to cardholders were $383 million and $371 million, respectively, included in Credit card and other loans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2.9% and 2.8% for the three months ended September 30, 2024 and 2023, respectively, and 4.3% and 2.7% for the nine months ended September 30, 2024 and 2023, respectively. Our re-aging practices comply with regulatory guidelines.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Our Credit Card and Other Loans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An account is contractually delinquent if we do not receive the minimum payment due by the specified due date. Our policy is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Delinquency rate is calculated by dividing outstanding principal balances that are contractually delinquent (i.e., balances greater than 30 days past due) as of the end of the period, by the outstanding principal amount of Credit card and other loans as of the same period-end. As of September 30, 2024 and December 31, 2023, our Delinquency rates were 6.4% and 6.5%, respectively.</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Principal Losses: </w:t>
      </w:r>
      <w:r>
        <w:rPr>
          <w:rFonts w:ascii="Times New Roman" w:cs="Times New Roman" w:eastAsia="Times New Roman" w:hAnsi="Times New Roman"/>
          <w:sz w:val="18"/>
          <w:szCs w:val="18"/>
          <w:color w:val="auto"/>
        </w:rPr>
        <w:t>Our net principal losses include the principal amount of losses that are deemed uncollectible, less recoveries, and exclude charged-off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fees and third-party fraud losses (including synthetic fraud). Charged-off interest and fees reduce Interest and fees on loans, while third-party fraud losses are recorded in Card and processing expenses. Credit card loans, including unpaid interest and fees, are generally charged-off in the month during which an account becomes 180 days past due. BNPL loans such as our installment loans and our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BNPL loans. We record the actual losses for unpaid interest and fees as a reduction to Interest and fees on loans, which were $232 million and $204 million for the three months ended September 30, 2024 and 2023, respectively, and $773 million and $689 million for the nine months ended September 30, 2024 and 2023, respectively.</w:t>
      </w:r>
    </w:p>
    <w:p>
      <w:pPr>
        <w:spacing w:after="0" w:line="2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net principal loss rate is calculated by dividing net principal losses for the period by the Average credit card and other loans for the same period. Beginning in January 2024, we revised the calculation of Average credit card and other loans to more closely align with industry practice by incorporating an average daily balance. Prior to 2024, Average credit card and other loans represent the average balance of the loans at the beginning and end of each month, averaged over the periods indicated. For the three months ended September 30, 2024 and 2023, our Net principal loss rates were 7.8% and 6.9%, respectively, for the nine months ended September 30, 2024 and 2023, our Net Principal loss rates were 8.3% and 7.3%,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Overall Credit Quality: </w:t>
      </w:r>
      <w:r>
        <w:rPr>
          <w:rFonts w:ascii="Times New Roman" w:cs="Times New Roman" w:eastAsia="Times New Roman" w:hAnsi="Times New Roman"/>
          <w:sz w:val="18"/>
          <w:szCs w:val="18"/>
          <w:color w:val="auto"/>
        </w:rPr>
        <w:t>As part of our credit risk management activities for our credit card loans portfolio, we assess overall credit quality by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credit bureaus and other sources relating to our cardholders’ broader credit performance. We utilize VantageScore (Vantage) credit scores to assist in our assessment of credit quality. Vantage credit scores are obtained at origination of the account and are refreshed monthly thereafter to assist in predicting customer behavior. We categorize these Vantage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customer accounts for which a Vantage score is not available and we use alternative sources to assess credit risk and predict behavior. The table below excludes less than 0.1% of the total credit card loans balance as of September 30, 2024 and December 31, 2023, representing those customer accounts for which a Vantage credit score is not available. The following table reflects the distribution of credit card loans by Vantage score as of the dates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Vantage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Borders>
              <w:bottom w:val="single" w:sz="8" w:color="auto"/>
            </w:tcBorders>
          </w:tcPr>
          <w:p>
            <w:pPr>
              <w:spacing w:after="0"/>
              <w:rPr>
                <w:sz w:val="16"/>
                <w:szCs w:val="16"/>
                <w:color w:val="auto"/>
              </w:rPr>
            </w:pPr>
          </w:p>
        </w:tc>
      </w:tr>
      <w:tr>
        <w:trPr>
          <w:trHeight w:val="137"/>
        </w:trPr>
        <w:tc>
          <w:tcPr>
            <w:tcW w:w="2380" w:type="dxa"/>
            <w:vAlign w:val="bottom"/>
          </w:tcPr>
          <w:p>
            <w:pPr>
              <w:spacing w:after="0"/>
              <w:rPr>
                <w:sz w:val="11"/>
                <w:szCs w:val="11"/>
                <w:color w:val="auto"/>
              </w:rPr>
            </w:pPr>
          </w:p>
        </w:tc>
        <w:tc>
          <w:tcPr>
            <w:tcW w:w="96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601 to</w:t>
            </w:r>
          </w:p>
        </w:tc>
        <w:tc>
          <w:tcPr>
            <w:tcW w:w="140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661 or</w:t>
            </w:r>
          </w:p>
        </w:tc>
        <w:tc>
          <w:tcPr>
            <w:tcW w:w="14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601 to</w:t>
            </w:r>
          </w:p>
        </w:tc>
        <w:tc>
          <w:tcPr>
            <w:tcW w:w="1420" w:type="dxa"/>
            <w:vAlign w:val="bottom"/>
          </w:tcPr>
          <w:p>
            <w:pPr>
              <w:ind w:left="520"/>
              <w:spacing w:after="0" w:line="137" w:lineRule="exact"/>
              <w:rPr>
                <w:sz w:val="20"/>
                <w:szCs w:val="20"/>
                <w:color w:val="auto"/>
              </w:rPr>
            </w:pPr>
            <w:r>
              <w:rPr>
                <w:rFonts w:ascii="Times New Roman" w:cs="Times New Roman" w:eastAsia="Times New Roman" w:hAnsi="Times New Roman"/>
                <w:sz w:val="14"/>
                <w:szCs w:val="14"/>
                <w:b w:val="1"/>
                <w:bCs w:val="1"/>
                <w:color w:val="auto"/>
              </w:rPr>
              <w:t>600 or</w:t>
            </w:r>
          </w:p>
        </w:tc>
      </w:tr>
      <w:tr>
        <w:trPr>
          <w:trHeight w:val="195"/>
        </w:trPr>
        <w:tc>
          <w:tcPr>
            <w:tcW w:w="238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100" w:type="dxa"/>
            <w:vAlign w:val="bottom"/>
          </w:tcPr>
          <w:p>
            <w:pPr>
              <w:spacing w:after="0"/>
              <w:rPr>
                <w:sz w:val="16"/>
                <w:szCs w:val="16"/>
                <w:color w:val="auto"/>
              </w:rPr>
            </w:pPr>
          </w:p>
        </w:tc>
        <w:tc>
          <w:tcPr>
            <w:tcW w:w="18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Higher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660</w:t>
            </w:r>
          </w:p>
        </w:tc>
        <w:tc>
          <w:tcPr>
            <w:tcW w:w="100" w:type="dxa"/>
            <w:vAlign w:val="bottom"/>
          </w:tcPr>
          <w:p>
            <w:pPr>
              <w:spacing w:after="0"/>
              <w:rPr>
                <w:sz w:val="16"/>
                <w:szCs w:val="16"/>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Lower</w:t>
            </w: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3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credit risk management activities for our BNPL loans portfolio, we also assess overall credit quality by reviewing information from credit bureaus. We have historically utilized Fair Isaac Corporation (FICO) credit scores to assist in our assessment of the credit quality for our BNPL loans portfolio, but in early 2024 we completed a transition to Vantage scoring. The scoring scale produced by both FICO and Vantage is similar in that scores of 600 or less are considered weaker scores and as per our categorization method would have the highest credit risk. The amortized cost basis of BNPL loans totaled $292 million and $317 million as of September 30, 2024 and December 31, 2023, respectively. As of September 30, 2024, approximately 84% of these loans were originated with customers with scores of 661 or above, and correspondingly approximately 16% of these loans were originated with customers with scores below 661. Similarly, as of December 31, 2023, approximately 82% and 18% of these loans were originated with customers with scores of 661 or above, and below 661,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Credit Card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Relief Programs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 - Modifications for Borrowers Experiencing Financial Difficulty (Loan Modifications)</w:t>
      </w:r>
    </w:p>
    <w:p>
      <w:pPr>
        <w:spacing w:after="0" w:line="2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2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500" w:type="dxa"/>
            <w:vAlign w:val="bottom"/>
          </w:tcPr>
          <w:p>
            <w:pPr>
              <w:spacing w:after="0"/>
              <w:rPr>
                <w:sz w:val="16"/>
                <w:szCs w:val="16"/>
                <w:color w:val="auto"/>
              </w:rPr>
            </w:pPr>
          </w:p>
        </w:tc>
        <w:tc>
          <w:tcPr>
            <w:tcW w:w="3840" w:type="dxa"/>
            <w:vAlign w:val="bottom"/>
            <w:gridSpan w:val="5"/>
          </w:tcPr>
          <w:p>
            <w:pPr>
              <w:jc w:val="right"/>
              <w:ind w:right="82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3"/>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380" w:type="dxa"/>
            <w:vAlign w:val="bottom"/>
            <w:gridSpan w:val="3"/>
            <w:vMerge w:val="continue"/>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1380" w:type="dxa"/>
            <w:vAlign w:val="bottom"/>
            <w:gridSpan w:val="3"/>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0" w:type="dxa"/>
            <w:vAlign w:val="bottom"/>
          </w:tcPr>
          <w:p>
            <w:pPr>
              <w:spacing w:after="0"/>
              <w:rPr>
                <w:sz w:val="1"/>
                <w:szCs w:val="1"/>
                <w:color w:val="auto"/>
              </w:rPr>
            </w:pPr>
          </w:p>
        </w:tc>
      </w:tr>
      <w:tr>
        <w:trPr>
          <w:trHeight w:val="159"/>
        </w:trPr>
        <w:tc>
          <w:tcPr>
            <w:tcW w:w="2480" w:type="dxa"/>
            <w:vAlign w:val="bottom"/>
            <w:vMerge w:val="continue"/>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500" w:type="dxa"/>
            <w:vAlign w:val="bottom"/>
          </w:tcPr>
          <w:p>
            <w:pPr>
              <w:spacing w:after="0"/>
              <w:rPr>
                <w:sz w:val="24"/>
                <w:szCs w:val="24"/>
                <w:color w:val="auto"/>
              </w:rPr>
            </w:pPr>
          </w:p>
        </w:tc>
        <w:tc>
          <w:tcPr>
            <w:tcW w:w="3840" w:type="dxa"/>
            <w:vAlign w:val="bottom"/>
            <w:gridSpan w:val="5"/>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Total Credit</w:t>
            </w:r>
          </w:p>
        </w:tc>
        <w:tc>
          <w:tcPr>
            <w:tcW w:w="14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Account Balances </w:t>
            </w:r>
            <w:r>
              <w:rPr>
                <w:rFonts w:ascii="Times New Roman" w:cs="Times New Roman" w:eastAsia="Times New Roman" w:hAnsi="Times New Roman"/>
                <w:sz w:val="18"/>
                <w:szCs w:val="18"/>
                <w:b w:val="1"/>
                <w:bCs w:val="1"/>
                <w:color w:val="auto"/>
                <w:vertAlign w:val="superscript"/>
              </w:rPr>
              <w:t>(1)</w:t>
            </w:r>
          </w:p>
        </w:tc>
        <w:tc>
          <w:tcPr>
            <w:tcW w:w="15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1380" w:type="dxa"/>
            <w:vAlign w:val="bottom"/>
            <w:gridSpan w:val="3"/>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Card Loans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 (% points)</w:t>
            </w: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5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loans</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40" w:right="40" w:hanging="332"/>
        <w:spacing w:after="0" w:line="225"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outstanding balances as of September 30, 2024 and 2023, of all Loan Modifications undertaken in the past three and nine months, respectively, for credit card loans that remain in modification programs as of September 30, 2024 and 2023. The outstanding balances include principal, accrued interest and fees.</w:t>
      </w:r>
    </w:p>
    <w:p>
      <w:pPr>
        <w:spacing w:after="0" w:line="2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performance of our credit card loans that were modified within the 12 months prior to the dates presented and remain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Modification program as of the dates presented:</w:t>
      </w:r>
    </w:p>
    <w:p>
      <w:pPr>
        <w:spacing w:after="0" w:line="2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Aging Analysis of Delinquent Amortized Cost</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 Modifications - Credit Card Loans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31 to 60 Days Past</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61 to 90 Days Past</w:t>
            </w:r>
          </w:p>
        </w:tc>
        <w:tc>
          <w:tcPr>
            <w:tcW w:w="144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91 or more Days Past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Due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credit card Loan Modifications that have subsequently defaulted within 12 months of their modification dates (or since implementation beginning January 1, 2023), for the periods presented; the probability of default is factored into the Allowance for credit losses: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06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4"/>
        </w:trPr>
        <w:tc>
          <w:tcPr>
            <w:tcW w:w="5020" w:type="dxa"/>
            <w:vAlign w:val="bottom"/>
            <w:vMerge w:val="continue"/>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Modifications that subsequently defaulted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020" w:type="dxa"/>
            <w:vAlign w:val="bottom"/>
          </w:tcPr>
          <w:p>
            <w:pPr>
              <w:spacing w:after="0"/>
              <w:rPr>
                <w:sz w:val="24"/>
                <w:szCs w:val="2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060" w:type="dxa"/>
            <w:vAlign w:val="bottom"/>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Modifications</w:t>
            </w:r>
          </w:p>
        </w:tc>
        <w:tc>
          <w:tcPr>
            <w:tcW w:w="220" w:type="dxa"/>
            <w:vAlign w:val="bottom"/>
          </w:tcPr>
          <w:p>
            <w:pPr>
              <w:spacing w:after="0"/>
              <w:rPr>
                <w:sz w:val="17"/>
                <w:szCs w:val="17"/>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for Number of modifications)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Modifications that subsequently defaulted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Lending Commitments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3"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$105 billion and $113 billion as of September 30, 2024 and December 31, 2023, respectively. While this amount represented the total available unused credit card lines, we have not experienced and do not anticipate that all cardholders will access their entire available line at any given point in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there were no credit card loans held for sale.</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late April 2024 we sold a credit card loan portfolio for cash consideration of $102 million. We recognized a gain on sale in April 2024 that was adjusted during the three months ended September 30, 2024 to recognize an incremental amount due under the purchase and sale agreement.</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previously announced the non-renewal of our contract with BJ’s Wholesale Club (BJ’s) and the sale of the BJ’s portfolio, which closed in late February 2023, for a total purchase price of $2.5 billion on a loan portfolio of $2.3 billion, resulting in a $230 million Gain on portfolio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Acquisition</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August 2024, we acquired a credit card loan portfolio for cash consideration of approximately $383 million, subject to customary purchase price adjustments.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acquired a credit card portfolio for cash consideration of $388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expected credit losses over the estimated life of our Credit card and other loans, incorporating future macroeconomic forecasts in addition to information about past events and current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conditions. Our estimate under the Current Expected Credit Loss (CECL) approach is significantly influenced by the composition, characteristics and quality of our portfolio of credit card and other loans, as well as the prevailing economic conditions and forecasts utilized. The estimate of the Allowance for credit losses includes an estimate for uncollectible principal as well as unpaid interest and fees. Principal losses, net of recoveries are deducted from the Allowance for credit losses. Losses of unpaid interest and fees as well as any adjustments to the Allowance for credit losses associated with unpaid interest and fees are recorded as a reduction to Interest and fees on loans. The Allowance for credit losses is maintained through an adjustment to the Provision for credit losses and is evaluated for appropriateness on a quarterly basis.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Card Loans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BNPL Loans</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measure our Allowance for credit losses on BNPL loans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September 30, 2024 and December 31, 2023, the Allowance for credit losses on BNPL loans was $31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Rollforward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Allowance for credit losses for our Credit card and other loans. The amount of the related Allowance for credit losses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BNPL and other loans is insignificant and therefore has been included in the table below for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5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the estimate for uncollectible unpaid interest and fees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principal losses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19" w:lineRule="auto"/>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Provision for credit losses includes a build/release for the Allowance, as well as replenishment of Net principal losses.</w:t>
      </w:r>
    </w:p>
    <w:p>
      <w:pPr>
        <w:ind w:left="340" w:right="100" w:hanging="332"/>
        <w:spacing w:after="0" w:line="227"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principal losses are presented net of recoveries of $85 million and $69 million for the three months ended September 30, 2024 and 2023, respectively, and $286 million and $242 million for the nine months ended September 30, 2024 and 2023, respectively. Net principal losses for the nine months ended September 30, 2023 include a $10 million adjustment related to the effects of the purchase of previously written-off accounts that were sold to a third-party debt collection agency; no such adjustment was made in the current period.</w:t>
      </w:r>
    </w:p>
    <w:p>
      <w:pPr>
        <w:spacing w:after="0" w:line="2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balance of the Allowance for credit losses increased, primarily due to the acquisition of the previously mentioned credit card loan portfolio. The decrease in the Allowance for credit losses during the nine months ended September 30, 2024 is the result of the decline from the seasonal peak in Credit card and other loans as of December 31, 2023, partially offset by the increased reserve rate over the period. The increase in the reserve rate from 12.0% as of December 31, 2023 to 12.2% as of September 30, 2024, is due primarily to lower Credit card and other loans balances, which are down from their seasonal peak at the beginning of 2024. Overall, we continue to maintain an elevated reserve rate, 12.2% as of September 30, 2024, reflecting a conservative weighting of economic scenarios in our credit reserve modeling, which we intend to maintain until we see sustained improvement in delinquencies and an improved macroeconomic outlook.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SECURITIZATIONS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Indentures of each Trust and its Indenture Supplements, we are required to maintain minimum interests in our Trusts ranging from a minimum of 4% up to a maximum of 10%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and nine months ended September 30, 2024 and 2023, no such triggering events occurred.</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total securitized credit card loans and related delinquencies, and net principal losses of securitized credit card loans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4"/>
        </w:trPr>
        <w:tc>
          <w:tcPr>
            <w:tcW w:w="50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card loans – available to settle obligations of consolidated VIEs</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Of which: principal amount of credit card loans 91 days or more past due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06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principal losses of securitized credit card loans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 an insignificant tax credit investment where we elected to apply the proportional amortization method of accounting, for which the impacts of both the amortization of the investment and income tax benefits are fully recognized in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Investments as of the dates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September 30, 2024 and December 31, 2023, and did not recognize any credit losses for the periods presented. Any unrealized gains, or any portion of an AFS debt security’s non-credit-related unrealized losses are recorded in the Consolidated Statements of Comprehensive Income, net of tax.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unrealized gains and losses on AFS debt securities as of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AFS debt securities in a gross unrealized loss position and the length of time that individual securities have been in a continuous unrealized loss position,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9"/>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2024, our AFS debt securities included mortgage-backed securities, which do not have a single maturity date, with an amortized cost and estimated fair value of $171 million and $156 million, respectively, and municipal bonds, all of which have a maturity date greater than ten years, with an amortized cost and estimated fair value of $28 million and $26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realized gains or losses from the sale of any investment securities for the three and nine months ended September 30,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DEPOSITS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were categorized as interest-bearing or non-interest-bearing as follows, as of the dates presented: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964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Non-interest-bearing (including cardholder credit balances)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Deposits by deposit type as of the dates presented: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Direct-to-consumer (retail)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Cardholder credit balances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scheduled maturities of certificates of deposit were as follows as of September 30, 2024: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22" w:lineRule="auto"/>
        <w:tabs>
          <w:tab w:leader="none" w:pos="3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2024 balance includes $3 million in unamortized debt issuance costs, which are associated with the entire portfolio of certificates of deposit.</w:t>
      </w:r>
    </w:p>
    <w:p>
      <w:pPr>
        <w:spacing w:after="0" w:line="21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deposits that exceeded applicable FDIC insurance limits, which are generally $250,000 per depositor, per insured bank, per ownership category, were estimated to be $543 million (4% of Total deposits) and $509 million (4% of Total deposits), respectively. The measurement of estimated uninsured deposits aligns with regulatory guidelines.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 OF LONG-TERM AND OTHER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and other debt consisted of the following as of the dates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2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Contractual Maturities</w:t>
            </w:r>
          </w:p>
        </w:tc>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percentages)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Long-term and other debt:</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2026</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75"/>
        </w:trPr>
        <w:tc>
          <w:tcPr>
            <w:tcW w:w="3680" w:type="dxa"/>
            <w:vAlign w:val="bottom"/>
            <w:tcBorders>
              <w:bottom w:val="single" w:sz="8" w:color="CCEEFF"/>
            </w:tcBorders>
            <w:gridSpan w:val="2"/>
            <w:vMerge w:val="continue"/>
            <w:shd w:val="clear" w:color="auto" w:fill="CCEEFF"/>
          </w:tcPr>
          <w:p>
            <w:pPr>
              <w:spacing w:after="0"/>
              <w:rPr>
                <w:sz w:val="6"/>
                <w:szCs w:val="6"/>
                <w:color w:val="auto"/>
              </w:rPr>
            </w:pPr>
          </w:p>
        </w:tc>
        <w:tc>
          <w:tcPr>
            <w:tcW w:w="140" w:type="dxa"/>
            <w:vAlign w:val="bottom"/>
            <w:tcBorders>
              <w:bottom w:val="single" w:sz="8" w:color="CCEEFF"/>
            </w:tcBorders>
            <w:vMerge w:val="continue"/>
            <w:shd w:val="clear" w:color="auto" w:fill="CCEEFF"/>
          </w:tcPr>
          <w:p>
            <w:pPr>
              <w:spacing w:after="0"/>
              <w:rPr>
                <w:sz w:val="6"/>
                <w:szCs w:val="6"/>
                <w:color w:val="auto"/>
              </w:rPr>
            </w:pPr>
          </w:p>
        </w:tc>
        <w:tc>
          <w:tcPr>
            <w:tcW w:w="158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CCEEFF"/>
            </w:tcBorders>
            <w:vMerge w:val="continue"/>
            <w:shd w:val="clear" w:color="auto" w:fill="CCEEFF"/>
          </w:tcPr>
          <w:p>
            <w:pPr>
              <w:spacing w:after="0"/>
              <w:rPr>
                <w:sz w:val="6"/>
                <w:szCs w:val="6"/>
                <w:color w:val="auto"/>
              </w:rPr>
            </w:pPr>
          </w:p>
        </w:tc>
        <w:tc>
          <w:tcPr>
            <w:tcW w:w="146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2720" w:type="dxa"/>
            <w:vAlign w:val="bottom"/>
            <w:tcBorders>
              <w:bottom w:val="single" w:sz="8" w:color="CCEEFF"/>
            </w:tcBorders>
            <w:gridSpan w:val="2"/>
            <w:vMerge w:val="continue"/>
            <w:shd w:val="clear" w:color="auto" w:fill="CCEEFF"/>
          </w:tcPr>
          <w:p>
            <w:pPr>
              <w:spacing w:after="0"/>
              <w:rPr>
                <w:sz w:val="6"/>
                <w:szCs w:val="6"/>
                <w:color w:val="auto"/>
              </w:rPr>
            </w:pPr>
          </w:p>
        </w:tc>
        <w:tc>
          <w:tcPr>
            <w:tcW w:w="14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Convertible senior notes due 2028</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2028</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2026</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9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2029</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long-term and other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8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Debt issued by consolidated VIEs:</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rate asset-backed term note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 – May 2026 to Jul. 2027</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4.62% to 5.47%</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Conduit asset-backed securities</w:t>
            </w:r>
          </w:p>
        </w:tc>
        <w:tc>
          <w:tcPr>
            <w:tcW w:w="14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shd w:val="clear" w:color="auto" w:fill="CCEEFF"/>
          </w:tcPr>
          <w:p>
            <w:pPr>
              <w:spacing w:after="0"/>
              <w:rPr>
                <w:sz w:val="10"/>
                <w:szCs w:val="10"/>
                <w:color w:val="auto"/>
              </w:rPr>
            </w:pPr>
          </w:p>
        </w:tc>
        <w:tc>
          <w:tcPr>
            <w:tcW w:w="2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 – Oct. 2024 to Oct. 2025</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95"/>
        </w:trPr>
        <w:tc>
          <w:tcPr>
            <w:tcW w:w="368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46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720" w:type="dxa"/>
            <w:vAlign w:val="bottom"/>
            <w:tcBorders>
              <w:bottom w:val="single" w:sz="8" w:color="CCEEFF"/>
            </w:tcBorders>
            <w:gridSpan w:val="2"/>
            <w:vMerge w:val="continue"/>
            <w:shd w:val="clear" w:color="auto" w:fill="CCEEFF"/>
          </w:tcPr>
          <w:p>
            <w:pPr>
              <w:spacing w:after="0"/>
              <w:rPr>
                <w:sz w:val="8"/>
                <w:szCs w:val="8"/>
                <w:color w:val="auto"/>
              </w:rPr>
            </w:pPr>
          </w:p>
        </w:tc>
        <w:tc>
          <w:tcPr>
            <w:tcW w:w="14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debt issued by consolidated VIEs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borrowings of long-term and other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04" w:lineRule="auto"/>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interest rate is based upon the Secured Overnight Financing Rate (SOFR) plus an applicable margin.</w:t>
      </w:r>
    </w:p>
    <w:p>
      <w:pPr>
        <w:jc w:val="both"/>
        <w:ind w:left="340" w:right="160" w:hanging="332"/>
        <w:spacing w:after="0" w:line="221"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interest rate is based upon SOFR, or the asset-backed commercial paper costs of each individual conduit provider plus an applicable margin. As of September 30, 2024, the interest rates ranged from 5.94% to 6.13% with a weighted average rate of 5.97%. As of December 31, 2023, the interest rates ranged from 6.36% to 6.59% with a weighted average rate of 6.48%.</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September 30, 2024, we were in compliance with all such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and Other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June 2023, we entered into our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As of September 30, 2024, all $700 million remained available for future borrowings under the Revolving Credit Facility.</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18, 2024, we amended our Revolving Credit Facility to extend the maturity date from June 13, 2026 to October 18, 2028, as well as to delete the provisions relating to our prior term loan facility (which was repaid in full and terminated in December 2023) and make certain other amendments.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2028</w:t>
      </w:r>
    </w:p>
    <w:p>
      <w:pPr>
        <w:spacing w:after="0" w:line="2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June 2023, we issued and sold $316 million aggregate principal amount of 4.25% Convertible Senior Notes due 2028 (the Convertible Notes). The Convertible Notes bear interest at an annual rate of 4.25%, payable semi-annually in arrears on June 15 and December 15 of each year. The Convertible Notes mature on June 15, 2028, unless earlier repurchased, redeemed or converted. In connection with the issuance of the Convertible Notes, we entered into privately negotiated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 For additional information on the issuance of Convertible Notes and Capped Call transactions, see Note 10, “Borrowings of Long-Term and Other Debt,” to the audited Consolidated Financial Statements included in our 2023 Form 10K.</w:t>
      </w:r>
    </w:p>
    <w:p>
      <w:pPr>
        <w:spacing w:after="0" w:line="2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2024 we entered into separate, privately negotiated repurchase agreements with a limited number of Convertible Note holders to repurchase $238 million aggregate principal amount of our outstanding Convertible Notes for a final aggregate cash repurchase price of $374 million, which was funded with cash on hand. The final aggregate cash repurchase price, or settlement value, was subject to adjustment as a portion of the repurchase price for select repurchases was based in part on the daily volume-weighted average price per share of Parent Company’s common stock over an agreed measurement period beginning in August 2024 and ending in September 2024. In connection with these aggregate repurchases, we recognized an</w:t>
      </w:r>
    </w:p>
    <w:p>
      <w:pPr>
        <w:spacing w:after="0" w:line="3"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17"/>
          <w:szCs w:val="17"/>
          <w:color w:val="auto"/>
        </w:rPr>
        <w:t>$87 million inducement expense in Other non-interest expenses representing the total settlement value, inclusive of transaction fees, in excess of the total conversion value (calculated in accordance with the indenture governing the Convertible Notes), as well as a $60 million reduction in Additional paid-in capital (APIC) related to the total conversion value paid in excess of the carrying value of the Convertible Notes repurchased and a deferred tax impact.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we entered into two additional separate, privately negotiated repurchase agreements with holders of our Convertible Notes who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approached us to repurchase $25 million aggregate principal amount of our outstanding Convertible Notes for a final aggregate cash repurchase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million, which was funded with cash on hand. The final aggregate cash repurchase price, or settlement value, was subject to adjustment as 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repurchase price was based in part on the daily volume-weighted average price per share of Parent Company’s common stock over an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period during September 2024. In connection with these aggregate repurchases, we recognized a $9 million inducement expense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expenses representing the total settlement value, inclusive of transaction fees, in excess of the total conversion value (calculated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indenture governing the Convertible Notes), as well as a $7 million reduction in APIC related to the total conversion value paid in excess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of the Convertible Notes repurchased and a deferred tax impact.</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summary, in total through August and September 2024, we recognized a $96 million inducement expense in Other non-interest expenses representing the settlement value, inclusive of transaction fees, in excess of the conversion value, and a $67 million reduction in APIC representing the excess of the conversion value over the carrying value of the Convertible Notes repurchased and a deferred tax impact.</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the repurchases of the Convertible Notes in August and September 2024, the embedded conversion feature within the Convertible Notes was both, considered indexed to the Company’s own equity, and met the equity classification conditions; therefore it did not require accounting as a derivative under GAAP. Upon entering into the repurchase agreements that themselves required cash settlement of our conversion obligation in excess of the aggregate principal amount of the Convertible Notes, the embedded conversion feature for those particular Convertible Notes no longer met the equity classification conditions; therefore requiring bifurcation and accounting as a derivative. Of the total $96 million recognized in Other non-interest expenses, $49 million represented the mark-to-market on the embedded conversion features over the measurement period from the date the repurchase agreements were executed until settlement thereof. These fair value adjustments were determined using the daily volume-weighted average price per share of Parent Company’s common stock over the measurement period. As all of the repurchases were negotiated and settled during the quarter ended September 30, 2024, there were no embedded conversion features requiring bifurcation and accounting as a derivative as of September 30, 2024.</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the settlement of these repurchases, $54 million of Convertible Notes remained outstanding as of September 30, 2024. For these Convertible Notes, the embedded conversion feature is both, considered indexed to the Company’s own equity, and meets the equity classification conditions; therefore not requiring accounting as a derivative.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Beginning on October 1, 2024, the Convertible Notes became convertible at the option of the holders during the quarterly period ending December 31, 2024, due to the last reported sales price per share of Parent Company’s common stock having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exceeded 130% of the conversion price for each of at least 20 trading days, whether or not consecutive, during the 30 consecutive trading days ending on, and including, the last trading day of the immediately preceding quarter i.e., the quarter ended September 30, 2024 (the Common Stock Sale Price Condition). The Common Stock Sale Price Condition is remeasured each quarter, so the Convertible Notes may continue or cease to be convertible in future quarters depending on the performance of our stock price. Upon any such conversion, we will pay cash up to the aggregate principal amount of the Convertible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Convertible Notes being converted. As of the date of this report, we have not received any conversion requests.</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of the Capped Call transactions continue to remain outstanding, notwithstanding the repurchases noted above. Although we do not trade or speculate in derivatives, the Capped Call transactions are expected to remain outstanding, possibly until maturity, with the objective of optimizing the economic value we receive under these transactions, in line with our strategic objectives designed to potentially offset certain of the economic impacts of the Convertible Notes.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9.750% Senior Notes due 2029</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2024, we issued and sold an additional $300 million aggregate principal amount of 9.750% Senior Notes due 2029 (Senior Notes due 2029) at an issue price of 101.00% of principal plus accrued interest from December 22, 2023. The Senior Notes due 2029 issued in January 2024 were issued as additional notes under the same indenture pursuant to which the initial $600 million of Senior Notes due 2029 were issued on December 22, 2023. The Senior Notes due 2029 that were issued in both December 2023 and January 2024 constitute a single series of notes and have the same terms, other than the issue date and issue price. We used the proceeds of the January 2024 offering of Senior Notes due 2029, together with $100 million of cash on hand, to fund the redemption of $400 million in aggregate principal amount of our outstanding 7.000% Senior Notes due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Issued by Consolidated VIEs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asset-backed security is a security whose value and income payments are derived from and collateralized by a specified pool of underlying assets – in our case, our credit card loans. The sale of the pool of underlying assets to general investors is accomplished through a securitization process. We regularly sell our credit card loans to our Trusts, which are consolidated. The liabilities of these consolidated VIEs include asset-backed securities for which creditors, or beneficial interest holders, do not have recourse to our general credit.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Conduit Facilities</w:t>
      </w:r>
    </w:p>
    <w:p>
      <w:pPr>
        <w:spacing w:after="0" w:line="25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maintained committed syndicated bank Conduit Facilities to support the funding of our credit card loans for our Trusts. Borrowings outstanding under each private Conduit Facility bear interest at a margin above SOFR, or the asset-backed commercial paper costs of each individual conduit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conduit capacities, borrowings and maturities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00" w:type="dxa"/>
            <w:vAlign w:val="bottom"/>
          </w:tcPr>
          <w:p>
            <w:pPr>
              <w:spacing w:after="0"/>
              <w:rPr>
                <w:sz w:val="20"/>
                <w:szCs w:val="20"/>
                <w:color w:val="auto"/>
              </w:rPr>
            </w:pPr>
          </w:p>
        </w:tc>
        <w:tc>
          <w:tcPr>
            <w:tcW w:w="23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3"/>
        </w:trPr>
        <w:tc>
          <w:tcPr>
            <w:tcW w:w="27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Conduit Facilities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Drawn </w:t>
            </w:r>
            <w:r>
              <w:rPr>
                <w:rFonts w:ascii="Times New Roman" w:cs="Times New Roman" w:eastAsia="Times New Roman" w:hAnsi="Times New Roman"/>
                <w:sz w:val="23"/>
                <w:szCs w:val="23"/>
                <w:b w:val="1"/>
                <w:bCs w:val="1"/>
                <w:color w:val="auto"/>
                <w:vertAlign w:val="superscript"/>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Drawn </w:t>
            </w:r>
            <w:r>
              <w:rPr>
                <w:rFonts w:ascii="Times New Roman" w:cs="Times New Roman" w:eastAsia="Times New Roman" w:hAnsi="Times New Roman"/>
                <w:sz w:val="23"/>
                <w:szCs w:val="23"/>
                <w:b w:val="1"/>
                <w:bCs w:val="1"/>
                <w:color w:val="auto"/>
                <w:vertAlign w:val="superscript"/>
              </w:rPr>
              <w:t>(6)</w:t>
            </w:r>
          </w:p>
        </w:tc>
        <w:tc>
          <w:tcPr>
            <w:tcW w:w="100" w:type="dxa"/>
            <w:vAlign w:val="bottom"/>
          </w:tcPr>
          <w:p>
            <w:pPr>
              <w:spacing w:after="0"/>
              <w:rPr>
                <w:sz w:val="19"/>
                <w:szCs w:val="19"/>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27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WFNMNT 2009-VFN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2025</w:t>
            </w:r>
          </w:p>
        </w:tc>
      </w:tr>
      <w:tr>
        <w:trPr>
          <w:trHeight w:val="229"/>
        </w:trPr>
        <w:tc>
          <w:tcPr>
            <w:tcW w:w="2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WFNMT 2009-VFC1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2024</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WFCMNT 2009-VFN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30"/>
        </w:trPr>
        <w:tc>
          <w:tcPr>
            <w:tcW w:w="27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2023-VFN1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29"/>
        </w:trPr>
        <w:tc>
          <w:tcPr>
            <w:tcW w:w="2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CCAST 2024-VFN1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r>
      <w:tr>
        <w:trPr>
          <w:trHeight w:val="22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320" w:hanging="312"/>
        <w:spacing w:after="0" w:line="210" w:lineRule="auto"/>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Network Credit Card Master Note Trust (WFNMNT).</w:t>
      </w:r>
    </w:p>
    <w:p>
      <w:pPr>
        <w:ind w:left="320" w:hanging="312"/>
        <w:spacing w:after="0" w:line="191" w:lineRule="auto"/>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2009-VFC1 Conduit issued under World Financial Network Credit Card Master Trust III (WFNMT).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2009-VFN Conduit issued under World Financial Capital Master Note Trust (WFCMNT).</w:t>
      </w:r>
    </w:p>
    <w:p>
      <w:pPr>
        <w:ind w:left="320" w:hanging="312"/>
        <w:spacing w:after="0" w:line="191" w:lineRule="auto"/>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2023-VFN1 Conduit issued under Comenity Capital Asset Securitization Trust (CCAST).</w:t>
      </w:r>
    </w:p>
    <w:p>
      <w:pPr>
        <w:spacing w:after="0" w:line="10"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2024-VFN1 Conduit issued under CCAST.</w:t>
      </w:r>
    </w:p>
    <w:p>
      <w:pPr>
        <w:ind w:left="340" w:right="40" w:hanging="332"/>
        <w:spacing w:after="0" w:line="215" w:lineRule="auto"/>
        <w:tabs>
          <w:tab w:leader="none" w:pos="32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drawn do not include $0.7 billion and $1.2 billion of debt issued by the Trusts as of September 30, 2024 and December 31, 2023, respectively, which were not sold, but were retained by us as a credit enhancement and therefore have been eliminated from the Total.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Asset-Backed Term Notes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WFNMNT issued $570 million of Series 2024-A public term asset-backed notes, which mature in April 2027. The offering consisted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$500 million of Class A notes with a fixed interest rate of 5.47% per year, $44 million of zero coupon Class M notes, and $26 million of zero coupon Class B notes. The Class M and B notes were retained by us and eliminated from the Consolidated Balance Sheet. As well, in August 2024 WFNMNT issued $500 million of Series 2024-B public term asset-backed notes, which mature in July 2027. The offering consisted of $500 million of Class A notes with a fixed interest rate of 4.62% per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NON-INTEREST INCOME AND OTHER 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income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60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protection products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9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non-interest expenses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62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Repurchased Convertible Notes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and regulatory fees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expense</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expenses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03" w:lineRule="auto"/>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related to costs associated with various other individually insignificant operating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VALUES OF FINANCIAL INSTRUMENTS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that are unadjusted quoted prices for identical assets or liabilities in active markets that the entity can access.</w:t>
      </w:r>
    </w:p>
    <w:p>
      <w:pPr>
        <w:spacing w:after="0" w:line="25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those included within Level 1, that are observable for the asset or liability, either directly or indirectly, for substantially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(e.g., internally derived assumptions) and reflect an entity’s assumptions about estimates market participants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monitor the market conditions and evaluate the fair value hierarchy levels at least quarterly. For the three and nine months ended September 30, 2024 and 2023, there were no transfers into or out of Level 3, and no transfers between Levels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and fair values of our financial assets and financial liabilities as of the dates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3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4"/>
        </w:trPr>
        <w:tc>
          <w:tcPr>
            <w:tcW w:w="5060" w:type="dxa"/>
            <w:vAlign w:val="bottom"/>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and other debt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 Used in the Fair Value Measurement of Financial Assets and Financial Liabilities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card and other loans, net: </w:t>
      </w:r>
      <w:r>
        <w:rPr>
          <w:rFonts w:ascii="Times New Roman" w:cs="Times New Roman" w:eastAsia="Times New Roman" w:hAnsi="Times New Roman"/>
          <w:sz w:val="18"/>
          <w:szCs w:val="18"/>
          <w:color w:val="auto"/>
        </w:rPr>
        <w:t>Our Credit card and other loans are recorded at amortized cost, less the Allowance for credit losses,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write-offs. Economic value attributable to future loans generated by the cardholder accounts is not included in the fair values.</w:t>
      </w:r>
    </w:p>
    <w:p>
      <w:pPr>
        <w:spacing w:after="0" w:line="21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Investment securities consist of AFS debt securities, including both mortgage-backed securities and municipal bonds,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which are mutual funds, and are recorded at fair value on the Consolidated Balance Sheets. Quoted prices of identical or similar investment securities in active markets are used to estimate the fair values (i.e., Level 1 or Level 2 inputs).</w:t>
      </w:r>
    </w:p>
    <w:p>
      <w:pPr>
        <w:spacing w:after="0" w:line="20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Money market and other non-maturity deposits carrying values approximate their fair values because they are short-term in duration and have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19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issued by consolidated VIEs: </w:t>
      </w:r>
      <w:r>
        <w:rPr>
          <w:rFonts w:ascii="Times New Roman" w:cs="Times New Roman" w:eastAsia="Times New Roman" w:hAnsi="Times New Roman"/>
          <w:sz w:val="18"/>
          <w:szCs w:val="18"/>
          <w:color w:val="auto"/>
        </w:rPr>
        <w:t>We record debt issued by our consolidated VIEs at amortized cost (including unamortized fees,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and discounts, where applicable) on the Consolidated Balance Sheets. Interest payable is included within Other liabilities on the Consolidated Balance Sheets. Fair value is estimated based on the currently observable market rates available to us for similar debt instruments with similar remaining maturities or quoted market prices for the same transaction (i.e., Level 2 inputs).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and other debt: </w:t>
      </w:r>
      <w:r>
        <w:rPr>
          <w:rFonts w:ascii="Times New Roman" w:cs="Times New Roman" w:eastAsia="Times New Roman" w:hAnsi="Times New Roman"/>
          <w:sz w:val="18"/>
          <w:szCs w:val="18"/>
          <w:color w:val="auto"/>
        </w:rPr>
        <w:t>We record long-term and other debt at amortized cost (including unamortized fees, issuance costs, premiums and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on the Consolidated Balance Sheets. Interest payable is included within Other liabilities on the Consolidated Balance Sheets. The fair value is estimated based on the currently observable market rates available to us for similar debt instruments with similar remaining maturities, or quoted market prices for the same transaction (i.e.,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 on a Recurring Basis</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instruments measured at fair value on a recurring basis, categorized by the fair value hierarchy described in the preceding paragraphs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5"/>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3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3"/>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and nine months ended September 30, 2024 or for the three months ended September 30, 2023. During the nine months ended September 30, 2023 we wrote-off the remaining $6 million of our equity method investment in Loyalty Ventures Inc. (LVI).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and other loans,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by consolidated VIEs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and other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REGULATORY MATTERS AND CAPITAL ADEQUACY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CB is subject to various regulatory capital requirements administered by the State of Delaware and the FDIC. CCB is also subject to various regulatory capital requirements administered by the State of Utah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the Banks to maintain minimum amounts and ratios of Tier 1 capital to average assets, and Common equity tier 1, Tier 1 capital and Total capital, all to risk 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September 30, 2024 and 2023,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 As of September 30, 2024 the actual capital ratios and minimum ratios for each Bank, as well as Bread Financial,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 Ratio 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Ratio to be</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Well Capitalized under</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 Adequacy</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Prompt Corrective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risk-weighted assets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19,010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Bank</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Comenity Capital Bank</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equity tier 1 capital ratio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capital ratio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risk-based capital ratio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Tier 1 leverage capital ratio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40" w:hanging="332"/>
        <w:spacing w:after="0" w:line="222"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right="120" w:hanging="332"/>
        <w:spacing w:after="0" w:line="220"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21"/>
          <w:szCs w:val="21"/>
          <w:color w:val="auto"/>
          <w:vertAlign w:val="superscript"/>
        </w:rPr>
      </w:pPr>
    </w:p>
    <w:p>
      <w:pPr>
        <w:ind w:left="340" w:right="520" w:hanging="332"/>
        <w:spacing w:after="0" w:line="220"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the allowable portion of the Allowance for credit losses.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Tier 1 leverage capital ratio represents tier 1 capital divided by total average assets, after certain adjustments.</w:t>
      </w:r>
    </w:p>
    <w:p>
      <w:pPr>
        <w:ind w:left="340" w:right="160" w:hanging="332"/>
        <w:spacing w:after="0" w:line="222"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risk-weighted assets are generally measured by allocating assets, and specified off-balance sheet exposures, to various risk categories as defined by the Basel III Standardized Approach.</w:t>
      </w:r>
    </w:p>
    <w:p>
      <w:pPr>
        <w:spacing w:after="0" w:line="21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20,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1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Servicer continues to take significant steps to strengthen the organization’s IT governance and address the other issues identified in the consent order, working diligently to ensure that all of the requirements of the consent order are satisfied. Without limiting the generality of the foregoing, the Servicer has taken steps to address each provision within the consent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order that required action be taken by a specified deadline, including providing a copy of the consent order to the Parent Company Board of Directors, increasing the size and governance processes of the Servicer’s Board of Managers, establishing an Executive Oversight Committee to oversee and ensure compliance with the consent order, and submitting all required reports and plans of action to the FDIC. The Servicer is committed to complying with each of the ongoing or longer-term requirements of the consent order, including the enhancement of its compliance management processes and related corporate governance, compliance with the applicable system conversion requirements, and enhanced risk management and reporting requirements. In addition, the Board of Directors of each of the Banks oversee the Servicer’s compliance with the requirements of the consent order and provide effective challenge of Servicer management toward that end.</w:t>
      </w:r>
    </w:p>
    <w:p>
      <w:pPr>
        <w:spacing w:after="0" w:line="21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August 22, 2024, each Bank entered into an agreement with the FDIC to pay civil money penalties (CMPs) of $1 million per Bank. The CMPs arose out of the June 2022 transition of our credit card processing services to strategic outsourcing partners and were related to disruptions to the Banks’ customer reward programs and automatic payments following the transition. These issues were self-identified and remediated timely, and the Banks provided full cooperation with the regulators throughout their examination. The Banks’ agreements to pay the CMPs did not require admission of wrongdoing, and there are no operational limitations on the Banks or our business associated with the CMPs.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8"/>
          <w:szCs w:val="18"/>
          <w:i w:val="1"/>
          <w:iCs w:val="1"/>
          <w:color w:val="auto"/>
        </w:rPr>
        <w:t>Pirinate Consulting Group, LLC v. Bread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Case No. 24-03027 (Bankr. S.D. Tex.), alleging actual and constructive fraudulent transfers, among other claims,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24-cv-00226-RGA (D. Del.), alleging certain breaches of fiduciary duties (and aiding and abetting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8"/>
          <w:szCs w:val="18"/>
          <w:i w:val="1"/>
          <w:iCs w:val="1"/>
          <w:color w:val="auto"/>
        </w:rPr>
        <w:t>Pirinate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LLC v. Bread Financial Holdings, Inc.</w:t>
      </w:r>
      <w:r>
        <w:rPr>
          <w:rFonts w:ascii="Times New Roman" w:cs="Times New Roman" w:eastAsia="Times New Roman" w:hAnsi="Times New Roman"/>
          <w:sz w:val="18"/>
          <w:szCs w:val="18"/>
          <w:color w:val="auto"/>
        </w:rPr>
        <w:t>, Case No. 2024-0277-MTZ (Del. Ch.), against the same parties and asserting the same claims.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in each of the Texas and Delaware actions, the liquidating trustee seeks damages in the amount of approximately $750 million plus interest, fees and expenses.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8"/>
          <w:szCs w:val="18"/>
          <w:i w:val="1"/>
          <w:iCs w:val="1"/>
          <w:color w:val="auto"/>
        </w:rPr>
        <w:t>LoyaltyOne, Co. v. Bread Financial Holdings, Inc. et al</w:t>
      </w:r>
      <w:r>
        <w:rPr>
          <w:rFonts w:ascii="Times New Roman" w:cs="Times New Roman" w:eastAsia="Times New Roman" w:hAnsi="Times New Roman"/>
          <w:sz w:val="18"/>
          <w:szCs w:val="18"/>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8"/>
          <w:szCs w:val="18"/>
          <w:i w:val="1"/>
          <w:iCs w:val="1"/>
          <w:color w:val="auto"/>
        </w:rPr>
        <w:t xml:space="preserve">In re Matter of a Plan of Compromise or Arrangement of LoyaltyOne, Co., </w:t>
      </w:r>
      <w:r>
        <w:rPr>
          <w:rFonts w:ascii="Times New Roman" w:cs="Times New Roman" w:eastAsia="Times New Roman" w:hAnsi="Times New Roman"/>
          <w:sz w:val="18"/>
          <w:szCs w:val="18"/>
          <w:color w:val="auto"/>
        </w:rPr>
        <w:t>Case No. CV-23-00696017-00CL. Finally, on April 27, 2023, we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and former members of our management team were named as defendants in a putative federal securities class action filed in the United States District Court for the Southern District of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captioned </w:t>
      </w:r>
      <w:r>
        <w:rPr>
          <w:rFonts w:ascii="Times New Roman" w:cs="Times New Roman" w:eastAsia="Times New Roman" w:hAnsi="Times New Roman"/>
          <w:sz w:val="18"/>
          <w:szCs w:val="18"/>
          <w:i w:val="1"/>
          <w:iCs w:val="1"/>
          <w:color w:val="auto"/>
        </w:rPr>
        <w:t>Newtyn Partners, LP v. Alliance Data Systems n/k/a Bread Financial Holdings, Inc.</w:t>
      </w:r>
      <w:r>
        <w:rPr>
          <w:rFonts w:ascii="Times New Roman" w:cs="Times New Roman" w:eastAsia="Times New Roman" w:hAnsi="Times New Roman"/>
          <w:sz w:val="18"/>
          <w:szCs w:val="18"/>
          <w:color w:val="auto"/>
        </w:rPr>
        <w:t>, Case No. 23-cv-1451-EAS (S.D. Ohio), concerning disclosures made about LVI’s business prior to the spinoff. The lead plaintiff in this matter filed an amended complaint on March 21, 2024 and is seeking, among other things, a class action designation and an award of damages in an amount to be proven at trial, plus fees and expenses.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each component of Accumulated other comprehensive loss, net of tax effects, are as follows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80" w:type="dxa"/>
            <w:vAlign w:val="bottom"/>
          </w:tcPr>
          <w:p>
            <w:pPr>
              <w:jc w:val="center"/>
              <w:ind w:left="224"/>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118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6"/>
        </w:trPr>
        <w:tc>
          <w:tcPr>
            <w:tcW w:w="6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14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80" w:type="dxa"/>
            <w:vAlign w:val="bottom"/>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7"/>
        </w:trPr>
        <w:tc>
          <w:tcPr>
            <w:tcW w:w="660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tcPr>
          <w:p>
            <w:pPr>
              <w:jc w:val="center"/>
              <w:ind w:left="224"/>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118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149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-479425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-187960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15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Losses</w:t>
            </w:r>
          </w:p>
        </w:tc>
        <w:tc>
          <w:tcPr>
            <w:tcW w:w="15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bl>
    <w:p>
      <w:pPr>
        <w:spacing w:after="0" w:line="202"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income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80" w:type="dxa"/>
            <w:vAlign w:val="bottom"/>
          </w:tcPr>
          <w:p>
            <w:pPr>
              <w:jc w:val="center"/>
              <w:ind w:left="222"/>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on AFS Securities</w:t>
            </w:r>
          </w:p>
        </w:tc>
        <w:tc>
          <w:tcPr>
            <w:tcW w:w="11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6"/>
        </w:trPr>
        <w:tc>
          <w:tcPr>
            <w:tcW w:w="6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other comprehensive loss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21, 2024, our Board of Directors approved a stock repurchase program to acquire up to $30 million in shares of our outstanding common stock in the open market during the period ending on December 31, 2024. The rationale for this repurchase program, and the amount thereof, was to offset the impact of dilution associated with issuances of employee restricted stock units, with the objective of reducing the Company’s weighted average diluted share count to approximately 50 million shares for 2024, subject to then current estimates and assumptions applicable as of the date of approval.</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under the authorized stock repurchase program, we acquired a total of 0.3 million shares of our common stock for $11 million. Following their repurchase, these 0.3 million shares ceased to be outstanding shares of common stock and are now treated as authorized but unissued shares of common stock. As of September 30, 2024, we had $19 million remaining for future repurchases under the authorized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awarded 1,305,297 service-based restricted stock units (RSUs) with a weighted average grant date fair market value per share of $37.77 as determined on the date of grant. Service-based restricted stock units typically vest ratably over three years provided that the participant is employed by us on each such vesting date.</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we awarded 221,358 performance-based restricted stock units with a fair market value of $37.57 to our Named Executive Officers. Performance-based RSUs cliff vest at the end of three years, if specific performance measures tied to our financial performance are met, which are measured annually over the three-year period. For the performance-based RSUs awarded in 2024, the predefined vesting criteria typically permit a range from 0% to 150% to be earned. Accruals of compensation cost for an award with a performance condition are based on the probable outcome of that performance condition. If the performance targets are met, the awards will vest with respect to the entire award on February 15, 2027, provided that the participant is employed by us on the vesting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and 2023, we recognized $13 million and $10 million in stock-based compensation expense,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 and 2023, we recognized $41 million and $32 million in stock-based compensation expense,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paid $10 million and $32 million in dividends to holders of our common stock. On October 24, 2024, our Board of Directors declared a quarterly cash dividend of $0.21 per share on our common stock, payable on December 13, 2024, to stockholders of record at the close of business on November 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Provision for income taxes decreased for the three months ended September 30, 2024 primarily driven by a decrease in Income from continuing operations before income taxes. The effective tax rate was 92.2% and 23.0% for the three month periods ended September 30, 2024 and 2023, respectively. The increase in the effective tax rate resulted from an increase in nondeductible items in the current year period, primarily related to the nondeductible portion of our repurchased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39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Convertible Notes transactions, and a favorable discrete item in the prior year period. The Provision for income taxes decreased for the nine months ended September 30, 2024 primarily driven by a decrease in Income from continuing operations before income taxes in the current year relative to the prior year period, which itself was higher due to the gain on the sale of the BJ's portfolio. The effective tax rate was 33.4% and 27.1% for the nine month periods ended September 30, 2024 and 2023, respectively. The increase in the effective tax rate was also driven primarily by an increase in nondeductible items in the current year period related to the nondeductible portion of our repurchased Convertible Notes transactions.</w:t>
      </w:r>
    </w:p>
    <w:p>
      <w:pPr>
        <w:spacing w:after="0" w:line="2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under examination by the Internal Revenue Service as well as tax authorities in various states. The tax years under examination and open for examination vary by jurisdiction. U.S. Federal income tax returns are no longer subject to examination for years before 2015, and with a few exceptions, state and local income tax returns are no longer subject to examination for years before 2015. Foreign income tax returns are no longer subject to examination for years before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earnings (losses) per share (EPS) is based only on the weighted average number of common shares outstanding, excluding any dilutive effects of unvested restricted stock awards, or other dilutive securities. Diluted EPS is based on (i) the weighted average number of common and potentially dilutive common shares (unvested restricted stock awards outstanding during the year), pursuant to the Treasury Stock method, and (ii) the potential conversion of the Convertible Notes, pursuant to the If-converted method.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attributable to common stockholders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0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Loss from discontinued operations, net of income taxes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Add: net effect of dilutive unvested restricted stock awards </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Add: dilutive effect of Convertible Notes </w:t>
            </w:r>
            <w:r>
              <w:rPr>
                <w:rFonts w:ascii="Times New Roman" w:cs="Times New Roman" w:eastAsia="Times New Roman" w:hAnsi="Times New Roman"/>
                <w:sz w:val="23"/>
                <w:szCs w:val="23"/>
                <w:color w:val="auto"/>
                <w:vertAlign w:val="superscript"/>
              </w:rPr>
              <w:t>(3)(4)</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9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3"/>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ind w:left="320" w:hanging="312"/>
        <w:spacing w:after="0" w:line="222" w:lineRule="auto"/>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amounts that related to the previously disclosed discontinued operations associated with the spinoff of our former</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11"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400" w:lineRule="exact"/>
        <w:rPr>
          <w:sz w:val="20"/>
          <w:szCs w:val="20"/>
          <w:color w:val="auto"/>
        </w:rPr>
      </w:pPr>
    </w:p>
    <w:p>
      <w:pPr>
        <w:ind w:left="340" w:right="520"/>
        <w:spacing w:after="0" w:line="249" w:lineRule="auto"/>
        <w:rPr>
          <w:sz w:val="20"/>
          <w:szCs w:val="20"/>
          <w:color w:val="auto"/>
        </w:rPr>
      </w:pPr>
      <w:r>
        <w:rPr>
          <w:rFonts w:ascii="Times New Roman" w:cs="Times New Roman" w:eastAsia="Times New Roman" w:hAnsi="Times New Roman"/>
          <w:sz w:val="16"/>
          <w:szCs w:val="16"/>
          <w:color w:val="auto"/>
        </w:rPr>
        <w:t>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10" w:lineRule="exact"/>
        <w:rPr>
          <w:sz w:val="20"/>
          <w:szCs w:val="20"/>
          <w:color w:val="auto"/>
        </w:rPr>
      </w:pPr>
    </w:p>
    <w:p>
      <w:pPr>
        <w:ind w:left="340" w:right="80" w:hanging="332"/>
        <w:spacing w:after="0" w:line="227"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 the effect would have been anti-dilutive, for the three months ended September 30, 2024 and 2023, nil and approximately 0.5 million, respectively, and for the nine months ended September 30, 2024, and 2023 approximately 0.7 million and 1.2 million, respectively, restricted stock awards were excluded from each calculation of weighted average dilutive common shares.</w:t>
      </w:r>
    </w:p>
    <w:p>
      <w:pPr>
        <w:ind w:left="340" w:right="20" w:hanging="332"/>
        <w:spacing w:after="0" w:line="237"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Holders of the Convertible Notes may convert their notes under certain conditions until March 15, 2028, and on or after such date without condition. Upon any such conversion, we will repay the aggregate principal amount of the Convertible Notes in cash, and pay or deliver, as the case may be, cash, shares of our common stock or a combination of both (at our election), in respect of the remainder, if any, of our conversion obligation in excess of the aggregate principal amount of the Convertible Notes. At our option, we may redeem for cash, all or a portion of the Convertible Notes on or after June 21, 2026, and before the 51st scheduled trading day before the maturity date, but only if the closing price of our common stock reaches specified targets as defined in the indenture governing the Convertible Notes. We may also, from time to time, retire or purchase all or a portion of the outstanding Convertible Notes through cash purchases or exchanges for other securities, in open market purchases, tender offers, privately negotiated transactions or otherwise.</w:t>
      </w:r>
    </w:p>
    <w:p>
      <w:pPr>
        <w:spacing w:after="0" w:line="183" w:lineRule="exact"/>
        <w:rPr>
          <w:rFonts w:ascii="Times New Roman" w:cs="Times New Roman" w:eastAsia="Times New Roman" w:hAnsi="Times New Roman"/>
          <w:sz w:val="23"/>
          <w:szCs w:val="23"/>
          <w:color w:val="auto"/>
          <w:vertAlign w:val="superscript"/>
        </w:rPr>
      </w:pPr>
    </w:p>
    <w:p>
      <w:pPr>
        <w:ind w:left="340"/>
        <w:spacing w:after="0" w:line="25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conversion feature of the Convertible Notes has a dilutive impact on EPS when the average market price of our common stock for the period exceeds the conversion price of $38.43 per share. For the three months ended September 30, 2024 the average market price exceeded the conversion price and the dilutive effect is therefore included in the table above. With the three months ended June 30, 2024 being the first period in which the average market price of our common stock exceeded the conversion price, a weighted average of the quarterly results from the Dilutive effect of Convertible Notes is computed, and has been reflected in the table above for the nine months ended September 30, 2024.</w:t>
      </w:r>
    </w:p>
    <w:p>
      <w:pPr>
        <w:spacing w:after="0" w:line="1" w:lineRule="exact"/>
        <w:rPr>
          <w:rFonts w:ascii="Times New Roman" w:cs="Times New Roman" w:eastAsia="Times New Roman" w:hAnsi="Times New Roman"/>
          <w:sz w:val="23"/>
          <w:szCs w:val="23"/>
          <w:color w:val="auto"/>
          <w:vertAlign w:val="superscript"/>
        </w:rPr>
      </w:pPr>
    </w:p>
    <w:p>
      <w:pPr>
        <w:ind w:left="340" w:right="40" w:hanging="332"/>
        <w:spacing w:after="0"/>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issuance of the Convertible Notes, we entered into privately negotiated Capped Calls with certain financial institution counterparties. These transactions are expected generally to reduce potential dilution to our common stock upon any conversion of Convertible Notes and/or offset certain cash payments we may be required to make in excess of the principal amount of the Convertible Notes upon conversion, redemption or repurchase thereof, with such reduction and/or offset subject to a cap of $61.48 per share. Diluted weighted average common stock does not include the impact of the Capped Calls we entered into concurrently with the issuance of the Convertible Notes, as the effect would have been anti-dilutive. If shares were delivered to us under the Capped Calls, those shares would offset, up to the cap, the dilutive effect of the shares that we would issue upon conversion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Market risk is the risk to earnings or asset and liability values resulting from movements in market prices. Our principal market risk exposure arises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consequential impact on economic value, capitalization levels, cost of capital and earnings.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from our 2023 Form 10-K related to our exposure to interest rate risk or other market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Refer to (i) Part II, Item 1A, “Risk Factors—</w:t>
      </w:r>
      <w:r>
        <w:rPr>
          <w:rFonts w:ascii="Times New Roman" w:cs="Times New Roman" w:eastAsia="Times New Roman" w:hAnsi="Times New Roman"/>
          <w:sz w:val="18"/>
          <w:szCs w:val="18"/>
          <w:i w:val="1"/>
          <w:iCs w:val="1"/>
          <w:color w:val="auto"/>
        </w:rPr>
        <w:t>The LoyaltyOne spinoff could result in substantial tax liability to us and our stockholders, and more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have been adversely affected by LVI’s performance, and we may continue to be adversely affected by LVI’s ongoing bankruptcy proceedings or litigation or other disputes involving or relating to LVI.</w:t>
      </w:r>
      <w:r>
        <w:rPr>
          <w:rFonts w:ascii="Times New Roman" w:cs="Times New Roman" w:eastAsia="Times New Roman" w:hAnsi="Times New Roman"/>
          <w:sz w:val="18"/>
          <w:szCs w:val="18"/>
          <w:color w:val="auto"/>
        </w:rPr>
        <w:t>” in our Quarterly Report on Form 10-Q for the quarter ended March 31, 2024, (ii) Note 10,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Contingencies” to our unaudited Consolidated Financial Statements, and (iii) “Risk Factors—Legal, Regulatory and Compliance Risks” of our 2023 Form 10-K, each of which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2023 Form 10-K, as supplemented by our Quarterly Report on Form 10-Q for the quarter ended March 31, 2024 and our Quarterly Report on Form 10-Q for the quarter ended June 30, 2024.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by or on behalf of us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8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37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800" w:type="dxa"/>
            <w:vAlign w:val="bottom"/>
          </w:tcPr>
          <w:p>
            <w:pPr>
              <w:jc w:val="right"/>
              <w:ind w:right="19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0"/>
        </w:trPr>
        <w:tc>
          <w:tcPr>
            <w:tcW w:w="3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1-31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8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ind w:left="340" w:right="300" w:hanging="332"/>
        <w:spacing w:after="0" w:line="231"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periods presented, (i) 5,863 shares of our common stock were purchased by the administrator of our Bread Financial 401(k) Plan for the benefit of the employees who participated in that portion of the 401(k) Plan and (ii) no shares of our common stock were repurchased by the Company, pursuant to a Rule 10b5-1 trading plan previously adopted by the Company, during an open trading window.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 Section 16 officer or director of the Parent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Exhibits: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gridSpan w:val="21"/>
          </w:tcPr>
          <w:p>
            <w:pPr>
              <w:ind w:left="1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3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gridSpan w:val="21"/>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00" w:type="dxa"/>
            <w:vAlign w:val="bottom"/>
            <w:gridSpan w:val="21"/>
            <w:vMerge w:val="continue"/>
          </w:tcPr>
          <w:p>
            <w:pPr>
              <w:spacing w:after="0"/>
              <w:rPr>
                <w:sz w:val="16"/>
                <w:szCs w:val="16"/>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56"/>
        </w:trPr>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Third Amended and Restated Certificate of Incorporation of the Registrant.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6/10/16</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28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Certificate of Amendment to Third Amended and Restated Certificate of Incorporation</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6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of the Registrant.</w:t>
              </w:r>
            </w:hyperlink>
          </w:p>
        </w:tc>
        <w:tc>
          <w:tcPr>
            <w:tcW w:w="140" w:type="dxa"/>
            <w:vAlign w:val="bottom"/>
            <w:tcBorders>
              <w:top w:val="single" w:sz="8" w:color="CCEEFF"/>
            </w:tcBorders>
            <w:gridSpan w:val="2"/>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Certificate of Designations of Series A Preferred Non-Voting Convertible Preferred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4/29/19</w:t>
            </w: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2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Stock of the Registrant.</w:t>
              </w:r>
            </w:hyperlink>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3"/>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Sixth Amended and Restated Bylaws of the Registrant.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3/24/22</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280" w:type="dxa"/>
            <w:vAlign w:val="bottom"/>
            <w:tcBorders>
              <w:top w:val="single" w:sz="8" w:color="0000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Specimen Certificate for shares of Common Stock of the Registrant.</w:t>
              </w:r>
            </w:hyperlink>
          </w:p>
        </w:tc>
        <w:tc>
          <w:tcPr>
            <w:tcW w:w="620" w:type="dxa"/>
            <w:vAlign w:val="bottom"/>
            <w:shd w:val="clear" w:color="auto" w:fill="CCEEFF"/>
          </w:tcPr>
          <w:p>
            <w:pPr>
              <w:jc w:val="center"/>
              <w:ind w:left="112"/>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8/8/03</w:t>
            </w: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28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Fourth Addendum to Appendix A of Fifth Amended and Restated Service Agreement,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8/1/24</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622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dated as of July 31, 2024, between Comenity Servicing LLC and Comenity Bank.</w:t>
              </w:r>
            </w:hyperlink>
          </w:p>
        </w:tc>
        <w:tc>
          <w:tcPr>
            <w:tcW w:w="180" w:type="dxa"/>
            <w:vAlign w:val="bottom"/>
            <w:tcBorders>
              <w:top w:val="single" w:sz="8" w:color="CCEEFF"/>
            </w:tcBorders>
            <w:gridSpan w:val="3"/>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w:t>
            </w:r>
          </w:p>
        </w:tc>
        <w:tc>
          <w:tcPr>
            <w:tcW w:w="4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2280" w:type="dxa"/>
            <w:vAlign w:val="bottom"/>
            <w:tcBorders>
              <w:top w:val="single" w:sz="8" w:color="0000FF"/>
            </w:tcBorders>
            <w:shd w:val="clear" w:color="auto" w:fill="CCEEFF"/>
          </w:tcPr>
          <w:p>
            <w:pPr>
              <w:spacing w:after="0"/>
              <w:rPr>
                <w:sz w:val="18"/>
                <w:szCs w:val="18"/>
                <w:color w:val="auto"/>
              </w:rPr>
            </w:pPr>
          </w:p>
        </w:tc>
        <w:tc>
          <w:tcPr>
            <w:tcW w:w="94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Series 2024-B Indenture Supplement, dated as of August 13, 2024, between World</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8/14/24</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596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Financial Network Credit Card Master Note Trust and U.S. Bank National</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shd w:val="clear" w:color="auto" w:fill="CCEEFF"/>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(d)</w:t>
            </w:r>
          </w:p>
        </w:tc>
        <w:tc>
          <w:tcPr>
            <w:tcW w:w="536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Association.</w:t>
              </w:r>
            </w:hyperlink>
          </w:p>
        </w:tc>
        <w:tc>
          <w:tcPr>
            <w:tcW w:w="180" w:type="dxa"/>
            <w:vAlign w:val="bottom"/>
            <w:tcBorders>
              <w:top w:val="single" w:sz="8" w:color="CCEEFF"/>
            </w:tcBorders>
            <w:gridSpan w:val="2"/>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4"/>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First Amendment to Fifth Amended and Restated Service Agreement, dated as of</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9/04/24</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586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August 31, 2024, between Comenity Servicing LLC and Comenity Bank.</w:t>
              </w:r>
            </w:hyperlink>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w:t>
            </w:r>
          </w:p>
        </w:tc>
        <w:tc>
          <w:tcPr>
            <w:tcW w:w="4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2280" w:type="dxa"/>
            <w:vAlign w:val="bottom"/>
            <w:tcBorders>
              <w:top w:val="single" w:sz="8" w:color="0000FF"/>
            </w:tcBorders>
            <w:shd w:val="clear" w:color="auto" w:fill="CCEEFF"/>
          </w:tcPr>
          <w:p>
            <w:pPr>
              <w:spacing w:after="0"/>
              <w:rPr>
                <w:sz w:val="18"/>
                <w:szCs w:val="18"/>
                <w:color w:val="auto"/>
              </w:rPr>
            </w:pPr>
          </w:p>
        </w:tc>
        <w:tc>
          <w:tcPr>
            <w:tcW w:w="94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Fifth Addendum to Appendix A of Fifth Amended and Restated Service Agreement,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9/04/24</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610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dated as of August 31, 2024, between Comenity Servicing LLC and Comenity Bank.</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Sixth Addendum to Appendix A of Fifth Amended and Restated Service Agreement,</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10/02/24</w:t>
            </w: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gridSpan w:val="2"/>
            <w:shd w:val="clear" w:color="auto" w:fill="CCEEFF"/>
          </w:tcPr>
          <w:p>
            <w:pPr>
              <w:jc w:val="center"/>
              <w:ind w:right="200"/>
              <w:spacing w:after="0" w:line="156" w:lineRule="exact"/>
              <w:rPr>
                <w:sz w:val="20"/>
                <w:szCs w:val="20"/>
                <w:color w:val="auto"/>
              </w:rPr>
            </w:pPr>
            <w:r>
              <w:rPr>
                <w:rFonts w:ascii="Times New Roman" w:cs="Times New Roman" w:eastAsia="Times New Roman" w:hAnsi="Times New Roman"/>
                <w:sz w:val="18"/>
                <w:szCs w:val="18"/>
                <w:color w:val="auto"/>
                <w:w w:val="99"/>
              </w:rPr>
              <w:t>(c)</w:t>
            </w:r>
          </w:p>
        </w:tc>
        <w:tc>
          <w:tcPr>
            <w:tcW w:w="612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dated as of September 30, 2024, between Comenity Servicing LLC and Comenity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shd w:val="clear" w:color="auto" w:fill="CCEEFF"/>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(d)</w:t>
            </w:r>
          </w:p>
        </w:tc>
        <w:tc>
          <w:tcPr>
            <w:tcW w:w="5900" w:type="dxa"/>
            <w:vAlign w:val="bottom"/>
            <w:tcBorders>
              <w:top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Bank.</w:t>
              </w:r>
            </w:hyperlink>
          </w:p>
        </w:tc>
        <w:tc>
          <w:tcPr>
            <w:tcW w:w="180" w:type="dxa"/>
            <w:vAlign w:val="bottom"/>
            <w:tcBorders>
              <w:top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4"/>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Amendment No. 1 to Credit Agreement, dated as of October 18, 2024, by and among</w:t>
              </w:r>
            </w:hyperlink>
          </w:p>
        </w:tc>
        <w:tc>
          <w:tcPr>
            <w:tcW w:w="620" w:type="dxa"/>
            <w:vAlign w:val="bottom"/>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3"/>
            <w:shd w:val="clear" w:color="auto" w:fill="CCEEFF"/>
          </w:tcPr>
          <w:p>
            <w:pPr>
              <w:jc w:val="center"/>
              <w:ind w:left="212"/>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10/21/24</w:t>
            </w: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Bread Financial Holdings, Inc., as borrower, and certain of its subsidiaries as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54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guarantors, JPMorgan Chase Bank, N.A., as Administrative Agent and various</w:t>
              </w:r>
            </w:hyperlink>
          </w:p>
        </w:tc>
        <w:tc>
          <w:tcPr>
            <w:tcW w:w="860" w:type="dxa"/>
            <w:vAlign w:val="bottom"/>
            <w:tcBorders>
              <w:top w:val="single" w:sz="8" w:color="CCEEFF"/>
            </w:tcBorders>
            <w:gridSpan w:val="15"/>
            <w:shd w:val="clear" w:color="auto" w:fill="CCEEFF"/>
          </w:tcPr>
          <w:p>
            <w:pPr>
              <w:ind w:left="180"/>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other</w:t>
              </w:r>
            </w:hyperlink>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8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lenders.</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gridSpan w:val="4"/>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2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64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0000FF"/>
            </w:tcBorders>
            <w:gridSpan w:val="2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Rule 13a-14(a) promulgated under the Securities Exchange Act of 1934, as amended.</w:t>
            </w:r>
          </w:p>
        </w:tc>
        <w:tc>
          <w:tcPr>
            <w:tcW w:w="220" w:type="dxa"/>
            <w:vAlign w:val="bottom"/>
            <w:tcBorders>
              <w:top w:val="single" w:sz="8" w:color="CCEEFF"/>
            </w:tcBorders>
            <w:gridSpan w:val="4"/>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Filer</w:t>
            </w:r>
          </w:p>
        </w:tc>
        <w:tc>
          <w:tcPr>
            <w:tcW w:w="20" w:type="dxa"/>
            <w:vAlign w:val="bottom"/>
          </w:tcPr>
          <w:p>
            <w:pPr>
              <w:spacing w:after="0"/>
              <w:rPr>
                <w:sz w:val="2"/>
                <w:szCs w:val="2"/>
                <w:color w:val="auto"/>
              </w:rPr>
            </w:pPr>
          </w:p>
        </w:tc>
        <w:tc>
          <w:tcPr>
            <w:tcW w:w="6400" w:type="dxa"/>
            <w:vAlign w:val="bottom"/>
            <w:gridSpan w:val="6"/>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gridSpan w:val="6"/>
            <w:vMerge w:val="continue"/>
          </w:tcPr>
          <w:p>
            <w:pPr>
              <w:spacing w:after="0"/>
              <w:rPr>
                <w:sz w:val="16"/>
                <w:szCs w:val="16"/>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300" w:type="dxa"/>
            <w:vAlign w:val="bottom"/>
            <w:tcBorders>
              <w:top w:val="single" w:sz="8" w:color="auto"/>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14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promulgated under the Securities Exchange Act of 1934, as amended.</w:t>
            </w: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Bread Financial Holdings, Inc. pursuant to</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80" w:type="dxa"/>
            <w:vAlign w:val="bottom"/>
            <w:tcBorders>
              <w:top w:val="single" w:sz="8" w:color="0000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Section 1350 of Chapter 63 of Title 18 of the United States Code.</w:t>
            </w:r>
          </w:p>
        </w:tc>
        <w:tc>
          <w:tcPr>
            <w:tcW w:w="240" w:type="dxa"/>
            <w:vAlign w:val="bottom"/>
            <w:tcBorders>
              <w:top w:val="single" w:sz="8" w:color="CCEEFF"/>
            </w:tcBorders>
            <w:gridSpan w:val="3"/>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Bread Financial Holdings, Inc. pursuant to</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13a-14(b) promulgated under the Securities Exchange Act of 1934, as amended,</w:t>
            </w:r>
          </w:p>
        </w:tc>
        <w:tc>
          <w:tcPr>
            <w:tcW w:w="260" w:type="dxa"/>
            <w:vAlign w:val="bottom"/>
            <w:tcBorders>
              <w:top w:val="single" w:sz="8" w:color="CCEEFF"/>
            </w:tcBorders>
            <w:gridSpan w:val="4"/>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Section 1350 of Chapter 63 of Title 18 of the United States Code.</w:t>
            </w:r>
          </w:p>
        </w:tc>
        <w:tc>
          <w:tcPr>
            <w:tcW w:w="240" w:type="dxa"/>
            <w:vAlign w:val="bottom"/>
            <w:tcBorders>
              <w:top w:val="single" w:sz="8" w:color="CCEEFF"/>
            </w:tcBorders>
            <w:gridSpan w:val="3"/>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information from Bread Financial Holdings, Inc.’s Quarterly</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Report on Form 10-Q for the quarter ended September 30, 2024, formatted in Inline</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XBRL: (i) Consolidated Statements of Income, (ii) Consolidated Statements of</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Comprehensive Income, (iii) Consolidated Balance Sheets, (iv) Consolidated</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0" w:type="dxa"/>
            <w:vAlign w:val="bottom"/>
            <w:gridSpan w:val="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Statements of Stockholders’ Equity, (v) Consolidated Statements of Cash Flows and</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(vi) Notes to Consolidated Financial Statements.</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shd w:val="clear" w:color="auto" w:fill="CCEEFF"/>
          </w:tcPr>
          <w:p>
            <w:pPr>
              <w:spacing w:after="0"/>
              <w:rPr>
                <w:sz w:val="15"/>
                <w:szCs w:val="15"/>
                <w:color w:val="auto"/>
              </w:rPr>
            </w:pPr>
          </w:p>
        </w:tc>
        <w:tc>
          <w:tcPr>
            <w:tcW w:w="6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40" w:right="60" w:hanging="398"/>
        <w:spacing w:after="0" w:line="250" w:lineRule="auto"/>
        <w:rPr>
          <w:sz w:val="20"/>
          <w:szCs w:val="20"/>
          <w:color w:val="auto"/>
        </w:rPr>
      </w:pPr>
      <w:r>
        <w:rPr>
          <w:rFonts w:ascii="Times New Roman" w:cs="Times New Roman" w:eastAsia="Times New Roman" w:hAnsi="Times New Roman"/>
          <w:sz w:val="18"/>
          <w:szCs w:val="18"/>
          <w:color w:val="auto"/>
        </w:rPr>
        <w:t>ertain exhibits have been omitted pursuant to Item 601(a)(5) of Regulation S-K. Bread Financial Holdings, Inc. hereby undertakes to furnish supplementally copies of any of the omitted exhibits upon request by the U.S. Securities and Exchange Commission.</w:t>
      </w:r>
    </w:p>
    <w:p>
      <w:pPr>
        <w:spacing w:after="0" w:line="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Holdings, Inc.</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Trust</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Financial Network Credit Card Master Note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Bread Financial Holdings, Inc. has duly caused this quarterly report on Form 10-Q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20" w:type="dxa"/>
            <w:vAlign w:val="bottom"/>
            <w:gridSpan w:val="2"/>
          </w:tcPr>
          <w:p>
            <w:pPr>
              <w:ind w:left="5380"/>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400" w:type="dxa"/>
            <w:vAlign w:val="bottom"/>
          </w:tcPr>
          <w:p>
            <w:pPr>
              <w:spacing w:after="0"/>
              <w:rPr>
                <w:sz w:val="24"/>
                <w:szCs w:val="24"/>
                <w:color w:val="auto"/>
              </w:rPr>
            </w:pPr>
          </w:p>
        </w:tc>
      </w:tr>
      <w:tr>
        <w:trPr>
          <w:trHeight w:val="283"/>
        </w:trPr>
        <w:tc>
          <w:tcPr>
            <w:tcW w:w="5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RALPH J. ANDRETTA</w:t>
            </w:r>
          </w:p>
        </w:tc>
      </w:tr>
      <w:tr>
        <w:trPr>
          <w:trHeight w:val="214"/>
        </w:trPr>
        <w:tc>
          <w:tcPr>
            <w:tcW w:w="58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Ralph J. Andretta</w:t>
            </w:r>
          </w:p>
        </w:tc>
      </w:tr>
      <w:tr>
        <w:trPr>
          <w:trHeight w:val="238"/>
        </w:trPr>
        <w:tc>
          <w:tcPr>
            <w:tcW w:w="58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8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400" w:type="dxa"/>
            <w:vAlign w:val="bottom"/>
          </w:tcPr>
          <w:p>
            <w:pPr>
              <w:spacing w:after="0"/>
              <w:rPr>
                <w:sz w:val="24"/>
                <w:szCs w:val="24"/>
                <w:color w:val="auto"/>
              </w:rPr>
            </w:pPr>
          </w:p>
        </w:tc>
      </w:tr>
      <w:tr>
        <w:trPr>
          <w:trHeight w:val="283"/>
        </w:trPr>
        <w:tc>
          <w:tcPr>
            <w:tcW w:w="5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PERRY S. BEBERMAN</w:t>
            </w:r>
          </w:p>
        </w:tc>
      </w:tr>
      <w:tr>
        <w:trPr>
          <w:trHeight w:val="232"/>
        </w:trPr>
        <w:tc>
          <w:tcPr>
            <w:tcW w:w="58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Perry S. Beberman</w:t>
            </w:r>
          </w:p>
        </w:tc>
      </w:tr>
    </w:tbl>
    <w:p>
      <w:pPr>
        <w:ind w:left="65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Ralph J. Andretta, certify that:</w:t>
      </w:r>
    </w:p>
    <w:p>
      <w:pPr>
        <w:spacing w:after="0" w:line="225" w:lineRule="exact"/>
        <w:rPr>
          <w:sz w:val="20"/>
          <w:szCs w:val="20"/>
          <w:color w:val="auto"/>
        </w:rPr>
      </w:pPr>
    </w:p>
    <w:p>
      <w:pPr>
        <w:ind w:left="260" w:hanging="225"/>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Perry S. Beberman, certify that:</w:t>
      </w:r>
    </w:p>
    <w:p>
      <w:pPr>
        <w:spacing w:after="0" w:line="225" w:lineRule="exact"/>
        <w:rPr>
          <w:sz w:val="20"/>
          <w:szCs w:val="20"/>
          <w:color w:val="auto"/>
        </w:rPr>
      </w:pPr>
    </w:p>
    <w:p>
      <w:pPr>
        <w:ind w:left="260" w:hanging="225"/>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Bread Financial Holdings, Inc.;</w:t>
      </w:r>
    </w:p>
    <w:p>
      <w:pPr>
        <w:spacing w:after="0" w:line="225" w:lineRule="exact"/>
        <w:rPr>
          <w:rFonts w:ascii="Times New Roman" w:cs="Times New Roman" w:eastAsia="Times New Roman" w:hAnsi="Times New Roman"/>
          <w:sz w:val="18"/>
          <w:szCs w:val="18"/>
          <w:color w:val="auto"/>
        </w:rPr>
      </w:pPr>
    </w:p>
    <w:p>
      <w:pPr>
        <w:jc w:val="both"/>
        <w:ind w:left="260" w:hanging="225"/>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25"/>
        <w:spacing w:after="0" w:line="266"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25"/>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Perry S. Beberman</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September 30, 2024,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31, 2024</w:t>
      </w: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ALPH</w:t>
      </w:r>
      <w:r>
        <w:rPr>
          <w:rFonts w:ascii="Times New Roman" w:cs="Times New Roman" w:eastAsia="Times New Roman" w:hAnsi="Times New Roman"/>
          <w:sz w:val="18"/>
          <w:szCs w:val="18"/>
          <w:color w:val="auto"/>
        </w:rPr>
        <w:t xml:space="preserve"> J. A</w:t>
      </w:r>
      <w:r>
        <w:rPr>
          <w:rFonts w:ascii="Times New Roman" w:cs="Times New Roman" w:eastAsia="Times New Roman" w:hAnsi="Times New Roman"/>
          <w:sz w:val="14"/>
          <w:szCs w:val="14"/>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Ralph J. Andretta</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Bread Financial Holdings, Inc. (the Company) for the quarterly period ended September 30, 2024,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560" w:hanging="309"/>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251"/>
        <w:spacing w:after="0" w:line="532" w:lineRule="auto"/>
        <w:tabs>
          <w:tab w:leader="none" w:pos="5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31, 2024</w:t>
      </w: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Perry S. Beberman</w:t>
      </w:r>
    </w:p>
    <w:p>
      <w:pPr>
        <w:spacing w:after="0" w:line="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7"/>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emdash "/>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83" Type="http://schemas.openxmlformats.org/officeDocument/2006/relationships/hyperlink" Target="https://www.sec.gov/Archives/edgar/data/1101215/000110121516000364/exhibit_3-2.htm" TargetMode="External"/><Relationship Id="rId84" Type="http://schemas.openxmlformats.org/officeDocument/2006/relationships/hyperlink" Target="https://www.sec.gov/Archives/edgar/data/1101215/000110121522000058/exhibit_3-1.htm" TargetMode="External"/><Relationship Id="rId85" Type="http://schemas.openxmlformats.org/officeDocument/2006/relationships/hyperlink" Target="https://www.sec.gov/Archives/edgar/data/1101215/000110121519000085/exhibit_3-1.htm" TargetMode="External"/><Relationship Id="rId86" Type="http://schemas.openxmlformats.org/officeDocument/2006/relationships/hyperlink" Target="https://www.sec.gov/Archives/edgar/data/1101215/000110121522000058/exhibit_3-2.htm" TargetMode="External"/><Relationship Id="rId87" Type="http://schemas.openxmlformats.org/officeDocument/2006/relationships/hyperlink" Target="https://www.sec.gov/Archives/edgar/data/1101215/000104746903026831/a2114800zex-4.htm" TargetMode="External"/><Relationship Id="rId88" Type="http://schemas.openxmlformats.org/officeDocument/2006/relationships/hyperlink" Target="https://www.sec.gov/Archives/edgar/data/1139552/000110121524000183/a7-31x24form8xkxexhibit991.htm" TargetMode="External"/><Relationship Id="rId89" Type="http://schemas.openxmlformats.org/officeDocument/2006/relationships/hyperlink" Target="https://www.sec.gov/Archives/edgar/data/1139552/000110121524000194/exhibit41series2024-bx8xk8.htm" TargetMode="External"/><Relationship Id="rId90" Type="http://schemas.openxmlformats.org/officeDocument/2006/relationships/hyperlink" Target="https://www.sec.gov/Archives/edgar/data/1139552/000110121524000199/exhibit991to8-31x24wfnform.htm" TargetMode="External"/><Relationship Id="rId91" Type="http://schemas.openxmlformats.org/officeDocument/2006/relationships/hyperlink" Target="https://www.sec.gov/Archives/edgar/data/1139552/000110121524000199/exhibit992to8-31x24wfnform.htm" TargetMode="External"/><Relationship Id="rId92" Type="http://schemas.openxmlformats.org/officeDocument/2006/relationships/hyperlink" Target="https://www.sec.gov/Archives/edgar/data/1139552/000110121524000208/a9-30x24wfnform8xkex991.htm" TargetMode="External"/><Relationship Id="rId93" Type="http://schemas.openxmlformats.org/officeDocument/2006/relationships/hyperlink" Target="https://www.sec.gov/Archives/edgar/data/1101215/000114036124043815/ef2003746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2024-10-31T05:20:30Z</dcterms:created>
  <dcterms:modified xsi:type="dcterms:W3CDTF">2024-10-31T05:20:30Z</dcterms:modified>
</cp:coreProperties>
</file>