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26,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145415</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145415</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Bread Financial Holdings,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156210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63" w:lineRule="exact"/>
        <w:rPr>
          <w:sz w:val="24"/>
          <w:szCs w:val="24"/>
          <w:color w:val="auto"/>
        </w:rPr>
      </w:pPr>
    </w:p>
    <w:tbl>
      <w:tblPr>
        <w:tblLayout w:type="fixed"/>
        <w:tblInd w:w="1520" w:type="dxa"/>
        <w:tblCellMar>
          <w:top w:w="0" w:type="dxa"/>
          <w:left w:w="0" w:type="dxa"/>
          <w:bottom w:w="0" w:type="dxa"/>
          <w:right w:w="0" w:type="dxa"/>
        </w:tblCellMar>
      </w:tblPr>
      <w:tr>
        <w:trPr>
          <w:trHeight w:val="211"/>
        </w:trPr>
        <w:tc>
          <w:tcPr>
            <w:tcW w:w="4300" w:type="dxa"/>
            <w:vAlign w:val="bottom"/>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31-1429215</w:t>
            </w:r>
          </w:p>
        </w:tc>
      </w:tr>
      <w:tr>
        <w:trPr>
          <w:trHeight w:val="147"/>
        </w:trPr>
        <w:tc>
          <w:tcPr>
            <w:tcW w:w="4300" w:type="dxa"/>
            <w:vAlign w:val="bottom"/>
          </w:tcPr>
          <w:p>
            <w:pPr>
              <w:jc w:val="center"/>
              <w:ind w:right="1760"/>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80" w:type="dxa"/>
            <w:vAlign w:val="bottom"/>
          </w:tcPr>
          <w:p>
            <w:pPr>
              <w:jc w:val="center"/>
              <w:ind w:left="1802"/>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4300" w:type="dxa"/>
            <w:vAlign w:val="bottom"/>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80" w:type="dxa"/>
            <w:vAlign w:val="bottom"/>
          </w:tcPr>
          <w:p>
            <w:pPr>
              <w:jc w:val="center"/>
              <w:ind w:left="18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3"/>
        </w:trPr>
        <w:tc>
          <w:tcPr>
            <w:tcW w:w="4300" w:type="dxa"/>
            <w:vAlign w:val="bottom"/>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3095 Loyalty Circle</w:t>
            </w:r>
          </w:p>
        </w:tc>
        <w:tc>
          <w:tcPr>
            <w:tcW w:w="2980" w:type="dxa"/>
            <w:vAlign w:val="bottom"/>
          </w:tcPr>
          <w:p>
            <w:pPr>
              <w:spacing w:after="0"/>
              <w:rPr>
                <w:sz w:val="24"/>
                <w:szCs w:val="24"/>
                <w:color w:val="auto"/>
              </w:rPr>
            </w:pPr>
          </w:p>
        </w:tc>
      </w:tr>
      <w:tr>
        <w:trPr>
          <w:trHeight w:val="225"/>
        </w:trPr>
        <w:tc>
          <w:tcPr>
            <w:tcW w:w="4300" w:type="dxa"/>
            <w:vAlign w:val="bottom"/>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Columbus, Ohio</w:t>
            </w:r>
          </w:p>
        </w:tc>
        <w:tc>
          <w:tcPr>
            <w:tcW w:w="2980" w:type="dxa"/>
            <w:vAlign w:val="bottom"/>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43219</w:t>
            </w:r>
          </w:p>
        </w:tc>
      </w:tr>
      <w:tr>
        <w:trPr>
          <w:trHeight w:val="187"/>
        </w:trPr>
        <w:tc>
          <w:tcPr>
            <w:tcW w:w="4300" w:type="dxa"/>
            <w:vAlign w:val="bottom"/>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80" w:type="dxa"/>
            <w:vAlign w:val="bottom"/>
          </w:tcPr>
          <w:p>
            <w:pPr>
              <w:jc w:val="center"/>
              <w:ind w:left="1802"/>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Bread Financial Holdings, Inc. 2026 Employee Stock Purchase Plan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Joseph L. Motes III</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and Administrative Officer and Secretary</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7500 Dallas Parkway, Suite 700</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Plano, Texas 75024</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(214) 494-3000</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With a copy to</w:t>
      </w:r>
      <w:r>
        <w:rPr>
          <w:rFonts w:ascii="Times New Roman" w:cs="Times New Roman" w:eastAsia="Times New Roman" w:hAnsi="Times New Roman"/>
          <w:sz w:val="18"/>
          <w:szCs w:val="18"/>
          <w:color w:val="auto"/>
        </w:rPr>
        <w:t>:</w:t>
      </w:r>
    </w:p>
    <w:p>
      <w:pPr>
        <w:spacing w:after="0" w:line="1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Garrett A. DeVries</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Irina V. Maistrenko</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Akin Gump Strauss Hauer &amp; Feld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2300 N. Field Street, Suite 1800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Dallas, Texas 75201-2481</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(214) 969-2800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156845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28"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0" w:lineRule="exact"/>
        <w:rPr>
          <w:sz w:val="20"/>
          <w:szCs w:val="20"/>
          <w:color w:val="auto"/>
        </w:rPr>
      </w:pPr>
    </w:p>
    <w:p>
      <w:pPr>
        <w:ind w:left="6" w:firstLine="436"/>
        <w:spacing w:after="0" w:line="269" w:lineRule="auto"/>
        <w:rPr>
          <w:sz w:val="20"/>
          <w:szCs w:val="20"/>
          <w:color w:val="auto"/>
        </w:rPr>
      </w:pPr>
      <w:r>
        <w:rPr>
          <w:rFonts w:ascii="Times New Roman" w:cs="Times New Roman" w:eastAsia="Times New Roman" w:hAnsi="Times New Roman"/>
          <w:sz w:val="17"/>
          <w:szCs w:val="17"/>
          <w:color w:val="auto"/>
        </w:rPr>
        <w:t>This Registration Statement on Form S-8 (this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is filed by Bread Financial Holdings, Inc., a Delaware corporation (“</w:t>
      </w:r>
      <w:r>
        <w:rPr>
          <w:rFonts w:ascii="Times New Roman" w:cs="Times New Roman" w:eastAsia="Times New Roman" w:hAnsi="Times New Roman"/>
          <w:sz w:val="17"/>
          <w:szCs w:val="17"/>
          <w:b w:val="1"/>
          <w:bCs w:val="1"/>
          <w:i w:val="1"/>
          <w:iCs w:val="1"/>
          <w:color w:val="auto"/>
        </w:rPr>
        <w:t>Bread Financial</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i w:val="1"/>
          <w:iCs w:val="1"/>
          <w:color w:val="auto"/>
        </w:rPr>
        <w:t>Registrant</w:t>
      </w:r>
      <w:r>
        <w:rPr>
          <w:rFonts w:ascii="Times New Roman" w:cs="Times New Roman" w:eastAsia="Times New Roman" w:hAnsi="Times New Roman"/>
          <w:sz w:val="17"/>
          <w:szCs w:val="17"/>
          <w:color w:val="auto"/>
        </w:rPr>
        <w:t xml:space="preserve">”), for the purpose of registering up to an aggregate of </w:t>
      </w:r>
      <w:r>
        <w:rPr>
          <w:rFonts w:ascii="Times New Roman" w:cs="Times New Roman" w:eastAsia="Times New Roman" w:hAnsi="Times New Roman"/>
          <w:sz w:val="17"/>
          <w:szCs w:val="17"/>
          <w:b w:val="1"/>
          <w:bCs w:val="1"/>
          <w:color w:val="auto"/>
        </w:rPr>
        <w:t>1,425,831</w:t>
      </w:r>
      <w:r>
        <w:rPr>
          <w:rFonts w:ascii="Times New Roman" w:cs="Times New Roman" w:eastAsia="Times New Roman" w:hAnsi="Times New Roman"/>
          <w:sz w:val="17"/>
          <w:szCs w:val="17"/>
          <w:color w:val="auto"/>
        </w:rPr>
        <w:t xml:space="preserve"> shares of the Registrant’s common stock, par value $0.01 per share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authorized and reserved for issuance pursuant to the Bread Financial Holdings, Inc. 2026 Employee Stock Purchase Plan (the “</w:t>
      </w:r>
      <w:r>
        <w:rPr>
          <w:rFonts w:ascii="Times New Roman" w:cs="Times New Roman" w:eastAsia="Times New Roman" w:hAnsi="Times New Roman"/>
          <w:sz w:val="17"/>
          <w:szCs w:val="17"/>
          <w:b w:val="1"/>
          <w:bCs w:val="1"/>
          <w:i w:val="1"/>
          <w:iCs w:val="1"/>
          <w:color w:val="auto"/>
        </w:rPr>
        <w:t>2026 ESPP</w:t>
      </w:r>
      <w:r>
        <w:rPr>
          <w:rFonts w:ascii="Times New Roman" w:cs="Times New Roman" w:eastAsia="Times New Roman" w:hAnsi="Times New Roman"/>
          <w:sz w:val="17"/>
          <w:szCs w:val="17"/>
          <w:color w:val="auto"/>
        </w:rPr>
        <w:t xml:space="preserve">”), consisting of up to: (i) </w:t>
      </w:r>
      <w:r>
        <w:rPr>
          <w:rFonts w:ascii="Times New Roman" w:cs="Times New Roman" w:eastAsia="Times New Roman" w:hAnsi="Times New Roman"/>
          <w:sz w:val="17"/>
          <w:szCs w:val="17"/>
          <w:b w:val="1"/>
          <w:bCs w:val="1"/>
          <w:color w:val="auto"/>
        </w:rPr>
        <w:t>1,000,000</w:t>
      </w:r>
      <w:r>
        <w:rPr>
          <w:rFonts w:ascii="Times New Roman" w:cs="Times New Roman" w:eastAsia="Times New Roman" w:hAnsi="Times New Roman"/>
          <w:sz w:val="17"/>
          <w:szCs w:val="17"/>
          <w:color w:val="auto"/>
        </w:rPr>
        <w:t xml:space="preserve"> new shares of Common Stock reserved for issuance under the 2026 ESPP; and</w:t>
      </w:r>
    </w:p>
    <w:p>
      <w:pPr>
        <w:spacing w:after="0" w:line="1" w:lineRule="exact"/>
        <w:rPr>
          <w:sz w:val="20"/>
          <w:szCs w:val="20"/>
          <w:color w:val="auto"/>
        </w:rPr>
      </w:pPr>
    </w:p>
    <w:p>
      <w:pPr>
        <w:ind w:left="6" w:right="100" w:hanging="6"/>
        <w:spacing w:after="0" w:line="248" w:lineRule="auto"/>
        <w:tabs>
          <w:tab w:leader="none" w:pos="26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425,831 </w:t>
      </w:r>
      <w:r>
        <w:rPr>
          <w:rFonts w:ascii="Times New Roman" w:cs="Times New Roman" w:eastAsia="Times New Roman" w:hAnsi="Times New Roman"/>
          <w:sz w:val="18"/>
          <w:szCs w:val="18"/>
          <w:color w:val="auto"/>
        </w:rPr>
        <w:t>shares of Common Stock that remained available for sale under the Registrant’s 2015 Employee Stock Purchase Plan (the “</w:t>
      </w:r>
      <w:r>
        <w:rPr>
          <w:rFonts w:ascii="Times New Roman" w:cs="Times New Roman" w:eastAsia="Times New Roman" w:hAnsi="Times New Roman"/>
          <w:sz w:val="18"/>
          <w:szCs w:val="18"/>
          <w:b w:val="1"/>
          <w:bCs w:val="1"/>
          <w:i w:val="1"/>
          <w:iCs w:val="1"/>
          <w:color w:val="auto"/>
        </w:rPr>
        <w:t>2015 ESPP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prior to May 19, 2026, the effective date of the 2026 ESPP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The aggregate number of all such shares is subject to adjustment upon certain capitalization events as provided in the 2026 ESPP. Shares subject to the 2026 ESPP may consist of authorized but unissued shares, treasury shares or shares purchased on the open market. The 2026 ESPP was approved by the Compensation &amp; Human Capital Committee of Bread Financial’s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on March 26, 2026 and adopted by the Board on April 1, 2026, in each case, subject to stockholder approval, which approval was obtained at its 2026 Annual Meeting of Stockholders on the Effective Date. No new offerings will be made under the 2015 ESPP on or after the Effective Date, and the outstanding shares available for purchase under the 2015 ESPP as of immediately prior to the Effective Date will be made available, and reserved for purchase, under the 2026 ESPP, in addition to the 1,000,000 new shares reserved under the 2026 ESPP.</w:t>
      </w:r>
    </w:p>
    <w:p>
      <w:pPr>
        <w:spacing w:after="0" w:line="200" w:lineRule="exact"/>
        <w:rPr>
          <w:sz w:val="20"/>
          <w:szCs w:val="20"/>
          <w:color w:val="auto"/>
        </w:rPr>
      </w:pPr>
    </w:p>
    <w:p>
      <w:pPr>
        <w:spacing w:after="0" w:line="203"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The documents containing the information specified in Part I of this Registration Statement will be sent or given to the Registrant’s officers,</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employees, consultants and directors, as specified by Rule 428(b)(1) promulgated under the Securities Act of 1933, as amended (the “</w:t>
      </w:r>
      <w:r>
        <w:rPr>
          <w:rFonts w:ascii="Times New Roman" w:cs="Times New Roman" w:eastAsia="Times New Roman" w:hAnsi="Times New Roman"/>
          <w:sz w:val="18"/>
          <w:szCs w:val="18"/>
          <w:b w:val="1"/>
          <w:bCs w:val="1"/>
          <w:i w:val="1"/>
          <w:iCs w:val="1"/>
          <w:color w:val="auto"/>
        </w:rPr>
        <w:t>Securities</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Such documents need not be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either as part of this Registration Statement or as</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prospectuses or prospectus supplements pursuant to Rule 424 promulgated under the Securities Act. These documents and the documents incorporated</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by reference in this Registration Statement pursuant to Item 3 of Part II of this Registration Statement, taken together, constitute a prospectus that meets</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requirement of Section 10(a) of the Securities Act.</w:t>
      </w:r>
    </w:p>
    <w:p>
      <w:pPr>
        <w:spacing w:after="0" w:line="200" w:lineRule="exact"/>
        <w:rPr>
          <w:sz w:val="20"/>
          <w:szCs w:val="20"/>
          <w:color w:val="auto"/>
        </w:rPr>
      </w:pPr>
    </w:p>
    <w:p>
      <w:pPr>
        <w:spacing w:after="0" w:line="211"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686"/>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SEC are incorporated by reference into this Registration Statement:</w:t>
      </w:r>
    </w:p>
    <w:p>
      <w:pPr>
        <w:spacing w:after="0" w:line="127" w:lineRule="exact"/>
        <w:rPr>
          <w:sz w:val="20"/>
          <w:szCs w:val="20"/>
          <w:color w:val="auto"/>
        </w:rPr>
      </w:pPr>
    </w:p>
    <w:p>
      <w:pPr>
        <w:ind w:left="966" w:hanging="539"/>
        <w:spacing w:after="0"/>
        <w:tabs>
          <w:tab w:leader="none" w:pos="9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on February 13, 2026.</w:t>
      </w:r>
    </w:p>
    <w:p>
      <w:pPr>
        <w:spacing w:after="0" w:line="126" w:lineRule="exact"/>
        <w:rPr>
          <w:rFonts w:ascii="Times New Roman" w:cs="Times New Roman" w:eastAsia="Times New Roman" w:hAnsi="Times New Roman"/>
          <w:sz w:val="18"/>
          <w:szCs w:val="18"/>
          <w:color w:val="auto"/>
        </w:rPr>
      </w:pPr>
    </w:p>
    <w:p>
      <w:pPr>
        <w:ind w:left="966" w:right="260" w:hanging="539"/>
        <w:spacing w:after="0" w:line="277" w:lineRule="auto"/>
        <w:tabs>
          <w:tab w:leader="none" w:pos="9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Registrant’s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2025 from the Registrant’s Definitive Proxy Statement on </w:t>
      </w:r>
      <w:hyperlink r:id="rId18">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7, 2026.</w:t>
      </w:r>
    </w:p>
    <w:p>
      <w:pPr>
        <w:spacing w:after="0" w:line="69"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Quarterly Report on </w:t>
      </w:r>
      <w:hyperlink r:id="rId1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on April 28, 2026.</w:t>
      </w:r>
    </w:p>
    <w:p>
      <w:pPr>
        <w:spacing w:after="0" w:line="126" w:lineRule="exact"/>
        <w:rPr>
          <w:rFonts w:ascii="Times New Roman" w:cs="Times New Roman" w:eastAsia="Times New Roman" w:hAnsi="Times New Roman"/>
          <w:sz w:val="18"/>
          <w:szCs w:val="18"/>
          <w:color w:val="auto"/>
        </w:rPr>
      </w:pPr>
    </w:p>
    <w:p>
      <w:pPr>
        <w:ind w:left="966" w:right="20" w:hanging="539"/>
        <w:spacing w:after="0" w:line="277" w:lineRule="auto"/>
        <w:tabs>
          <w:tab w:leader="none" w:pos="9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Current Reports on Form 8-K filed since December 31, 2025 (other than that information furnished pursuant to Item 2.02 or Item 7.01 on Form 8-K):</w:t>
      </w:r>
    </w:p>
    <w:p>
      <w:pPr>
        <w:spacing w:after="0" w:line="69" w:lineRule="exact"/>
        <w:rPr>
          <w:rFonts w:ascii="Times New Roman" w:cs="Times New Roman" w:eastAsia="Times New Roman" w:hAnsi="Times New Roman"/>
          <w:sz w:val="18"/>
          <w:szCs w:val="18"/>
          <w:color w:val="auto"/>
        </w:rPr>
      </w:pPr>
    </w:p>
    <w:p>
      <w:pPr>
        <w:ind w:left="2066" w:hanging="543"/>
        <w:spacing w:after="0"/>
        <w:tabs>
          <w:tab w:leader="none" w:pos="206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 on Form 8-K filed on </w:t>
      </w:r>
      <w:hyperlink r:id="rId20">
        <w:r>
          <w:rPr>
            <w:rFonts w:ascii="Times New Roman" w:cs="Times New Roman" w:eastAsia="Times New Roman" w:hAnsi="Times New Roman"/>
            <w:sz w:val="18"/>
            <w:szCs w:val="18"/>
            <w:u w:val="single" w:color="auto"/>
            <w:color w:val="0000EE"/>
          </w:rPr>
          <w:t>May 12, 2026</w:t>
        </w:r>
      </w:hyperlink>
      <w:r>
        <w:rPr>
          <w:rFonts w:ascii="Times New Roman" w:cs="Times New Roman" w:eastAsia="Times New Roman" w:hAnsi="Times New Roman"/>
          <w:sz w:val="18"/>
          <w:szCs w:val="18"/>
          <w:color w:val="auto"/>
        </w:rPr>
        <w:t>, reporting Items 3.03, 5.03, 8.01 and 9.01;</w:t>
      </w:r>
    </w:p>
    <w:p>
      <w:pPr>
        <w:spacing w:after="0" w:line="126" w:lineRule="exact"/>
        <w:rPr>
          <w:rFonts w:ascii="Times New Roman" w:cs="Times New Roman" w:eastAsia="Times New Roman" w:hAnsi="Times New Roman"/>
          <w:sz w:val="18"/>
          <w:szCs w:val="18"/>
          <w:color w:val="auto"/>
        </w:rPr>
      </w:pPr>
    </w:p>
    <w:p>
      <w:pPr>
        <w:ind w:left="2066" w:hanging="543"/>
        <w:spacing w:after="0"/>
        <w:tabs>
          <w:tab w:leader="none" w:pos="206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 on Form 8-K filed on </w:t>
      </w:r>
      <w:hyperlink r:id="rId21">
        <w:r>
          <w:rPr>
            <w:rFonts w:ascii="Times New Roman" w:cs="Times New Roman" w:eastAsia="Times New Roman" w:hAnsi="Times New Roman"/>
            <w:sz w:val="18"/>
            <w:szCs w:val="18"/>
            <w:u w:val="single" w:color="auto"/>
            <w:color w:val="0000EE"/>
          </w:rPr>
          <w:t>May 6, 2026</w:t>
        </w:r>
      </w:hyperlink>
      <w:r>
        <w:rPr>
          <w:rFonts w:ascii="Times New Roman" w:cs="Times New Roman" w:eastAsia="Times New Roman" w:hAnsi="Times New Roman"/>
          <w:sz w:val="18"/>
          <w:szCs w:val="18"/>
          <w:color w:val="auto"/>
        </w:rPr>
        <w:t>, reporting Items 8.01 and 9.01;</w:t>
      </w:r>
    </w:p>
    <w:p>
      <w:pPr>
        <w:spacing w:after="0" w:line="154" w:lineRule="exact"/>
        <w:rPr>
          <w:rFonts w:ascii="Times New Roman" w:cs="Times New Roman" w:eastAsia="Times New Roman" w:hAnsi="Times New Roman"/>
          <w:sz w:val="18"/>
          <w:szCs w:val="18"/>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6"/>
          </w:cols>
          <w:pgMar w:left="494" w:top="264" w:right="539" w:bottom="1440" w:gutter="0" w:footer="0" w:header="0"/>
        </w:sectPr>
      </w:pPr>
    </w:p>
    <w:bookmarkStart w:id="2" w:name="page3"/>
    <w:bookmarkEnd w:id="2"/>
    <w:p>
      <w:pPr>
        <w:ind w:left="2060" w:hanging="543"/>
        <w:spacing w:after="0"/>
        <w:tabs>
          <w:tab w:leader="none" w:pos="20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Current Report on Form 8-K filed on </w:t>
      </w:r>
      <w:hyperlink r:id="rId23">
        <w:r>
          <w:rPr>
            <w:rFonts w:ascii="Times New Roman" w:cs="Times New Roman" w:eastAsia="Times New Roman" w:hAnsi="Times New Roman"/>
            <w:sz w:val="18"/>
            <w:szCs w:val="18"/>
            <w:u w:val="single" w:color="auto"/>
            <w:color w:val="0000EE"/>
          </w:rPr>
          <w:t>May 5, 2026</w:t>
        </w:r>
      </w:hyperlink>
      <w:r>
        <w:rPr>
          <w:rFonts w:ascii="Times New Roman" w:cs="Times New Roman" w:eastAsia="Times New Roman" w:hAnsi="Times New Roman"/>
          <w:sz w:val="18"/>
          <w:szCs w:val="18"/>
          <w:color w:val="auto"/>
        </w:rPr>
        <w:t>, reporting Items 8.01 and 9.01;</w:t>
      </w:r>
    </w:p>
    <w:p>
      <w:pPr>
        <w:spacing w:after="0" w:line="126" w:lineRule="exact"/>
        <w:rPr>
          <w:rFonts w:ascii="Times New Roman" w:cs="Times New Roman" w:eastAsia="Times New Roman" w:hAnsi="Times New Roman"/>
          <w:sz w:val="18"/>
          <w:szCs w:val="18"/>
          <w:color w:val="auto"/>
        </w:rPr>
      </w:pPr>
    </w:p>
    <w:p>
      <w:pPr>
        <w:ind w:left="2060" w:hanging="543"/>
        <w:spacing w:after="0"/>
        <w:tabs>
          <w:tab w:leader="none" w:pos="20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 on Form 8-K filed on </w:t>
      </w:r>
      <w:hyperlink r:id="rId24">
        <w:r>
          <w:rPr>
            <w:rFonts w:ascii="Times New Roman" w:cs="Times New Roman" w:eastAsia="Times New Roman" w:hAnsi="Times New Roman"/>
            <w:sz w:val="18"/>
            <w:szCs w:val="18"/>
            <w:u w:val="single" w:color="auto"/>
            <w:color w:val="0000EE"/>
          </w:rPr>
          <w:t>April 23, 2026</w:t>
        </w:r>
      </w:hyperlink>
      <w:r>
        <w:rPr>
          <w:rFonts w:ascii="Times New Roman" w:cs="Times New Roman" w:eastAsia="Times New Roman" w:hAnsi="Times New Roman"/>
          <w:sz w:val="18"/>
          <w:szCs w:val="18"/>
          <w:color w:val="auto"/>
        </w:rPr>
        <w:t>, reporting Items 8.01 and 9.01 (excluding Items 2.02 and 7.01);</w:t>
      </w:r>
    </w:p>
    <w:p>
      <w:pPr>
        <w:spacing w:after="0" w:line="126" w:lineRule="exact"/>
        <w:rPr>
          <w:rFonts w:ascii="Times New Roman" w:cs="Times New Roman" w:eastAsia="Times New Roman" w:hAnsi="Times New Roman"/>
          <w:sz w:val="18"/>
          <w:szCs w:val="18"/>
          <w:color w:val="auto"/>
        </w:rPr>
      </w:pPr>
    </w:p>
    <w:p>
      <w:pPr>
        <w:ind w:left="2060" w:hanging="543"/>
        <w:spacing w:after="0"/>
        <w:tabs>
          <w:tab w:leader="none" w:pos="20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 on Form 8-K filed on </w:t>
      </w:r>
      <w:hyperlink r:id="rId25">
        <w:r>
          <w:rPr>
            <w:rFonts w:ascii="Times New Roman" w:cs="Times New Roman" w:eastAsia="Times New Roman" w:hAnsi="Times New Roman"/>
            <w:sz w:val="18"/>
            <w:szCs w:val="18"/>
            <w:u w:val="single" w:color="auto"/>
            <w:color w:val="0000EE"/>
          </w:rPr>
          <w:t>February 18, 2026</w:t>
        </w:r>
      </w:hyperlink>
      <w:r>
        <w:rPr>
          <w:rFonts w:ascii="Times New Roman" w:cs="Times New Roman" w:eastAsia="Times New Roman" w:hAnsi="Times New Roman"/>
          <w:sz w:val="18"/>
          <w:szCs w:val="18"/>
          <w:color w:val="auto"/>
        </w:rPr>
        <w:t>, reporting Items 1.01 and 1.02;</w:t>
      </w:r>
    </w:p>
    <w:p>
      <w:pPr>
        <w:spacing w:after="0" w:line="126" w:lineRule="exact"/>
        <w:rPr>
          <w:rFonts w:ascii="Times New Roman" w:cs="Times New Roman" w:eastAsia="Times New Roman" w:hAnsi="Times New Roman"/>
          <w:sz w:val="18"/>
          <w:szCs w:val="18"/>
          <w:color w:val="auto"/>
        </w:rPr>
      </w:pPr>
    </w:p>
    <w:p>
      <w:pPr>
        <w:ind w:left="2060" w:hanging="543"/>
        <w:spacing w:after="0"/>
        <w:tabs>
          <w:tab w:leader="none" w:pos="20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Current Report on Form 8-K filed on </w:t>
      </w:r>
      <w:hyperlink r:id="rId26">
        <w:r>
          <w:rPr>
            <w:rFonts w:ascii="Times New Roman" w:cs="Times New Roman" w:eastAsia="Times New Roman" w:hAnsi="Times New Roman"/>
            <w:sz w:val="17"/>
            <w:szCs w:val="17"/>
            <w:u w:val="single" w:color="auto"/>
            <w:color w:val="0000EE"/>
          </w:rPr>
          <w:t>January 29, 2026</w:t>
        </w:r>
      </w:hyperlink>
      <w:r>
        <w:rPr>
          <w:rFonts w:ascii="Times New Roman" w:cs="Times New Roman" w:eastAsia="Times New Roman" w:hAnsi="Times New Roman"/>
          <w:sz w:val="17"/>
          <w:szCs w:val="17"/>
          <w:color w:val="auto"/>
        </w:rPr>
        <w:t>, reporting Items 8.01 and 9.01 (excluding Items 2.02 and 7.01); and</w:t>
      </w:r>
    </w:p>
    <w:p>
      <w:pPr>
        <w:spacing w:after="0" w:line="138" w:lineRule="exact"/>
        <w:rPr>
          <w:rFonts w:ascii="Times New Roman" w:cs="Times New Roman" w:eastAsia="Times New Roman" w:hAnsi="Times New Roman"/>
          <w:sz w:val="17"/>
          <w:szCs w:val="17"/>
          <w:color w:val="auto"/>
        </w:rPr>
      </w:pPr>
    </w:p>
    <w:p>
      <w:pPr>
        <w:ind w:left="2060" w:hanging="543"/>
        <w:spacing w:after="0"/>
        <w:tabs>
          <w:tab w:leader="none" w:pos="20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 on Form 8-K filed on </w:t>
      </w:r>
      <w:hyperlink r:id="rId27">
        <w:r>
          <w:rPr>
            <w:rFonts w:ascii="Times New Roman" w:cs="Times New Roman" w:eastAsia="Times New Roman" w:hAnsi="Times New Roman"/>
            <w:sz w:val="18"/>
            <w:szCs w:val="18"/>
            <w:u w:val="single" w:color="auto"/>
            <w:color w:val="0000EE"/>
          </w:rPr>
          <w:t>May 22, 2026</w:t>
        </w:r>
      </w:hyperlink>
      <w:r>
        <w:rPr>
          <w:rFonts w:ascii="Times New Roman" w:cs="Times New Roman" w:eastAsia="Times New Roman" w:hAnsi="Times New Roman"/>
          <w:sz w:val="18"/>
          <w:szCs w:val="18"/>
          <w:color w:val="auto"/>
        </w:rPr>
        <w:t>, reporting Item 5.07.</w:t>
      </w:r>
    </w:p>
    <w:p>
      <w:pPr>
        <w:spacing w:after="0" w:line="126" w:lineRule="exact"/>
        <w:rPr>
          <w:rFonts w:ascii="Times New Roman" w:cs="Times New Roman" w:eastAsia="Times New Roman" w:hAnsi="Times New Roman"/>
          <w:sz w:val="18"/>
          <w:szCs w:val="18"/>
          <w:color w:val="auto"/>
        </w:rPr>
      </w:pPr>
    </w:p>
    <w:p>
      <w:pPr>
        <w:ind w:left="960" w:hanging="539"/>
        <w:spacing w:after="0" w:line="26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capital stock included as </w:t>
      </w:r>
      <w:hyperlink r:id="rId28">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Form 10-K for the year ended December 31, 2025 filed on February 13, 2026 and any amendments or reports filed for the purpose of updating such description, including </w:t>
      </w:r>
      <w:hyperlink r:id="rId2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May 12, 2026.</w:t>
      </w:r>
    </w:p>
    <w:p>
      <w:pPr>
        <w:spacing w:after="0" w:line="177" w:lineRule="exact"/>
        <w:rPr>
          <w:rFonts w:ascii="Times New Roman" w:cs="Times New Roman" w:eastAsia="Times New Roman" w:hAnsi="Times New Roman"/>
          <w:sz w:val="18"/>
          <w:szCs w:val="18"/>
          <w:color w:val="auto"/>
        </w:rPr>
      </w:pPr>
    </w:p>
    <w:p>
      <w:pPr>
        <w:ind w:right="40" w:firstLine="436"/>
        <w:spacing w:after="0" w:line="252" w:lineRule="auto"/>
        <w:rPr>
          <w:sz w:val="20"/>
          <w:szCs w:val="20"/>
          <w:color w:val="auto"/>
        </w:rPr>
      </w:pPr>
      <w:r>
        <w:rPr>
          <w:rFonts w:ascii="Times New Roman" w:cs="Times New Roman" w:eastAsia="Times New Roman" w:hAnsi="Times New Roman"/>
          <w:sz w:val="18"/>
          <w:szCs w:val="18"/>
          <w:color w:val="auto"/>
        </w:rPr>
        <w:t>In addition, all documents subsequently filed by the Registrant pursuant to Sections 13(a), 13(c), 14 and 15(d) of the Exchange Act (other than those furnished pursuant to Item 2.02 or Item 7.01 on Form 8-K),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modifies or supersedes such statement. Any such statement so modified or superseded shall not be deemed, except as so modified or superseded, to constitute a part of this Registration Statement.</w:t>
      </w:r>
    </w:p>
    <w:p>
      <w:pPr>
        <w:spacing w:after="0" w:line="12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8"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4. Description of Securities.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18" w:lineRule="exact"/>
        <w:rPr>
          <w:sz w:val="20"/>
          <w:szCs w:val="20"/>
          <w:color w:val="auto"/>
        </w:rPr>
      </w:pPr>
    </w:p>
    <w:p>
      <w:pPr>
        <w:ind w:right="40" w:firstLine="436"/>
        <w:spacing w:after="0" w:line="271" w:lineRule="auto"/>
        <w:rPr>
          <w:sz w:val="20"/>
          <w:szCs w:val="20"/>
          <w:color w:val="auto"/>
        </w:rPr>
      </w:pPr>
      <w:r>
        <w:rPr>
          <w:rFonts w:ascii="Times New Roman" w:cs="Times New Roman" w:eastAsia="Times New Roman" w:hAnsi="Times New Roman"/>
          <w:sz w:val="17"/>
          <w:szCs w:val="17"/>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The third amended and restated certificate of incorporation of Bread Financial, as amended, provides that, to the fullest extent permitted by the General Corporation Law of the State of Delaware, no director of Bread Financial shall be liable to it or its stockholders for monetary damages for any breach of fiduciary duty as director.</w:t>
      </w:r>
    </w:p>
    <w:p>
      <w:pPr>
        <w:spacing w:after="0" w:line="172" w:lineRule="exact"/>
        <w:rPr>
          <w:sz w:val="20"/>
          <w:szCs w:val="20"/>
          <w:color w:val="auto"/>
        </w:rPr>
      </w:pPr>
    </w:p>
    <w:p>
      <w:pPr>
        <w:ind w:right="20" w:firstLine="436"/>
        <w:spacing w:after="0" w:line="268" w:lineRule="auto"/>
        <w:rPr>
          <w:sz w:val="20"/>
          <w:szCs w:val="20"/>
          <w:color w:val="auto"/>
        </w:rPr>
      </w:pPr>
      <w:r>
        <w:rPr>
          <w:rFonts w:ascii="Times New Roman" w:cs="Times New Roman" w:eastAsia="Times New Roman" w:hAnsi="Times New Roman"/>
          <w:sz w:val="17"/>
          <w:szCs w:val="17"/>
          <w:color w:val="auto"/>
        </w:rPr>
        <w:t>Section 145 of the General Corporation Law of the State of Delaware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73"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The third amended and restated certificate of incorporation of Bread Financial, as amended, provides that Bread Financial will indemnify any person who was or is a party or threatened to be made a party to any threatened, pending or completed action, suit or proceeding, whether civil, criminal, administrative, arbitrative or investigative, any appeal in such an action, suit or proceeding and any inquiry or investigation that could lead to such an action, suit or proceeding (whether or not by or in the right of Bread Financial) by reason of the fact that he or she is or was a director, officer, employee or agent of Bread Financial, or is or was serving at Bread Financial’s request as a director, officer, partner, venturer, proprietor, trustee, employee, agent or in a similar capacity with another corporation, partnership, joint venture, sole proprietorship, trust, nonprofit entity, employee benefit plan or other enterprise, against all judgments, penalties (including excise and similar taxes), fines, settlements and expenses (including attorneys’ fees and court costs), actually and reasonably incurred by or on behalf of the indemnitee in connection with such action, suit or proceeding, to the fullest extent permitted by any applicable law. Under certain circumstances, expenses must be advanced to directors and officers, and may be advanced to other indemnitees. Directors and officers are required to provide Bread Financial with an undertaking to repay the advance if it is ultimately determined that such person is not entitled to be indemnified by Bread Financial.</w:t>
      </w:r>
    </w:p>
    <w:p>
      <w:pPr>
        <w:spacing w:after="0" w:line="193" w:lineRule="exact"/>
        <w:rPr>
          <w:sz w:val="20"/>
          <w:szCs w:val="20"/>
          <w:color w:val="auto"/>
        </w:rPr>
      </w:pPr>
    </w:p>
    <w:p>
      <w:pPr>
        <w:ind w:right="140" w:firstLine="436"/>
        <w:spacing w:after="0" w:line="252" w:lineRule="auto"/>
        <w:rPr>
          <w:sz w:val="20"/>
          <w:szCs w:val="20"/>
          <w:color w:val="auto"/>
        </w:rPr>
      </w:pPr>
      <w:r>
        <w:rPr>
          <w:rFonts w:ascii="Times New Roman" w:cs="Times New Roman" w:eastAsia="Times New Roman" w:hAnsi="Times New Roman"/>
          <w:sz w:val="18"/>
          <w:szCs w:val="18"/>
          <w:color w:val="auto"/>
        </w:rPr>
        <w:t>The sixth amended and restated bylaws of Bread Financial further provide that any person entitled to indemnification will only be indemnified if such person acted in good faith and in a manner which the person reasonably believed to be in, or not opposed to, the best interests of Bread Financial, and, with respect to any criminal action or proceeding, had no reasonable cause to believe his or her conduct was unlawful. The sixth amended and restated bylaws further provide that Bread Financial will indemnify any person who was or is a party to or is threatened to be made a party to any threatened, pending or completed action or suit by or in the right of Bread Financial to procure a judgment in favor of Bread Financial by reason of the fact that such person is or was a director, officer, employee or agent of Bread Financial, or is or was serving at the request of Bread Financial, as a director, officer, employee or agent of another corporation, partnership, joint venture, trust or other enterprise,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4" w:right="519" w:bottom="1440" w:gutter="0" w:footer="0" w:header="0"/>
        </w:sectPr>
      </w:pPr>
    </w:p>
    <w:bookmarkStart w:id="4" w:name="page5"/>
    <w:bookmarkEnd w:id="4"/>
    <w:p>
      <w:pPr>
        <w:ind w:right="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against expenses (including attorneys’ fees) actually and reasonably incurred by the person in connection with the defense or settlement of such action or suit, if the person acted in good faith and in a manner which the person reasonably believed to be in, or not opposed to, Bread Financial’s best interests, except that no indemnification shall be made with respect to any claim, issue or matter as to which such person shall have been adjudged to be liable to Bread Financial, unless, and only to the extent, that the Court of Chancery of Delaware or the court in which such action or suit was brought shall determine upon application that, despite the adjudication of such liability but in view of all the circumstances of the case, such person is fairly and reasonably entitled to indemnity for such expense (including attorney’s fees) which the Court of Chancery of Delaware or such other court shall deem proper. To the extent that a present or former director or officer has been successful on the merits or otherwise in defense of any action, suit or proceeding, or any claim, issue or matter therein, such person shall be indemnified by Bread Financial against expenses (including attorneys’ fees) actually and reasonably incurred in connection therewith.</w:t>
      </w:r>
    </w:p>
    <w:p>
      <w:pPr>
        <w:spacing w:after="0" w:line="189"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7"/>
          <w:szCs w:val="17"/>
          <w:color w:val="auto"/>
        </w:rPr>
        <w:t>Unless ordered by a court, Bread Financial can only indemnify a person if it is authorized after a determination has been made that the person has met the proper standard of conduct set forth in Bread Financial’s six amended and restated bylaws. These determinations shall be made, with respect to a person who is a director or officer at the time of the determination (1) by a majority of the vote of directors who are not parties to the action, or a committee thereof, (2) under certain circumstances, by independent legal counsel in a written opinion or (3) by the stockholders of Bread Financial.</w:t>
      </w:r>
    </w:p>
    <w:p>
      <w:pPr>
        <w:spacing w:after="0" w:line="166" w:lineRule="exact"/>
        <w:rPr>
          <w:sz w:val="20"/>
          <w:szCs w:val="20"/>
          <w:color w:val="auto"/>
        </w:rPr>
      </w:pPr>
    </w:p>
    <w:p>
      <w:pPr>
        <w:ind w:right="120" w:firstLine="436"/>
        <w:spacing w:after="0" w:line="255" w:lineRule="auto"/>
        <w:rPr>
          <w:sz w:val="20"/>
          <w:szCs w:val="20"/>
          <w:color w:val="auto"/>
        </w:rPr>
      </w:pPr>
      <w:r>
        <w:rPr>
          <w:rFonts w:ascii="Times New Roman" w:cs="Times New Roman" w:eastAsia="Times New Roman" w:hAnsi="Times New Roman"/>
          <w:sz w:val="18"/>
          <w:szCs w:val="18"/>
          <w:color w:val="auto"/>
        </w:rPr>
        <w:t>Additionally, Bread Financial have entered into indemnification agreements with its directors and officers. These indemnification agreements are intended to provide indemnification rights to the fullest extent permitted by Delaware law. These agreements provide that Bread Financial indemnify such persons against certain liabilities that may arise by reason of their status or service as a director or officer, to advance their expenses incurred as a result of a proceeding as to which they may be indemnified and to cover such persons under any directors’ and officers’ liability insurance policy that Bread Financial may choose to maintain.</w:t>
      </w:r>
    </w:p>
    <w:p>
      <w:pPr>
        <w:spacing w:after="0" w:line="183" w:lineRule="exact"/>
        <w:rPr>
          <w:sz w:val="20"/>
          <w:szCs w:val="20"/>
          <w:color w:val="auto"/>
        </w:rPr>
      </w:pPr>
    </w:p>
    <w:p>
      <w:pPr>
        <w:ind w:right="220" w:firstLine="436"/>
        <w:spacing w:after="0" w:line="277" w:lineRule="auto"/>
        <w:rPr>
          <w:sz w:val="20"/>
          <w:szCs w:val="20"/>
          <w:color w:val="auto"/>
        </w:rPr>
      </w:pPr>
      <w:r>
        <w:rPr>
          <w:rFonts w:ascii="Times New Roman" w:cs="Times New Roman" w:eastAsia="Times New Roman" w:hAnsi="Times New Roman"/>
          <w:sz w:val="18"/>
          <w:szCs w:val="18"/>
          <w:color w:val="auto"/>
        </w:rPr>
        <w:t>Bread Financial maintains a general liability insurance policy which covers certain liabilities of directors and officers of Bread Financial and its subsidiaries arising out of claims based on acts or omissions in their capacities as directors or officers.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8" w:right="519" w:bottom="1440" w:gutter="0" w:footer="0" w:header="0"/>
        </w:sectPr>
      </w:pPr>
    </w:p>
    <w:bookmarkStart w:id="5" w:name="page6"/>
    <w:bookmarkEnd w:id="5"/>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8. Exhibits.</w:t>
      </w:r>
    </w:p>
    <w:p>
      <w:pPr>
        <w:spacing w:after="0" w:line="231"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380" w:type="dxa"/>
            <w:vAlign w:val="bottom"/>
            <w:gridSpan w:val="16"/>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2"/>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38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420" w:type="dxa"/>
            <w:vAlign w:val="bottom"/>
          </w:tcPr>
          <w:p>
            <w:pPr>
              <w:spacing w:after="0"/>
              <w:rPr>
                <w:sz w:val="23"/>
                <w:szCs w:val="23"/>
                <w:color w:val="auto"/>
              </w:rPr>
            </w:pPr>
          </w:p>
        </w:tc>
        <w:tc>
          <w:tcPr>
            <w:tcW w:w="9960" w:type="dxa"/>
            <w:vAlign w:val="bottom"/>
            <w:gridSpan w:val="18"/>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Description of Registrant’s Capital Stock (incorporated by reference to Exhibit No. 4.2 to the Registrant’s Annual Report on Form 10-K</w:t>
              </w:r>
            </w:hyperlink>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720" w:type="dxa"/>
            <w:vAlign w:val="bottom"/>
            <w:tcBorders>
              <w:top w:val="single" w:sz="8" w:color="0000EE"/>
            </w:tcBorders>
            <w:gridSpan w:val="14"/>
          </w:tcPr>
          <w:p>
            <w:pPr>
              <w:spacing w:after="0" w:line="194"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filed with the SEC on February 13, 2026, File No. 001-15749).</w:t>
              </w:r>
            </w:hyperlink>
          </w:p>
        </w:tc>
        <w:tc>
          <w:tcPr>
            <w:tcW w:w="2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420" w:type="dxa"/>
            <w:vAlign w:val="bottom"/>
          </w:tcPr>
          <w:p>
            <w:pPr>
              <w:spacing w:after="0"/>
              <w:rPr>
                <w:sz w:val="24"/>
                <w:szCs w:val="24"/>
                <w:color w:val="auto"/>
              </w:rPr>
            </w:pPr>
          </w:p>
        </w:tc>
        <w:tc>
          <w:tcPr>
            <w:tcW w:w="99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33">
              <w:r>
                <w:rPr>
                  <w:rFonts w:ascii="Times New Roman" w:cs="Times New Roman" w:eastAsia="Times New Roman" w:hAnsi="Times New Roman"/>
                  <w:sz w:val="18"/>
                  <w:szCs w:val="18"/>
                  <w:color w:val="0000EE"/>
                  <w:w w:val="98"/>
                </w:rPr>
                <w:t>Third Amended and Restated Certificate of Incorporation of the Registrant (incorporated by reference to Exhibit No. 3.2 to the Registrant’s</w:t>
              </w:r>
            </w:hyperlink>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960" w:type="dxa"/>
            <w:vAlign w:val="bottom"/>
            <w:gridSpan w:val="18"/>
          </w:tcPr>
          <w:p>
            <w:pPr>
              <w:spacing w:after="0" w:line="194"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Current Report on Form 8-K filed with the SEC on June 10, 2016, File No. 001-15749).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420" w:type="dxa"/>
            <w:vAlign w:val="bottom"/>
          </w:tcPr>
          <w:p>
            <w:pPr>
              <w:spacing w:after="0"/>
              <w:rPr>
                <w:sz w:val="24"/>
                <w:szCs w:val="24"/>
                <w:color w:val="auto"/>
              </w:rPr>
            </w:pPr>
          </w:p>
        </w:tc>
        <w:tc>
          <w:tcPr>
            <w:tcW w:w="95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34">
              <w:r>
                <w:rPr>
                  <w:rFonts w:ascii="Times New Roman" w:cs="Times New Roman" w:eastAsia="Times New Roman" w:hAnsi="Times New Roman"/>
                  <w:sz w:val="18"/>
                  <w:szCs w:val="18"/>
                  <w:color w:val="0000EE"/>
                  <w:w w:val="98"/>
                </w:rPr>
                <w:t>Certificate of Amendment to Third Amended and Restated Certificate of Incorporation of the Registrant (incorporated by reference to</w:t>
              </w:r>
            </w:hyperlink>
          </w:p>
        </w:tc>
        <w:tc>
          <w:tcPr>
            <w:tcW w:w="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960" w:type="dxa"/>
            <w:vAlign w:val="bottom"/>
            <w:gridSpan w:val="18"/>
          </w:tcPr>
          <w:p>
            <w:pPr>
              <w:spacing w:after="0" w:line="194"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Exhibit No. 3.1 to the Registrant’s Current Report on Form 8-K filed with the SEC on March 24, 2022, File No. 001-15749).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420" w:type="dxa"/>
            <w:vAlign w:val="bottom"/>
          </w:tcPr>
          <w:p>
            <w:pPr>
              <w:spacing w:after="0"/>
              <w:rPr>
                <w:sz w:val="24"/>
                <w:szCs w:val="24"/>
                <w:color w:val="auto"/>
              </w:rPr>
            </w:pPr>
          </w:p>
        </w:tc>
        <w:tc>
          <w:tcPr>
            <w:tcW w:w="99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35">
              <w:r>
                <w:rPr>
                  <w:rFonts w:ascii="Times New Roman" w:cs="Times New Roman" w:eastAsia="Times New Roman" w:hAnsi="Times New Roman"/>
                  <w:sz w:val="18"/>
                  <w:szCs w:val="18"/>
                  <w:color w:val="0000EE"/>
                  <w:w w:val="98"/>
                </w:rPr>
                <w:t>Certificate of Designations of 8.625% Non-Cumulative Perpetual Preferred Stock, Series A of the Registrant, effective as of November 25,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70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w w:val="98"/>
              </w:rPr>
            </w:pPr>
            <w:hyperlink r:id="rId35">
              <w:r>
                <w:rPr>
                  <w:rFonts w:ascii="Times New Roman" w:cs="Times New Roman" w:eastAsia="Times New Roman" w:hAnsi="Times New Roman"/>
                  <w:sz w:val="18"/>
                  <w:szCs w:val="18"/>
                  <w:color w:val="0000EE"/>
                  <w:w w:val="98"/>
                </w:rPr>
                <w:t>2025 (incorporated by reference to Exhibit No. 3.1 to the Registrant’s Current Report on Form 8-K filed with the SEC on November 25,</w:t>
              </w:r>
            </w:hyperlink>
          </w:p>
        </w:tc>
        <w:tc>
          <w:tcPr>
            <w:tcW w:w="26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960" w:type="dxa"/>
            <w:vAlign w:val="bottom"/>
            <w:gridSpan w:val="18"/>
          </w:tcPr>
          <w:p>
            <w:pPr>
              <w:spacing w:after="0" w:line="194"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2025, File No. 001-15749).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42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r:id="rId36">
              <w:r>
                <w:rPr>
                  <w:rFonts w:ascii="Times New Roman" w:cs="Times New Roman" w:eastAsia="Times New Roman" w:hAnsi="Times New Roman"/>
                  <w:sz w:val="18"/>
                  <w:szCs w:val="18"/>
                  <w:color w:val="0000EE"/>
                  <w:w w:val="98"/>
                </w:rPr>
                <w:t>Certificate of Designations of 8.875% Fixed Rate Reset Non-Cumulative Perpetual Preferred Stock, Series B of the Registrant, effective as</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8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w w:val="98"/>
              </w:rPr>
            </w:pPr>
            <w:hyperlink r:id="rId36">
              <w:r>
                <w:rPr>
                  <w:rFonts w:ascii="Times New Roman" w:cs="Times New Roman" w:eastAsia="Times New Roman" w:hAnsi="Times New Roman"/>
                  <w:sz w:val="18"/>
                  <w:szCs w:val="18"/>
                  <w:color w:val="0000EE"/>
                  <w:w w:val="98"/>
                </w:rPr>
                <w:t>of May 12, 2026 (incorporated by reference to Exhibit No. 3.1 to the Registrant’s Current Report on Form 8-K filed with the SEC on</w:t>
              </w:r>
            </w:hyperlink>
          </w:p>
        </w:tc>
        <w:tc>
          <w:tcPr>
            <w:tcW w:w="48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960" w:type="dxa"/>
            <w:vAlign w:val="bottom"/>
            <w:gridSpan w:val="18"/>
          </w:tcPr>
          <w:p>
            <w:pPr>
              <w:spacing w:after="0" w:line="194"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May 12, 2026, File No. 001-15749).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420" w:type="dxa"/>
            <w:vAlign w:val="bottom"/>
          </w:tcPr>
          <w:p>
            <w:pPr>
              <w:spacing w:after="0"/>
              <w:rPr>
                <w:sz w:val="24"/>
                <w:szCs w:val="24"/>
                <w:color w:val="auto"/>
              </w:rPr>
            </w:pPr>
          </w:p>
        </w:tc>
        <w:tc>
          <w:tcPr>
            <w:tcW w:w="98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Sixth Amended and Restated Bylaws of the Registrant (incorporated by reference to Exhibit No. 3.2 to the Registrant’s Current Report on</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6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37">
              <w:r>
                <w:rPr>
                  <w:rFonts w:ascii="Times New Roman" w:cs="Times New Roman" w:eastAsia="Times New Roman" w:hAnsi="Times New Roman"/>
                  <w:sz w:val="18"/>
                  <w:szCs w:val="18"/>
                  <w:color w:val="0000EE"/>
                  <w:w w:val="98"/>
                </w:rPr>
                <w:t>Form 8-K filed with the SEC on March 24, 2022, File No. 001-15749).</w:t>
              </w:r>
            </w:hyperlink>
          </w:p>
        </w:tc>
        <w:tc>
          <w:tcPr>
            <w:tcW w:w="490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420" w:type="dxa"/>
            <w:vAlign w:val="bottom"/>
          </w:tcPr>
          <w:p>
            <w:pPr>
              <w:spacing w:after="0"/>
              <w:rPr>
                <w:sz w:val="24"/>
                <w:szCs w:val="24"/>
                <w:color w:val="auto"/>
              </w:rPr>
            </w:pPr>
          </w:p>
        </w:tc>
        <w:tc>
          <w:tcPr>
            <w:tcW w:w="94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Specimen Certificate for shares of Common Stock of the Registrant (incorporated by reference to Exhibit No. 4.0 to the Registrant’s</w:t>
              </w:r>
            </w:hyperlink>
          </w:p>
        </w:tc>
        <w:tc>
          <w:tcPr>
            <w:tcW w:w="5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960" w:type="dxa"/>
            <w:vAlign w:val="bottom"/>
            <w:gridSpan w:val="18"/>
          </w:tcPr>
          <w:p>
            <w:pPr>
              <w:spacing w:after="0" w:line="194"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Quarterly Report on Form 10-Q filed with the SEC on August 8, 2003, File No. 001-15749).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926" w:right="260" w:hanging="926"/>
        <w:spacing w:after="0" w:line="277" w:lineRule="auto"/>
        <w:tabs>
          <w:tab w:leader="none" w:pos="93"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hyperlink r:id="rId39">
        <w:r>
          <w:rPr>
            <w:rFonts w:ascii="Times New Roman" w:cs="Times New Roman" w:eastAsia="Times New Roman" w:hAnsi="Times New Roman"/>
            <w:sz w:val="18"/>
            <w:szCs w:val="18"/>
            <w:u w:val="single" w:color="auto"/>
            <w:color w:val="0000EE"/>
          </w:rPr>
          <w:t>Bread Financial Holdings, Inc. Amended and Restated 2015 Employee Stock Purchase Plan, effective March 23, 2022 (incorporated by</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reference to Appendix C to the Registrant’s Definitive Proxy Statement on Schedule 14A filed with the SEC on April 20, 2015).</w:t>
        </w:r>
      </w:hyperlink>
    </w:p>
    <w:p>
      <w:pPr>
        <w:spacing w:after="0" w:line="56" w:lineRule="exact"/>
        <w:rPr>
          <w:rFonts w:ascii="Times New Roman" w:cs="Times New Roman" w:eastAsia="Times New Roman" w:hAnsi="Times New Roman"/>
          <w:sz w:val="18"/>
          <w:szCs w:val="18"/>
          <w:u w:val="single" w:color="auto"/>
          <w:color w:val="0000EE"/>
        </w:rPr>
      </w:pPr>
    </w:p>
    <w:p>
      <w:pPr>
        <w:ind w:left="926" w:right="100" w:hanging="926"/>
        <w:spacing w:after="0" w:line="277" w:lineRule="auto"/>
        <w:tabs>
          <w:tab w:leader="none" w:pos="93"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hyperlink r:id="rId18">
        <w:r>
          <w:rPr>
            <w:rFonts w:ascii="Times New Roman" w:cs="Times New Roman" w:eastAsia="Times New Roman" w:hAnsi="Times New Roman"/>
            <w:sz w:val="18"/>
            <w:szCs w:val="18"/>
            <w:u w:val="single" w:color="auto"/>
            <w:color w:val="0000EE"/>
          </w:rPr>
          <w:t>Bread Financial Holdings, Inc. 2026 Employee Stock Purchase Plan, effective May 19, 2026 (incorporated by reference to Appendix C to</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the Registrant’s Definitive Proxy Statement on Schedule 14A filed with the SEC on April 7, 2026).</w:t>
        </w:r>
      </w:hyperlink>
    </w:p>
    <w:p>
      <w:pPr>
        <w:spacing w:after="0" w:line="42" w:lineRule="exact"/>
        <w:rPr>
          <w:rFonts w:ascii="Times New Roman" w:cs="Times New Roman" w:eastAsia="Times New Roman" w:hAnsi="Times New Roman"/>
          <w:sz w:val="18"/>
          <w:szCs w:val="18"/>
          <w:color w:val="auto"/>
        </w:rPr>
      </w:pPr>
    </w:p>
    <w:tbl>
      <w:tblPr>
        <w:tblLayout w:type="fixed"/>
        <w:tblInd w:w="6"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Opinion of Akin Gump Strauss Hauer &amp; Feld LLP.</w:t>
            </w:r>
          </w:p>
        </w:tc>
        <w:tc>
          <w:tcPr>
            <w:tcW w:w="2840" w:type="dxa"/>
            <w:vAlign w:val="bottom"/>
            <w:gridSpan w:val="2"/>
          </w:tcPr>
          <w:p>
            <w:pPr>
              <w:spacing w:after="0"/>
              <w:rPr>
                <w:sz w:val="17"/>
                <w:szCs w:val="17"/>
                <w:color w:val="auto"/>
              </w:rPr>
            </w:pPr>
          </w:p>
        </w:tc>
      </w:tr>
      <w:tr>
        <w:trPr>
          <w:trHeight w:val="30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4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Consent of Deloitte &amp; Touche LLP.</w:t>
            </w:r>
          </w:p>
        </w:tc>
      </w:tr>
      <w:tr>
        <w:trPr>
          <w:trHeight w:val="20"/>
        </w:trPr>
        <w:tc>
          <w:tcPr>
            <w:tcW w:w="9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0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4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Consent of Akin Gump Strauss Hauer &amp; Feld LLP (included in Exhibit 5.1 filed herewith).</w:t>
            </w:r>
          </w:p>
        </w:tc>
      </w:tr>
      <w:tr>
        <w:trPr>
          <w:trHeight w:val="30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4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Powers of Attorney (included on signature pages hereto).</w:t>
            </w:r>
          </w:p>
        </w:tc>
      </w:tr>
      <w:tr>
        <w:trPr>
          <w:trHeight w:val="30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0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Calculation of Filing Fee Table.</w:t>
            </w:r>
          </w:p>
        </w:tc>
        <w:tc>
          <w:tcPr>
            <w:tcW w:w="24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755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75"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54" w:lineRule="exact"/>
        <w:rPr>
          <w:rFonts w:ascii="Times New Roman" w:cs="Times New Roman" w:eastAsia="Times New Roman" w:hAnsi="Times New Roman"/>
          <w:sz w:val="18"/>
          <w:szCs w:val="18"/>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6"/>
          </w:cols>
          <w:pgMar w:left="494" w:top="264" w:right="519" w:bottom="1440" w:gutter="0" w:footer="0" w:header="0"/>
        </w:sectPr>
      </w:pPr>
    </w:p>
    <w:bookmarkStart w:id="6" w:name="page7"/>
    <w:bookmarkEnd w:id="6"/>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9. Undertakings.</w:t>
      </w:r>
    </w:p>
    <w:p>
      <w:pPr>
        <w:spacing w:after="0" w:line="131" w:lineRule="exact"/>
        <w:rPr>
          <w:sz w:val="20"/>
          <w:szCs w:val="20"/>
          <w:color w:val="auto"/>
        </w:rPr>
      </w:pPr>
    </w:p>
    <w:p>
      <w:pPr>
        <w:ind w:left="426" w:hanging="426"/>
        <w:spacing w:after="0"/>
        <w:tabs>
          <w:tab w:leader="none" w:pos="4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26"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26" w:lineRule="exact"/>
        <w:rPr>
          <w:rFonts w:ascii="Times New Roman" w:cs="Times New Roman" w:eastAsia="Times New Roman" w:hAnsi="Times New Roman"/>
          <w:sz w:val="18"/>
          <w:szCs w:val="18"/>
          <w:color w:val="auto"/>
        </w:rPr>
      </w:pPr>
    </w:p>
    <w:p>
      <w:pPr>
        <w:ind w:left="1406" w:hanging="431"/>
        <w:spacing w:after="0"/>
        <w:tabs>
          <w:tab w:leader="none" w:pos="140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26" w:lineRule="exact"/>
        <w:rPr>
          <w:rFonts w:ascii="Times New Roman" w:cs="Times New Roman" w:eastAsia="Times New Roman" w:hAnsi="Times New Roman"/>
          <w:sz w:val="18"/>
          <w:szCs w:val="18"/>
          <w:color w:val="auto"/>
        </w:rPr>
      </w:pPr>
    </w:p>
    <w:p>
      <w:pPr>
        <w:ind w:left="1406" w:right="60" w:hanging="431"/>
        <w:spacing w:after="0" w:line="252" w:lineRule="auto"/>
        <w:tabs>
          <w:tab w:leader="none" w:pos="140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95" w:lineRule="exact"/>
        <w:rPr>
          <w:rFonts w:ascii="Times New Roman" w:cs="Times New Roman" w:eastAsia="Times New Roman" w:hAnsi="Times New Roman"/>
          <w:sz w:val="18"/>
          <w:szCs w:val="18"/>
          <w:color w:val="auto"/>
        </w:rPr>
      </w:pPr>
    </w:p>
    <w:p>
      <w:pPr>
        <w:ind w:left="1406" w:right="20" w:hanging="431"/>
        <w:spacing w:after="0" w:line="277" w:lineRule="auto"/>
        <w:tabs>
          <w:tab w:leader="none" w:pos="140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55" w:lineRule="exact"/>
        <w:rPr>
          <w:sz w:val="20"/>
          <w:szCs w:val="20"/>
          <w:color w:val="auto"/>
        </w:rPr>
      </w:pPr>
    </w:p>
    <w:p>
      <w:pPr>
        <w:jc w:val="both"/>
        <w:ind w:left="426" w:right="180"/>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reports filed with or furnished to the SEC by the Registrant pursuant to Section 13 or 15(d) of the Exchange Act that are incorporated by reference in this Registration Statement.</w:t>
      </w:r>
    </w:p>
    <w:p>
      <w:pPr>
        <w:spacing w:after="0" w:line="83" w:lineRule="exact"/>
        <w:rPr>
          <w:sz w:val="20"/>
          <w:szCs w:val="20"/>
          <w:color w:val="auto"/>
        </w:rPr>
      </w:pPr>
    </w:p>
    <w:p>
      <w:pPr>
        <w:ind w:left="966" w:hanging="539"/>
        <w:spacing w:after="0" w:line="262" w:lineRule="auto"/>
        <w:tabs>
          <w:tab w:leader="none" w:pos="96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and</w:t>
      </w:r>
    </w:p>
    <w:p>
      <w:pPr>
        <w:spacing w:after="0" w:line="83" w:lineRule="exact"/>
        <w:rPr>
          <w:rFonts w:ascii="Times New Roman" w:cs="Times New Roman" w:eastAsia="Times New Roman" w:hAnsi="Times New Roman"/>
          <w:sz w:val="18"/>
          <w:szCs w:val="18"/>
          <w:color w:val="auto"/>
        </w:rPr>
      </w:pPr>
    </w:p>
    <w:p>
      <w:pPr>
        <w:ind w:left="966" w:right="340" w:hanging="539"/>
        <w:spacing w:after="0" w:line="277" w:lineRule="auto"/>
        <w:tabs>
          <w:tab w:leader="none" w:pos="96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9" w:lineRule="exact"/>
        <w:rPr>
          <w:rFonts w:ascii="Times New Roman" w:cs="Times New Roman" w:eastAsia="Times New Roman" w:hAnsi="Times New Roman"/>
          <w:sz w:val="18"/>
          <w:szCs w:val="18"/>
          <w:color w:val="auto"/>
        </w:rPr>
      </w:pPr>
    </w:p>
    <w:p>
      <w:pPr>
        <w:ind w:left="426" w:right="20" w:hanging="426"/>
        <w:spacing w:after="0" w:line="255" w:lineRule="auto"/>
        <w:tabs>
          <w:tab w:leader="none" w:pos="4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89" w:lineRule="exact"/>
        <w:rPr>
          <w:rFonts w:ascii="Times New Roman" w:cs="Times New Roman" w:eastAsia="Times New Roman" w:hAnsi="Times New Roman"/>
          <w:sz w:val="18"/>
          <w:szCs w:val="18"/>
          <w:color w:val="auto"/>
        </w:rPr>
      </w:pPr>
    </w:p>
    <w:p>
      <w:pPr>
        <w:ind w:left="426" w:right="60" w:hanging="426"/>
        <w:spacing w:after="0" w:line="252" w:lineRule="auto"/>
        <w:tabs>
          <w:tab w:leader="none" w:pos="4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undersigned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6"/>
          </w:cols>
          <w:pgMar w:left="494" w:top="264" w:right="5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200"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Plano, State of Texas on May 26, 2026.</w:t>
      </w:r>
    </w:p>
    <w:p>
      <w:pPr>
        <w:spacing w:after="0" w:line="20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224" w:lineRule="exact"/>
        <w:rPr>
          <w:sz w:val="20"/>
          <w:szCs w:val="20"/>
          <w:color w:val="auto"/>
        </w:rPr>
      </w:pPr>
    </w:p>
    <w:p>
      <w:pPr>
        <w:ind w:left="654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L. Motes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15875</wp:posOffset>
            </wp:positionV>
            <wp:extent cx="2510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1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Joseph L. Motes III</w:t>
      </w:r>
    </w:p>
    <w:p>
      <w:pPr>
        <w:spacing w:after="0" w:line="2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Executive Vice President, Chief Legal and</w:t>
      </w:r>
    </w:p>
    <w:p>
      <w:pPr>
        <w:spacing w:after="0" w:line="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Administrative Officer and Secretary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40" w:firstLine="436"/>
        <w:spacing w:after="0" w:line="270" w:lineRule="auto"/>
        <w:rPr>
          <w:sz w:val="20"/>
          <w:szCs w:val="20"/>
          <w:color w:val="auto"/>
        </w:rPr>
      </w:pPr>
      <w:r>
        <w:rPr>
          <w:rFonts w:ascii="Times New Roman" w:cs="Times New Roman" w:eastAsia="Times New Roman" w:hAnsi="Times New Roman"/>
          <w:sz w:val="17"/>
          <w:szCs w:val="17"/>
          <w:color w:val="auto"/>
        </w:rPr>
        <w:t>The undersigned directors and officers of Bread Financial Holdings, Inc. hereby constitute and appoint Ralph J. Andretta and Joseph L. Motes III, and each of them, his or her true and lawful attorneys-in-fact and agents with full power of substitution, for him or her and in his or her name, place and stead, in any and all capacities, to sign the Registration Statement filed herewith and any and all amendments (including pre- and post-effective amendments) to said Registration Statement, with all exhibits thereto and all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or by virtue hereof.</w:t>
      </w:r>
    </w:p>
    <w:p>
      <w:pPr>
        <w:spacing w:after="0" w:line="170" w:lineRule="exact"/>
        <w:rPr>
          <w:sz w:val="20"/>
          <w:szCs w:val="20"/>
          <w:color w:val="auto"/>
        </w:rPr>
      </w:pPr>
    </w:p>
    <w:p>
      <w:pPr>
        <w:ind w:right="46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listed capacities on the date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414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4"/>
        </w:trPr>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Ralph J. Andretta</w:t>
            </w: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President and Chief Executive</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26, 2026</w:t>
            </w:r>
          </w:p>
        </w:tc>
      </w:tr>
      <w:tr>
        <w:trPr>
          <w:trHeight w:val="22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Ralph J. Andretta</w:t>
            </w: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Officer (principal executive officer)</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22"/>
        </w:trPr>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Perry S. Beberman</w:t>
            </w: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26, 2026</w:t>
            </w:r>
          </w:p>
        </w:tc>
      </w:tr>
      <w:tr>
        <w:trPr>
          <w:trHeight w:val="22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S. Beberman</w:t>
            </w: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Officer (principal financial officer)</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22"/>
        </w:trPr>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 Bryan Campbell</w:t>
            </w: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Vice President and Chief Accounting</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26, 2026</w:t>
            </w:r>
          </w:p>
        </w:tc>
      </w:tr>
      <w:tr>
        <w:trPr>
          <w:trHeight w:val="22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Bryan Campbell</w:t>
            </w: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Officer (principal accounting officer)</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22"/>
        </w:trPr>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J. Fawcett</w:t>
            </w: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26, 2026</w:t>
            </w:r>
          </w:p>
        </w:tc>
      </w:tr>
      <w:tr>
        <w:trPr>
          <w:trHeight w:val="22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J. Fawcett</w:t>
            </w:r>
          </w:p>
        </w:tc>
        <w:tc>
          <w:tcPr>
            <w:tcW w:w="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22"/>
        </w:trPr>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J. Fawcett</w:t>
            </w: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26, 2026</w:t>
            </w:r>
          </w:p>
        </w:tc>
      </w:tr>
      <w:tr>
        <w:trPr>
          <w:trHeight w:val="22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C. Gerspach, Jr.</w:t>
            </w:r>
          </w:p>
        </w:tc>
        <w:tc>
          <w:tcPr>
            <w:tcW w:w="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22"/>
        </w:trPr>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Praniti Lakhwara</w:t>
            </w: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26, 2026</w:t>
            </w:r>
          </w:p>
        </w:tc>
      </w:tr>
      <w:tr>
        <w:trPr>
          <w:trHeight w:val="22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Praniti Lakhwara</w:t>
            </w:r>
          </w:p>
        </w:tc>
        <w:tc>
          <w:tcPr>
            <w:tcW w:w="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56"/>
        </w:trPr>
        <w:tc>
          <w:tcPr>
            <w:tcW w:w="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S-1</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0900"/>
          </w:cols>
          <w:pgMar w:left="500" w:top="264" w:right="49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Rajesh Natarajan</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5180" w:type="dxa"/>
            <w:vAlign w:val="bottom"/>
          </w:tcPr>
          <w:p>
            <w:pPr>
              <w:ind w:left="4180"/>
              <w:spacing w:after="0"/>
              <w:rPr>
                <w:sz w:val="20"/>
                <w:szCs w:val="20"/>
                <w:color w:val="auto"/>
              </w:rPr>
            </w:pPr>
            <w:r>
              <w:rPr>
                <w:rFonts w:ascii="Times New Roman" w:cs="Times New Roman" w:eastAsia="Times New Roman" w:hAnsi="Times New Roman"/>
                <w:sz w:val="18"/>
                <w:szCs w:val="18"/>
                <w:color w:val="auto"/>
                <w:w w:val="97"/>
              </w:rPr>
              <w:t>May 26,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Rajesh Natarajan</w:t>
            </w:r>
          </w:p>
        </w:tc>
        <w:tc>
          <w:tcPr>
            <w:tcW w:w="94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Joyce St. Clair</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5180" w:type="dxa"/>
            <w:vAlign w:val="bottom"/>
          </w:tcPr>
          <w:p>
            <w:pPr>
              <w:ind w:left="4180"/>
              <w:spacing w:after="0"/>
              <w:rPr>
                <w:sz w:val="20"/>
                <w:szCs w:val="20"/>
                <w:color w:val="auto"/>
              </w:rPr>
            </w:pPr>
            <w:r>
              <w:rPr>
                <w:rFonts w:ascii="Times New Roman" w:cs="Times New Roman" w:eastAsia="Times New Roman" w:hAnsi="Times New Roman"/>
                <w:sz w:val="18"/>
                <w:szCs w:val="18"/>
                <w:color w:val="auto"/>
                <w:w w:val="97"/>
              </w:rPr>
              <w:t>May 26,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Joyce St. Clair</w:t>
            </w:r>
          </w:p>
        </w:tc>
        <w:tc>
          <w:tcPr>
            <w:tcW w:w="94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J. Theriault</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5180" w:type="dxa"/>
            <w:vAlign w:val="bottom"/>
          </w:tcPr>
          <w:p>
            <w:pPr>
              <w:ind w:left="4180"/>
              <w:spacing w:after="0"/>
              <w:rPr>
                <w:sz w:val="20"/>
                <w:szCs w:val="20"/>
                <w:color w:val="auto"/>
              </w:rPr>
            </w:pPr>
            <w:r>
              <w:rPr>
                <w:rFonts w:ascii="Times New Roman" w:cs="Times New Roman" w:eastAsia="Times New Roman" w:hAnsi="Times New Roman"/>
                <w:sz w:val="18"/>
                <w:szCs w:val="18"/>
                <w:color w:val="auto"/>
                <w:w w:val="97"/>
              </w:rPr>
              <w:t>May 26,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Timothy J. Theriault</w:t>
            </w:r>
          </w:p>
        </w:tc>
        <w:tc>
          <w:tcPr>
            <w:tcW w:w="94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Laurie A. Tucker</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5180" w:type="dxa"/>
            <w:vAlign w:val="bottom"/>
          </w:tcPr>
          <w:p>
            <w:pPr>
              <w:ind w:left="4180"/>
              <w:spacing w:after="0"/>
              <w:rPr>
                <w:sz w:val="20"/>
                <w:szCs w:val="20"/>
                <w:color w:val="auto"/>
              </w:rPr>
            </w:pPr>
            <w:r>
              <w:rPr>
                <w:rFonts w:ascii="Times New Roman" w:cs="Times New Roman" w:eastAsia="Times New Roman" w:hAnsi="Times New Roman"/>
                <w:sz w:val="18"/>
                <w:szCs w:val="18"/>
                <w:color w:val="auto"/>
                <w:w w:val="97"/>
              </w:rPr>
              <w:t>May 26,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Laurie A. Tucker</w:t>
            </w:r>
          </w:p>
        </w:tc>
        <w:tc>
          <w:tcPr>
            <w:tcW w:w="94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Sharen J. Turney</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5180" w:type="dxa"/>
            <w:vAlign w:val="bottom"/>
          </w:tcPr>
          <w:p>
            <w:pPr>
              <w:ind w:left="4180"/>
              <w:spacing w:after="0"/>
              <w:rPr>
                <w:sz w:val="20"/>
                <w:szCs w:val="20"/>
                <w:color w:val="auto"/>
              </w:rPr>
            </w:pPr>
            <w:r>
              <w:rPr>
                <w:rFonts w:ascii="Times New Roman" w:cs="Times New Roman" w:eastAsia="Times New Roman" w:hAnsi="Times New Roman"/>
                <w:sz w:val="18"/>
                <w:szCs w:val="18"/>
                <w:color w:val="auto"/>
                <w:w w:val="97"/>
              </w:rPr>
              <w:t>May 26,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Sharen J. Turney</w:t>
            </w:r>
          </w:p>
        </w:tc>
        <w:tc>
          <w:tcPr>
            <w:tcW w:w="94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56"/>
        </w:trPr>
        <w:tc>
          <w:tcPr>
            <w:tcW w:w="4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0260"/>
          </w:cols>
          <w:pgMar w:left="500" w:top="268" w:right="11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6056630</wp:posOffset>
            </wp:positionH>
            <wp:positionV relativeFrom="paragraph">
              <wp:posOffset>171450</wp:posOffset>
            </wp:positionV>
            <wp:extent cx="865505" cy="313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extLst>
                    </a:blip>
                    <a:srcRect/>
                    <a:stretch>
                      <a:fillRect/>
                    </a:stretch>
                  </pic:blipFill>
                  <pic:spPr bwMode="auto">
                    <a:xfrm>
                      <a:off x="0" y="0"/>
                      <a:ext cx="865505" cy="31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26,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3095 Loyalty Circle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 43219</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Re:     Registration Statement on Form S-8 of Bread Financial Holdings,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0"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t>We have acted as counsel to Bread Financial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a Registration Statement on Form S-8 of the Company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being filed on the date hereof with the Securities and Exchange Commission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 to the proposed issuance of up to an aggregate of 1,425,831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authorized and reserved for issuance pursuant to the Company’s 2026 Employee Stock Purchase Plan (the “</w:t>
      </w:r>
      <w:r>
        <w:rPr>
          <w:rFonts w:ascii="Times New Roman" w:cs="Times New Roman" w:eastAsia="Times New Roman" w:hAnsi="Times New Roman"/>
          <w:sz w:val="18"/>
          <w:szCs w:val="18"/>
          <w:b w:val="1"/>
          <w:bCs w:val="1"/>
          <w:i w:val="1"/>
          <w:iCs w:val="1"/>
          <w:color w:val="auto"/>
        </w:rPr>
        <w:t>2026 ESPP</w:t>
      </w:r>
      <w:r>
        <w:rPr>
          <w:rFonts w:ascii="Times New Roman" w:cs="Times New Roman" w:eastAsia="Times New Roman" w:hAnsi="Times New Roman"/>
          <w:sz w:val="18"/>
          <w:szCs w:val="18"/>
          <w:color w:val="auto"/>
        </w:rPr>
        <w:t>”), consisting of: (i) up to 1,000,000 new shares of Common Stock reserved for issuance under the 2026 ESPP; and (ii) 425,831 shares of Common Stock that remained available for sale under the Company’s 2015 Employee Stock Purchase Plan (the “</w:t>
      </w:r>
      <w:r>
        <w:rPr>
          <w:rFonts w:ascii="Times New Roman" w:cs="Times New Roman" w:eastAsia="Times New Roman" w:hAnsi="Times New Roman"/>
          <w:sz w:val="18"/>
          <w:szCs w:val="18"/>
          <w:b w:val="1"/>
          <w:bCs w:val="1"/>
          <w:i w:val="1"/>
          <w:iCs w:val="1"/>
          <w:color w:val="auto"/>
        </w:rPr>
        <w:t>2015 ESPP</w:t>
      </w:r>
      <w:r>
        <w:rPr>
          <w:rFonts w:ascii="Times New Roman" w:cs="Times New Roman" w:eastAsia="Times New Roman" w:hAnsi="Times New Roman"/>
          <w:sz w:val="18"/>
          <w:szCs w:val="18"/>
          <w:color w:val="auto"/>
        </w:rPr>
        <w:t>”) immediately prior to May 19, 2026, the effective date of the 2026 ESPP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No new offerings will be made under the 2015 ESPP on or after the Effective Date. The 2026 ESPP was approved by the Compensation &amp; Human Capital Committee of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on March 26, 2026 and adopted by the Board on April 1, 2026, in each case, subject to stockholder approval, which approval was obtained at the 2026 Annual Meeting of the Company’s Stockholders on the Effective Date. This opinion is being furnished in accordance with the requirements of Item 601(b)(5) of Regulation S-K under the Act.</w:t>
      </w:r>
    </w:p>
    <w:p>
      <w:pPr>
        <w:spacing w:after="0" w:line="188" w:lineRule="exact"/>
        <w:rPr>
          <w:sz w:val="20"/>
          <w:szCs w:val="20"/>
          <w:color w:val="auto"/>
        </w:rPr>
      </w:pPr>
    </w:p>
    <w:p>
      <w:pPr>
        <w:ind w:right="40" w:firstLine="436"/>
        <w:spacing w:after="0" w:line="250" w:lineRule="auto"/>
        <w:rPr>
          <w:sz w:val="20"/>
          <w:szCs w:val="20"/>
          <w:color w:val="auto"/>
        </w:rPr>
      </w:pPr>
      <w:r>
        <w:rPr>
          <w:rFonts w:ascii="Times New Roman" w:cs="Times New Roman" w:eastAsia="Times New Roman" w:hAnsi="Times New Roman"/>
          <w:sz w:val="18"/>
          <w:szCs w:val="18"/>
          <w:color w:val="auto"/>
        </w:rPr>
        <w:t>We have examined originals or certified copies of such corporate records of the Company and other certificates and documents of officials of the Company, public officials and others as we have deemed appropriate for purposes of this letter. We have assumed the genuineness of all signatures, the legal capacity of all natural persons, the authenticity of all documents submitted to us as originals, and the conformity to authentic original documents of all copies submitted to us as conformed, certified or reproduced copies. We have also assumed that (i) if certificated, the certificates for the Shares will conform to the specimen thereof filed as an exhibit to the Registration Statement and upon issuance will have been duly countersigned by the transfer agent and duly registered by the registrar for the Common Stock, or if uncertificated, valid book-entry notations for the issuance of the Shares in uncertificated form will have been duly made in the share register of the Company maintained by the transfer agent, (ii) each agreement setting forth the terms of the stock purchase pursuant to the 2026 ESPP is consistent with the 2026 ESPP and has been duly authorized and validly executed and delivered by the parties thereto, (iii) at the time of each issuance of Shares, there will be sufficient shares of Common Stock authorized for issuance under the Company’s certificate of incorporation that have not otherwise been issued or reserved or committed for issuance, and (iv) the price per share paid for Shares issued pursuant to the 2026 ESPP is not less than the par value of the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to various questions of fact relevant to this letter, we have relied, without independent investigation, upon certificates of public officials and certificates of officers of the Company, all of which we assume to be true, correct and complete.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2300 N. Field Street  |  Suite 1800  |  Dallas, Texas 75201-2481  |  214.969.2800  |  fax: 214.969.4343  |  akingump.com</w:t>
      </w:r>
    </w:p>
    <w:p>
      <w:pPr>
        <w:sectPr>
          <w:pgSz w:w="11900" w:h="16838" w:orient="portrait"/>
          <w:cols w:equalWidth="0" w:num="1">
            <w:col w:w="10900"/>
          </w:cols>
          <w:pgMar w:left="500" w:top="117"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Page 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135" w:lineRule="exact"/>
        <w:rPr>
          <w:sz w:val="20"/>
          <w:szCs w:val="20"/>
          <w:color w:val="auto"/>
        </w:rPr>
      </w:pPr>
    </w:p>
    <w:p>
      <w:pPr>
        <w:ind w:right="20" w:firstLine="436"/>
        <w:spacing w:after="0" w:line="257" w:lineRule="auto"/>
        <w:rPr>
          <w:sz w:val="20"/>
          <w:szCs w:val="20"/>
          <w:color w:val="auto"/>
        </w:rPr>
      </w:pPr>
      <w:r>
        <w:rPr>
          <w:rFonts w:ascii="Times New Roman" w:cs="Times New Roman" w:eastAsia="Times New Roman" w:hAnsi="Times New Roman"/>
          <w:sz w:val="18"/>
          <w:szCs w:val="18"/>
          <w:color w:val="auto"/>
        </w:rPr>
        <w:t>Based upon the foregoing, and subject to the assumptions, exceptions, qualifications and limitations stated herein, we are of the opinion that when the Shares have been issued and delivered upon payment therefor in accordance with the terms of the 2026 ESPP, the Company’s certificate of incorporation and bylaws, as they may be amended from time to time, and the applicable stock purchase agreement, the Shares will be duly authorized, validly issued, fully paid and non-assessable.</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opinions and other matters in this letter are qualified in their entirety and subject to the following:</w:t>
      </w:r>
    </w:p>
    <w:p>
      <w:pPr>
        <w:spacing w:after="0" w:line="127" w:lineRule="exact"/>
        <w:rPr>
          <w:sz w:val="20"/>
          <w:szCs w:val="20"/>
          <w:color w:val="auto"/>
        </w:rPr>
      </w:pPr>
    </w:p>
    <w:p>
      <w:pPr>
        <w:ind w:left="960" w:hanging="539"/>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the laws of any jurisdiction other than the General Corporation Law of the State of Delaware.</w:t>
      </w:r>
    </w:p>
    <w:p>
      <w:pPr>
        <w:spacing w:after="0" w:line="126" w:lineRule="exact"/>
        <w:rPr>
          <w:rFonts w:ascii="Times New Roman" w:cs="Times New Roman" w:eastAsia="Times New Roman" w:hAnsi="Times New Roman"/>
          <w:sz w:val="18"/>
          <w:szCs w:val="18"/>
          <w:color w:val="auto"/>
        </w:rPr>
      </w:pPr>
    </w:p>
    <w:p>
      <w:pPr>
        <w:ind w:left="960" w:hanging="539"/>
        <w:spacing w:after="0" w:line="257"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is limited to the matters expressly stated herein and no opinion is to be inferred or implied beyond the opinion expressly set forth herein. We undertake no, and hereby disclaim any, obligation to make any inquiry after the date hereof or to advise you of any changes in any matter set forth herein, whether based on a change in the law, a change in any fact relating to the Company or any other person or any other circumstance.</w:t>
      </w:r>
    </w:p>
    <w:p>
      <w:pPr>
        <w:spacing w:after="0" w:line="182" w:lineRule="exact"/>
        <w:rPr>
          <w:sz w:val="20"/>
          <w:szCs w:val="20"/>
          <w:color w:val="auto"/>
        </w:rPr>
      </w:pPr>
    </w:p>
    <w:p>
      <w:pPr>
        <w:ind w:right="60" w:firstLine="436"/>
        <w:spacing w:after="0" w:line="277"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this consent, we do not thereby admit that we are within the category of persons whose consent is required under Section 7 of the Act and the rules and regulations thereunder.</w:t>
      </w:r>
    </w:p>
    <w:p>
      <w:pPr>
        <w:spacing w:after="0" w:line="19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Akin Gump Strauss Hauer &amp; Feld LLP</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ectPr>
          <w:pgSz w:w="11900" w:h="16838" w:orient="portrait"/>
          <w:cols w:equalWidth="0" w:num="1">
            <w:col w:w="10860"/>
          </w:cols>
          <w:pgMar w:left="500" w:top="268" w:right="5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jc w:val="both"/>
        <w:ind w:right="60"/>
        <w:spacing w:after="0" w:line="285"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S-8 of our reports dated February 13, 2026, relating to the financial statements of Bread Financial Holdings, Inc. and subsidiaries and the effectiveness of Bread Financial Holdings, Inc.’s and subsidiaries’ internal control over financial reporting, appearing in the Annual Report on Form 10-K of Bread Financial Holdings, Inc. for the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ectPr>
          <w:pgSz w:w="11900" w:h="16838" w:orient="portrait"/>
          <w:cols w:equalWidth="0" w:num="1">
            <w:col w:w="10900"/>
          </w:cols>
          <w:pgMar w:left="500" w:top="117" w:right="499" w:bottom="1440" w:gutter="0" w:footer="0" w:header="0"/>
        </w:sectPr>
      </w:pPr>
    </w:p>
    <w:bookmarkStart w:id="12" w:name="page13"/>
    <w:bookmarkEnd w:id="12"/>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BREAD FINANCIAL HOLDINGS,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12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1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0"/>
                <w:szCs w:val="20"/>
                <w:color w:val="auto"/>
              </w:rPr>
            </w:pPr>
          </w:p>
        </w:tc>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9"/>
                <w:szCs w:val="19"/>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9"/>
                <w:szCs w:val="19"/>
                <w:color w:val="auto"/>
              </w:rPr>
            </w:pPr>
          </w:p>
        </w:tc>
        <w:tc>
          <w:tcPr>
            <w:tcW w:w="960" w:type="dxa"/>
            <w:vAlign w:val="bottom"/>
            <w:shd w:val="clear" w:color="auto" w:fill="E7E7E2"/>
          </w:tcPr>
          <w:p>
            <w:pPr>
              <w:jc w:val="cente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19"/>
                <w:szCs w:val="19"/>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1,425,831</w:t>
            </w:r>
          </w:p>
        </w:tc>
        <w:tc>
          <w:tcPr>
            <w:tcW w:w="40" w:type="dxa"/>
            <w:vAlign w:val="bottom"/>
          </w:tcPr>
          <w:p>
            <w:pPr>
              <w:spacing w:after="0"/>
              <w:rPr>
                <w:sz w:val="19"/>
                <w:szCs w:val="19"/>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$ 85.26</w:t>
            </w:r>
          </w:p>
        </w:tc>
        <w:tc>
          <w:tcPr>
            <w:tcW w:w="20" w:type="dxa"/>
            <w:vAlign w:val="bottom"/>
            <w:vMerge w:val="continue"/>
          </w:tcPr>
          <w:p>
            <w:pPr>
              <w:spacing w:after="0"/>
              <w:rPr>
                <w:sz w:val="19"/>
                <w:szCs w:val="19"/>
                <w:color w:val="auto"/>
              </w:rPr>
            </w:pPr>
          </w:p>
        </w:tc>
        <w:tc>
          <w:tcPr>
            <w:tcW w:w="1560" w:type="dxa"/>
            <w:vAlign w:val="bottom"/>
            <w:shd w:val="clear" w:color="auto" w:fill="E7E7E2"/>
          </w:tcPr>
          <w:p>
            <w:pPr>
              <w:jc w:val="right"/>
              <w:spacing w:after="0" w:line="227"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19"/>
                <w:szCs w:val="19"/>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9"/>
                <w:szCs w:val="19"/>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$ 16,788.31</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Stock</w:t>
            </w:r>
          </w:p>
        </w:tc>
        <w:tc>
          <w:tcPr>
            <w:tcW w:w="20" w:type="dxa"/>
            <w:vAlign w:val="bottom"/>
          </w:tcPr>
          <w:p>
            <w:pPr>
              <w:spacing w:after="0"/>
              <w:rPr>
                <w:sz w:val="24"/>
                <w:szCs w:val="24"/>
                <w:color w:val="auto"/>
              </w:rPr>
            </w:pPr>
          </w:p>
        </w:tc>
        <w:tc>
          <w:tcPr>
            <w:tcW w:w="1180" w:type="dxa"/>
            <w:vAlign w:val="bottom"/>
            <w:vMerge w:val="continue"/>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vMerge w:val="continue"/>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121,566,351.06</w:t>
            </w:r>
          </w:p>
        </w:tc>
        <w:tc>
          <w:tcPr>
            <w:tcW w:w="20" w:type="dxa"/>
            <w:vAlign w:val="bottom"/>
          </w:tcPr>
          <w:p>
            <w:pPr>
              <w:spacing w:after="0"/>
              <w:rPr>
                <w:sz w:val="24"/>
                <w:szCs w:val="24"/>
                <w:color w:val="auto"/>
              </w:rPr>
            </w:pPr>
          </w:p>
        </w:tc>
        <w:tc>
          <w:tcPr>
            <w:tcW w:w="106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vMerge w:val="continue"/>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$ 16,788.31</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121,566,351.06</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$ 16,788.31</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760" w:hanging="225"/>
        <w:spacing w:after="0" w:line="236" w:lineRule="auto"/>
        <w:tabs>
          <w:tab w:leader="none" w:pos="800" w:val="left"/>
        </w:tabs>
        <w:numPr>
          <w:ilvl w:val="0"/>
          <w:numId w:val="10"/>
        </w:numPr>
        <w:rPr>
          <w:rFonts w:ascii="Arial" w:cs="Arial" w:eastAsia="Arial" w:hAnsi="Arial"/>
          <w:sz w:val="27"/>
          <w:szCs w:val="27"/>
          <w:color w:val="auto"/>
          <w:vertAlign w:val="superscript"/>
        </w:rPr>
      </w:pPr>
      <w:r>
        <w:rPr>
          <w:rFonts w:ascii="Arial" w:cs="Arial" w:eastAsia="Arial" w:hAnsi="Arial"/>
          <w:sz w:val="21"/>
          <w:szCs w:val="21"/>
          <w:color w:val="auto"/>
        </w:rPr>
        <w:t>(1) Consists of: (i) up to 1,000,000 new shares of Common Stock reserved for issuance under the Bread Financial Holdings, Inc. 2026 Employee Stock Purchase Plan (the "2026 ESPP"); and (ii) 425,831 shares of Common Stock that remained available for sale under the Registrant's 2015 Employee Stock Purchase Plan (the "2015 ESPP") immediately prior to May 19, 2026, the effective date of the 2026 ESPP (the "Effective Date"). No new offerings will be made under the 2015 ESPP on or after the Effective Date. (2) Pursuant to Rule 416(a) under the Securities Act of 1933, as amended (the "Securities Act"), this Registration Statement also covers any additional shares of Common Stock that may become issuable under the 2026 ESPP as a result of any future stock splits, stock dividends, recapitalizations or similar adjustments of the outstanding Common Stock. (3) Estimated solely for the purpose of calculating the registration fee pursuant to Rule 457(c) and Rule 457(h) of the Securities Act. The proposed maximum offering price per share is estimated to be $85.26, based on the average of the high sales price (i.e., $86.42) and the low sales price (i.e., $84.09) for the Common Stock on the New York Stock Exchange on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87630</wp:posOffset>
            </wp:positionV>
            <wp:extent cx="63874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2"/>
    </w:lvl>
  </w:abstractNum>
  <w:abstractNum w:abstractNumId="1">
    <w:nsid w:val="507ED7AB"/>
    <w:multiLevelType w:val="hybridMultilevel"/>
    <w:lvl w:ilvl="0">
      <w:lvlJc w:val="left"/>
      <w:lvlText w:val="(%1)"/>
      <w:numFmt w:val="decimal"/>
      <w:start w:val="1"/>
    </w:lvl>
    <w:lvl w:ilvl="1">
      <w:lvlJc w:val="left"/>
      <w:lvlText w:val="•"/>
      <w:numFmt w:val="bullet"/>
      <w:start w:val="1"/>
    </w:lvl>
  </w:abstractNum>
  <w:abstractNum w:abstractNumId="2">
    <w:nsid w:val="2EB141F2"/>
    <w:multiLevelType w:val="hybridMultilevel"/>
    <w:lvl w:ilvl="0">
      <w:lvlJc w:val="left"/>
      <w:lvlText w:val="(%1)"/>
      <w:numFmt w:val="decimal"/>
      <w:start w:val="4"/>
    </w:lvl>
    <w:lvl w:ilvl="1">
      <w:lvlJc w:val="left"/>
      <w:lvlText w:val="•"/>
      <w:numFmt w:val="bullet"/>
      <w:start w:val="1"/>
    </w:lvl>
  </w:abstractNum>
  <w:abstractNum w:abstractNumId="3">
    <w:nsid w:val="41B71EFB"/>
    <w:multiLevelType w:val="hybridMultilevel"/>
    <w:lvl w:ilvl="0">
      <w:lvlJc w:val="left"/>
      <w:lvlText w:val=" "/>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515F007C"/>
    <w:multiLevelType w:val="hybridMultilevel"/>
    <w:lvl w:ilvl="0">
      <w:lvlJc w:val="left"/>
      <w:lvlText w:val="%1"/>
      <w:numFmt w:val="lowerLetter"/>
      <w:start w:val="1"/>
    </w:lvl>
    <w:lvl w:ilvl="1">
      <w:lvlJc w:val="left"/>
      <w:lvlText w:val="(%2)"/>
      <w:numFmt w:val="decimal"/>
      <w:start w:val="2"/>
    </w:lvl>
  </w:abstractNum>
  <w:abstractNum w:abstractNumId="7">
    <w:nsid w:val="5BD062C2"/>
    <w:multiLevelType w:val="hybridMultilevel"/>
    <w:lvl w:ilvl="0">
      <w:lvlJc w:val="left"/>
      <w:lvlText w:val="(%1)"/>
      <w:numFmt w:val="lowerLetter"/>
      <w:start w:val="2"/>
    </w:lvl>
    <w:lvl w:ilvl="1">
      <w:lvlJc w:val="left"/>
      <w:lvlText w:val="%2"/>
      <w:numFmt w:val="decimal"/>
      <w:start w:val="1"/>
    </w:lvl>
  </w:abstractNum>
  <w:abstractNum w:abstractNumId="8">
    <w:nsid w:val="12200854"/>
    <w:multiLevelType w:val="hybridMultilevel"/>
    <w:lvl w:ilvl="0">
      <w:lvlJc w:val="left"/>
      <w:lvlText w:val="%1."/>
      <w:numFmt w:val="upperLetter"/>
      <w:start w:val="1"/>
    </w:lvl>
  </w:abstractNum>
  <w:abstractNum w:abstractNumId="9">
    <w:nsid w:val="4DB127F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png"/><Relationship Id="rId43" Type="http://schemas.openxmlformats.org/officeDocument/2006/relationships/image" Target="media/image17.png"/><Relationship Id="rId44" Type="http://schemas.openxmlformats.org/officeDocument/2006/relationships/image" Target="media/image18.png"/><Relationship Id="rId45" Type="http://schemas.openxmlformats.org/officeDocument/2006/relationships/image" Target="media/image19.jpeg"/><Relationship Id="rId46" Type="http://schemas.openxmlformats.org/officeDocument/2006/relationships/image" Target="media/image20.png"/><Relationship Id="rId47" Type="http://schemas.openxmlformats.org/officeDocument/2006/relationships/image" Target="media/image21.png"/><Relationship Id="rId48" Type="http://schemas.openxmlformats.org/officeDocument/2006/relationships/image" Target="media/image22.png"/><Relationship Id="rId17" Type="http://schemas.openxmlformats.org/officeDocument/2006/relationships/hyperlink" Target="http://www.sec.gov/ix?doc=/Archives/edgar/data/1101215/000110121526000016/bfh-20251231.htm" TargetMode="External"/><Relationship Id="rId18" Type="http://schemas.openxmlformats.org/officeDocument/2006/relationships/hyperlink" Target="http://www.sec.gov/ix?doc=/Archives/edgar/data/1101215/000119312526144512/bfh-20260406.htm" TargetMode="External"/><Relationship Id="rId19" Type="http://schemas.openxmlformats.org/officeDocument/2006/relationships/hyperlink" Target="http://www.sec.gov/ix?doc=/Archives/edgar/data/1101215/000110121526000040/bfh-20260331.htm" TargetMode="External"/><Relationship Id="rId20" Type="http://schemas.openxmlformats.org/officeDocument/2006/relationships/hyperlink" Target="http://www.sec.gov/ix?doc=/Archives/edgar/data/1101215/000119312526218648/d118407d8k.htm" TargetMode="External"/><Relationship Id="rId21" Type="http://schemas.openxmlformats.org/officeDocument/2006/relationships/hyperlink" Target="http://www.sec.gov/ix?doc=/Archives/edgar/data/1101215/000110121526000053/bfh-20260505.htm" TargetMode="External"/><Relationship Id="rId23" Type="http://schemas.openxmlformats.org/officeDocument/2006/relationships/hyperlink" Target="http://www.sec.gov/ix?doc=/Archives/edgar/data/1101215/000110121526000047/bfh-20260505.htm" TargetMode="External"/><Relationship Id="rId24" Type="http://schemas.openxmlformats.org/officeDocument/2006/relationships/hyperlink" Target="http://www.sec.gov/ix?doc=/Archives/edgar/data/1101215/000110121526000036/bfh-20260423.htm" TargetMode="External"/><Relationship Id="rId25" Type="http://schemas.openxmlformats.org/officeDocument/2006/relationships/hyperlink" Target="http://www.sec.gov/ix?doc=/Archives/edgar/data/1101215/000110121526000021/bfh-20260217.htm" TargetMode="External"/><Relationship Id="rId26" Type="http://schemas.openxmlformats.org/officeDocument/2006/relationships/hyperlink" Target="http://www.sec.gov/ix?doc=/Archives/edgar/data/1101215/000110121526000007/bfh-20260129.htm" TargetMode="External"/><Relationship Id="rId27" Type="http://schemas.openxmlformats.org/officeDocument/2006/relationships/hyperlink" Target="http://www.sec.gov/ix?doc=/Archives/edgar/data/1101215/000110121526000058/bfh-20260519.htm" TargetMode="External"/><Relationship Id="rId28" Type="http://schemas.openxmlformats.org/officeDocument/2006/relationships/hyperlink" Target="http://www.sec.gov/Archives/edgar/data/1101215/000110121526000016/bfh-12312025xexx42.htm" TargetMode="External"/><Relationship Id="rId29" Type="http://schemas.openxmlformats.org/officeDocument/2006/relationships/hyperlink" Target="http://www.sec.gov/Archives/edgar/data/1101215/000119312526219015/d854451d8a12b.htm" TargetMode="External"/><Relationship Id="rId33" Type="http://schemas.openxmlformats.org/officeDocument/2006/relationships/hyperlink" Target="http://www.sec.gov/Archives/edgar/data/1101215/000110121516000364/exhibit_3-2.htm" TargetMode="External"/><Relationship Id="rId34" Type="http://schemas.openxmlformats.org/officeDocument/2006/relationships/hyperlink" Target="http://www.sec.gov/Archives/edgar/data/1101215/000110121522000058/exhibit_3-1.htm" TargetMode="External"/><Relationship Id="rId35" Type="http://schemas.openxmlformats.org/officeDocument/2006/relationships/hyperlink" Target="http://www.sec.gov/Archives/edgar/data/1101215/000119312525294761/d48032dex31.htm" TargetMode="External"/><Relationship Id="rId36" Type="http://schemas.openxmlformats.org/officeDocument/2006/relationships/hyperlink" Target="http://www.sec.gov/Archives/edgar/data/1101215/000119312526218648/d118407dex31.htm" TargetMode="External"/><Relationship Id="rId37" Type="http://schemas.openxmlformats.org/officeDocument/2006/relationships/hyperlink" Target="http://www.sec.gov/Archives/edgar/data/1101215/000110121522000058/exhibit_3-2.htm" TargetMode="External"/><Relationship Id="rId38" Type="http://schemas.openxmlformats.org/officeDocument/2006/relationships/hyperlink" Target="http://www.sec.gov/Archives/edgar/data/1101215/000104746903026831/a2114800zex-4.htm" TargetMode="External"/><Relationship Id="rId39" Type="http://schemas.openxmlformats.org/officeDocument/2006/relationships/hyperlink" Target="http://www.sec.gov/Archives/edgar/data/1101215/000110121515000099/form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2026-05-27T05:11:35Z</dcterms:created>
  <dcterms:modified xsi:type="dcterms:W3CDTF">2026-05-27T05:11:35Z</dcterms:modified>
</cp:coreProperties>
</file>