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0"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140335</wp:posOffset>
            </wp:positionV>
            <wp:extent cx="257175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BREAD FINANCIAL HOLDINGS,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25" w:lineRule="exact"/>
        <w:rPr>
          <w:sz w:val="24"/>
          <w:szCs w:val="24"/>
          <w:color w:val="auto"/>
        </w:rPr>
      </w:pPr>
    </w:p>
    <w:tbl>
      <w:tblPr>
        <w:tblLayout w:type="fixed"/>
        <w:tblInd w:w="700" w:type="dxa"/>
        <w:tblCellMar>
          <w:top w:w="0" w:type="dxa"/>
          <w:left w:w="0" w:type="dxa"/>
          <w:bottom w:w="0" w:type="dxa"/>
          <w:right w:w="0" w:type="dxa"/>
        </w:tblCellMar>
      </w:tblPr>
      <w:tr>
        <w:trPr>
          <w:trHeight w:val="286"/>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b w:val="1"/>
                <w:bCs w:val="1"/>
                <w:color w:val="auto"/>
                <w:w w:val="98"/>
              </w:rPr>
              <w:t>001-15749</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31-1429215</w:t>
            </w:r>
          </w:p>
        </w:tc>
      </w:tr>
      <w:tr>
        <w:trPr>
          <w:trHeight w:val="271"/>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9"/>
              </w:rPr>
              <w:t>(Commission</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2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w:t>
            </w:r>
          </w:p>
        </w:tc>
        <w:tc>
          <w:tcPr>
            <w:tcW w:w="51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8"/>
              </w:rPr>
              <w:t>File Number)</w:t>
            </w:r>
          </w:p>
        </w:tc>
        <w:tc>
          <w:tcPr>
            <w:tcW w:w="188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564"/>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6"/>
              </w:rPr>
              <w:t>3095 LOYALTY CIRCLE</w:t>
            </w:r>
          </w:p>
        </w:tc>
        <w:tc>
          <w:tcPr>
            <w:tcW w:w="1880" w:type="dxa"/>
            <w:vAlign w:val="bottom"/>
          </w:tcPr>
          <w:p>
            <w:pPr>
              <w:spacing w:after="0"/>
              <w:rPr>
                <w:sz w:val="24"/>
                <w:szCs w:val="24"/>
                <w:color w:val="auto"/>
              </w:rPr>
            </w:pPr>
          </w:p>
        </w:tc>
      </w:tr>
      <w:tr>
        <w:trPr>
          <w:trHeight w:val="260"/>
        </w:trPr>
        <w:tc>
          <w:tcPr>
            <w:tcW w:w="2440" w:type="dxa"/>
            <w:vAlign w:val="bottom"/>
          </w:tcPr>
          <w:p>
            <w:pPr>
              <w:spacing w:after="0"/>
              <w:rPr>
                <w:sz w:val="22"/>
                <w:szCs w:val="22"/>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COLUMBUS, Ohio 43219</w:t>
            </w:r>
          </w:p>
        </w:tc>
        <w:tc>
          <w:tcPr>
            <w:tcW w:w="1880" w:type="dxa"/>
            <w:vAlign w:val="bottom"/>
          </w:tcPr>
          <w:p>
            <w:pPr>
              <w:spacing w:after="0"/>
              <w:rPr>
                <w:sz w:val="22"/>
                <w:szCs w:val="22"/>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color w:val="auto"/>
                <w:w w:val="98"/>
              </w:rPr>
              <w:t>(Address and Zip Code of Principal Executive Offices)</w:t>
            </w:r>
          </w:p>
        </w:tc>
        <w:tc>
          <w:tcPr>
            <w:tcW w:w="1880" w:type="dxa"/>
            <w:vAlign w:val="bottom"/>
          </w:tcPr>
          <w:p>
            <w:pPr>
              <w:spacing w:after="0"/>
              <w:rPr>
                <w:sz w:val="24"/>
                <w:szCs w:val="24"/>
                <w:color w:val="auto"/>
              </w:rPr>
            </w:pPr>
          </w:p>
        </w:tc>
      </w:tr>
      <w:tr>
        <w:trPr>
          <w:trHeight w:val="460"/>
        </w:trPr>
        <w:tc>
          <w:tcPr>
            <w:tcW w:w="2440" w:type="dxa"/>
            <w:vAlign w:val="bottom"/>
          </w:tcPr>
          <w:p>
            <w:pPr>
              <w:spacing w:after="0"/>
              <w:rPr>
                <w:sz w:val="24"/>
                <w:szCs w:val="24"/>
                <w:color w:val="auto"/>
              </w:rPr>
            </w:pPr>
          </w:p>
        </w:tc>
        <w:tc>
          <w:tcPr>
            <w:tcW w:w="514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(614) 729-4000</w:t>
            </w:r>
          </w:p>
        </w:tc>
        <w:tc>
          <w:tcPr>
            <w:tcW w:w="1880" w:type="dxa"/>
            <w:vAlign w:val="bottom"/>
          </w:tcPr>
          <w:p>
            <w:pPr>
              <w:spacing w:after="0"/>
              <w:rPr>
                <w:sz w:val="24"/>
                <w:szCs w:val="24"/>
                <w:color w:val="auto"/>
              </w:rPr>
            </w:pPr>
          </w:p>
        </w:tc>
      </w:tr>
      <w:tr>
        <w:trPr>
          <w:trHeight w:val="282"/>
        </w:trPr>
        <w:tc>
          <w:tcPr>
            <w:tcW w:w="2440" w:type="dxa"/>
            <w:vAlign w:val="bottom"/>
          </w:tcPr>
          <w:p>
            <w:pPr>
              <w:spacing w:after="0"/>
              <w:rPr>
                <w:sz w:val="24"/>
                <w:szCs w:val="24"/>
                <w:color w:val="auto"/>
              </w:rPr>
            </w:pPr>
          </w:p>
        </w:tc>
        <w:tc>
          <w:tcPr>
            <w:tcW w:w="514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(Registrant’s Telephone Number, including Area Code)</w:t>
            </w:r>
          </w:p>
        </w:tc>
        <w:tc>
          <w:tcPr>
            <w:tcW w:w="1880" w:type="dxa"/>
            <w:vAlign w:val="bottom"/>
          </w:tcPr>
          <w:p>
            <w:pPr>
              <w:spacing w:after="0"/>
              <w:rPr>
                <w:sz w:val="24"/>
                <w:szCs w:val="24"/>
                <w:color w:val="auto"/>
              </w:rPr>
            </w:pPr>
          </w:p>
        </w:tc>
      </w:tr>
    </w:tbl>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4" w:lineRule="exact"/>
        <w:rPr>
          <w:sz w:val="24"/>
          <w:szCs w:val="24"/>
          <w:color w:val="auto"/>
        </w:rPr>
      </w:pPr>
    </w:p>
    <w:p>
      <w:pPr>
        <w:jc w:val="center"/>
        <w:ind w:right="-39"/>
        <w:spacing w:after="0" w:line="253" w:lineRule="exact"/>
        <w:rPr>
          <w:sz w:val="20"/>
          <w:szCs w:val="20"/>
          <w:color w:val="auto"/>
        </w:rPr>
      </w:pPr>
      <w:r>
        <w:rPr>
          <w:rFonts w:ascii="Times New Roman" w:cs="Times New Roman" w:eastAsia="Times New Roman" w:hAnsi="Times New Roman"/>
          <w:sz w:val="22"/>
          <w:szCs w:val="22"/>
          <w:color w:val="auto"/>
        </w:rPr>
        <w:t>(Former name or former address, if changed since last report)</w:t>
      </w:r>
      <w:r>
        <w:rPr>
          <w:rFonts w:ascii="MS PGothic" w:cs="MS PGothic" w:eastAsia="MS PGothic" w:hAnsi="MS PGothic"/>
          <w:sz w:val="22"/>
          <w:szCs w:val="22"/>
          <w:color w:val="auto"/>
        </w:rPr>
        <w:t>☐</w:t>
      </w:r>
    </w:p>
    <w:p>
      <w:pPr>
        <w:spacing w:after="0" w:line="204" w:lineRule="exact"/>
        <w:rPr>
          <w:sz w:val="24"/>
          <w:szCs w:val="24"/>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w:t>
      </w:r>
    </w:p>
    <w:p>
      <w:pPr>
        <w:spacing w:after="0" w:line="219" w:lineRule="exact"/>
        <w:rPr>
          <w:rFonts w:ascii="MS PGothic" w:cs="MS PGothic" w:eastAsia="MS PGothic" w:hAnsi="MS PGothic"/>
          <w:sz w:val="22"/>
          <w:szCs w:val="22"/>
          <w:color w:val="auto"/>
        </w:rPr>
      </w:pPr>
    </w:p>
    <w:p>
      <w:pPr>
        <w:ind w:left="920" w:hanging="894"/>
        <w:spacing w:after="0"/>
        <w:tabs>
          <w:tab w:leader="none" w:pos="9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Name of each exchange on which</w:t>
            </w:r>
          </w:p>
        </w:tc>
      </w:tr>
      <w:tr>
        <w:trPr>
          <w:trHeight w:val="291"/>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registered</w:t>
            </w:r>
          </w:p>
        </w:tc>
      </w:tr>
      <w:tr>
        <w:trPr>
          <w:trHeight w:val="27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7"/>
              </w:rPr>
              <w:t>Common Stock, par value $0.01 per</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BFH</w:t>
            </w:r>
          </w:p>
        </w:tc>
        <w:tc>
          <w:tcPr>
            <w:tcW w:w="370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NYSE</w:t>
            </w:r>
          </w:p>
        </w:tc>
      </w:tr>
      <w:tr>
        <w:trPr>
          <w:trHeight w:val="28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8"/>
              </w:rPr>
              <w:t>share</w:t>
            </w:r>
          </w:p>
        </w:tc>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BFH PrA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Interest in a Share of 8.625% Non-Cumulative</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Perpetual Preferred Stock, Series A</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25"/>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Depositary Shares, Each Representing a 1/40th</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BFH PrB</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1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Interest in a Share of 8.875% Fixed Rate Reset</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3"/>
        </w:trPr>
        <w:tc>
          <w:tcPr>
            <w:tcW w:w="37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rPr>
              <w:t>Non-Cumulative Perpetual Preferred Stock,</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34"/>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Series B</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ectPr>
          <w:pgSz w:w="11900" w:h="16838" w:orient="portrait"/>
          <w:cols w:equalWidth="0" w:num="1">
            <w:col w:w="11220"/>
          </w:cols>
          <w:pgMar w:left="320" w:top="1440" w:right="359" w:bottom="0" w:gutter="0" w:footer="0" w:header="0"/>
        </w:sectPr>
      </w:pPr>
    </w:p>
    <w:bookmarkStart w:id="1" w:name="page2"/>
    <w:bookmarkEnd w:id="1"/>
    <w:p>
      <w:pPr>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0"/>
          <w:szCs w:val="20"/>
          <w:color w:val="auto"/>
        </w:rPr>
      </w:pPr>
    </w:p>
    <w:p>
      <w:pPr>
        <w:ind w:left="66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rPr>
        <w:t>☐</w:t>
      </w:r>
    </w:p>
    <w:p>
      <w:pPr>
        <w:spacing w:after="0" w:line="281"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7"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22"/>
          <w:szCs w:val="22"/>
          <w:color w:val="auto"/>
        </w:rPr>
        <w:t>On October 27, 2026, Bread Financial Holdings, Inc. (the “Company”) announced the pricing of an underwritten public offering of 5,000,000 depositary shares (the “Depositary Shares”), each representing a 1/40th interest in a share of its 9.375% Fixed Rate Reset Non-Cumulative Perpetual Preferred Stock, Series C, par value $0.01 per share (the “Series C Preferred Stock”), with a liquidation preference of $25 per Depositary Share (equivalent to $1,000 per share of Series C Preferred Stock). In addition, pursuant to the underwriting agreement, dated October 27, 2026, between the Company and Morgan Stanley &amp; Co., LLC, Keefe, Bruyette &amp; Woods, Inc., RBC Capital Markets, LLC, UBS Securities LLC and Wells Fargo Securities, LLC, as representatives of the underwriters named therein (the “Underwriters”), the Company granted the Underwriters an option to purchase up to an additional 750,000 Depositary Shares at the same price for a period of 30 days following October 27, 2026. The Company intends to use the net proceeds from the sale of the Depositary Shares for general corporate purposes, which may include contributing or lending all or a portion of the proceeds to its subsidiary bank, Comenity Capital Bank, and share repurchases.</w:t>
      </w:r>
    </w:p>
    <w:p>
      <w:pPr>
        <w:spacing w:after="0" w:line="19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A copy of a press release announcing the pricing of the offering is filed as Exhibit 99.1 hereto and incorporated herein by reference.</w:t>
      </w:r>
    </w:p>
    <w:p>
      <w:pPr>
        <w:spacing w:after="0" w:line="185"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The offering of the Depositary Shares and the Series C Preferred Stock has been registered under the Securities Act of 1933, as amended (the “Securities Act”), pursuant to a registration statement on Form S-3 (Registration No. 333-291573) (the “Registration Statement”), and a prospectus supplement, dated October 27, 2026, which will be filed with the Securities and Exchange Commission pursuant to Rule 424(b) of the Securities Act no later than the second business day following the date it was first used in connection with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Exhibit No.</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Document Description</w:t>
            </w: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rPr>
              <w:t>99.</w:t>
            </w:r>
            <w:r>
              <w:rPr>
                <w:rFonts w:ascii="Times New Roman" w:cs="Times New Roman" w:eastAsia="Times New Roman" w:hAnsi="Times New Roman"/>
                <w:sz w:val="22"/>
                <w:szCs w:val="22"/>
                <w:u w:val="single" w:color="auto"/>
                <w:color w:val="0000FF"/>
              </w:rPr>
              <w:t>1</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Press release announcing the pricing of the offering of Depositary Shares representing interests in Series C</w:t>
            </w:r>
          </w:p>
        </w:tc>
      </w:tr>
      <w:tr>
        <w:trPr>
          <w:trHeight w:val="289"/>
        </w:trPr>
        <w:tc>
          <w:tcPr>
            <w:tcW w:w="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Preferred Stock, dated October 27, 2026.</w:t>
            </w:r>
          </w:p>
        </w:tc>
      </w:tr>
      <w:tr>
        <w:trPr>
          <w:trHeight w:val="297"/>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2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035"/>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2"/>
          <w:szCs w:val="22"/>
          <w:color w:val="auto"/>
        </w:rPr>
        <w:t>SIGNATURES</w:t>
      </w:r>
    </w:p>
    <w:p>
      <w:pPr>
        <w:spacing w:after="0" w:line="22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2"/>
          <w:szCs w:val="22"/>
          <w:color w:val="auto"/>
        </w:rPr>
        <w:t>Bread Financial Holdings, Inc.</w:t>
      </w:r>
    </w:p>
    <w:p>
      <w:pPr>
        <w:spacing w:after="0" w:line="233" w:lineRule="exact"/>
        <w:rPr>
          <w:sz w:val="20"/>
          <w:szCs w:val="20"/>
          <w:color w:val="auto"/>
        </w:rPr>
      </w:pPr>
    </w:p>
    <w:p>
      <w:pPr>
        <w:ind w:left="20"/>
        <w:spacing w:after="0"/>
        <w:tabs>
          <w:tab w:leader="none" w:pos="6180" w:val="left"/>
          <w:tab w:leader="none" w:pos="6740" w:val="left"/>
        </w:tabs>
        <w:rPr>
          <w:sz w:val="20"/>
          <w:szCs w:val="20"/>
          <w:color w:val="auto"/>
        </w:rPr>
      </w:pPr>
      <w:r>
        <w:rPr>
          <w:rFonts w:ascii="Times New Roman" w:cs="Times New Roman" w:eastAsia="Times New Roman" w:hAnsi="Times New Roman"/>
          <w:sz w:val="22"/>
          <w:szCs w:val="22"/>
          <w:color w:val="auto"/>
        </w:rPr>
        <w:t>Date: October 27,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L. Motes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19685</wp:posOffset>
            </wp:positionV>
            <wp:extent cx="28543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Joseph L. Motes III</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Executive Vice President, Chief</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Administrative Officer, General</w:t>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Counsel and Secretary</w:t>
      </w:r>
    </w:p>
    <w:p>
      <w:pPr>
        <w:sectPr>
          <w:pgSz w:w="11900" w:h="16838" w:orient="portrait"/>
          <w:cols w:equalWidth="0" w:num="1">
            <w:col w:w="11200"/>
          </w:cols>
          <w:pgMar w:left="320" w:top="1152"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1450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340"/>
        <w:spacing w:after="0" w:line="256" w:lineRule="auto"/>
        <w:rPr>
          <w:sz w:val="20"/>
          <w:szCs w:val="20"/>
          <w:color w:val="auto"/>
        </w:rPr>
      </w:pPr>
      <w:r>
        <w:rPr>
          <w:rFonts w:ascii="Arial" w:cs="Arial" w:eastAsia="Arial" w:hAnsi="Arial"/>
          <w:sz w:val="20"/>
          <w:szCs w:val="20"/>
          <w:b w:val="1"/>
          <w:bCs w:val="1"/>
          <w:color w:val="auto"/>
        </w:rPr>
        <w:t>Bread Financial Announces Pricing of an Offering of Depositary Shares Representing Interests in Its Series C Preferred Stock</w:t>
      </w:r>
    </w:p>
    <w:p>
      <w:pPr>
        <w:spacing w:after="0" w:line="159"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COLUMBUS, Ohio, October 27, 2026 (GLOBE NEWSWIRE) -- Bread Financial Holdings, Inc. (NYSE: BFH) (“Bread Financial” or the “Company”) announced today the pricing of its previously announced underwritten public offering of 5,000,000 depositary shares (the “Depositary Shares”), each representing a 1/40th interest in a share of its 9.375% Fixed Rate Reset Non-Cumulative Perpetual Preferred Stock, Series C, par value $0.01 per share (the “Series C Preferred Stock”), with a liquidation preference of $25 per Depositary Share (equivalent to $1,000 per share of Series C Preferred Stock). In addition, pursuant to the underwriting agreement, dated October 27, 2026, between the Company and Morgan Stanley &amp; Co., LLC, Keefe, Bruyette &amp; Woods, Inc., RBC Capital Markets, LLC, UBS Securities LLC and Wells Fargo Securities, LLC, as representatives of the underwriters named therein (the “Underwriters”), the Company granted the Underwriters an option to purchase up to an additional 750,000 Depositary Shares at the same price for a period of 30 days following October 27, 2026.</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apply to list the Depositary Shares on The New York Stock Exchange.</w:t>
      </w:r>
    </w:p>
    <w:p>
      <w:pPr>
        <w:spacing w:after="0" w:line="229" w:lineRule="exact"/>
        <w:rPr>
          <w:sz w:val="20"/>
          <w:szCs w:val="20"/>
          <w:color w:val="auto"/>
        </w:rPr>
      </w:pPr>
    </w:p>
    <w:p>
      <w:pPr>
        <w:ind w:right="400"/>
        <w:spacing w:after="0" w:line="245" w:lineRule="auto"/>
        <w:rPr>
          <w:sz w:val="20"/>
          <w:szCs w:val="20"/>
          <w:color w:val="auto"/>
        </w:rPr>
      </w:pPr>
      <w:r>
        <w:rPr>
          <w:rFonts w:ascii="Arial" w:cs="Arial" w:eastAsia="Arial" w:hAnsi="Arial"/>
          <w:sz w:val="20"/>
          <w:szCs w:val="20"/>
          <w:color w:val="auto"/>
        </w:rPr>
        <w:t>The closing of the offering of the Depositary Shares is expected to occur on November 3, 2026, subject to the satisfaction of customary closing conditions, and is expected to result in approximately $120,162,500 in net proceeds to the Company, assuming no exercise of the Underwriters’ option, after deducting the underwriting discounts and the estimated offering expenses payable by the Company.</w:t>
      </w:r>
    </w:p>
    <w:p>
      <w:pPr>
        <w:spacing w:after="0" w:line="195" w:lineRule="exact"/>
        <w:rPr>
          <w:sz w:val="20"/>
          <w:szCs w:val="20"/>
          <w:color w:val="auto"/>
        </w:rPr>
      </w:pPr>
    </w:p>
    <w:p>
      <w:pPr>
        <w:jc w:val="both"/>
        <w:ind w:right="360"/>
        <w:spacing w:after="0" w:line="248" w:lineRule="auto"/>
        <w:rPr>
          <w:sz w:val="20"/>
          <w:szCs w:val="20"/>
          <w:color w:val="auto"/>
        </w:rPr>
      </w:pPr>
      <w:r>
        <w:rPr>
          <w:rFonts w:ascii="Arial" w:cs="Arial" w:eastAsia="Arial" w:hAnsi="Arial"/>
          <w:sz w:val="20"/>
          <w:szCs w:val="20"/>
          <w:color w:val="auto"/>
        </w:rPr>
        <w:t>The Company intends to use the net proceeds from the sale of the Depositary Shares for general corporate purposes, which may include contributing or lending all or a portion of the proceeds to its subsidiary bank, Comenity Capital Bank, and share repurchases.</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 xml:space="preserve">Morgan Stanley &amp; Co. LLC, Keefe, Bruyette &amp; Woods, </w:t>
      </w:r>
      <w:r>
        <w:rPr>
          <w:rFonts w:ascii="Arial" w:cs="Arial" w:eastAsia="Arial" w:hAnsi="Arial"/>
          <w:sz w:val="20"/>
          <w:szCs w:val="20"/>
          <w:i w:val="1"/>
          <w:iCs w:val="1"/>
          <w:color w:val="auto"/>
        </w:rPr>
        <w:t>A Stifel Company</w:t>
      </w:r>
      <w:r>
        <w:rPr>
          <w:rFonts w:ascii="Arial" w:cs="Arial" w:eastAsia="Arial" w:hAnsi="Arial"/>
          <w:sz w:val="20"/>
          <w:szCs w:val="20"/>
          <w:color w:val="auto"/>
        </w:rPr>
        <w:t>, RBC Capital Markets, LLC, UBS Investment Bank and Wells Fargo Securities, LLC are acting as joint bookrunners for the offering.</w:t>
      </w:r>
    </w:p>
    <w:p>
      <w:pPr>
        <w:spacing w:after="0" w:line="169" w:lineRule="exact"/>
        <w:rPr>
          <w:sz w:val="20"/>
          <w:szCs w:val="20"/>
          <w:color w:val="auto"/>
        </w:rPr>
      </w:pPr>
    </w:p>
    <w:p>
      <w:pPr>
        <w:spacing w:after="0" w:line="228" w:lineRule="exact"/>
        <w:rPr>
          <w:sz w:val="20"/>
          <w:szCs w:val="20"/>
          <w:color w:val="auto"/>
        </w:rPr>
      </w:pPr>
      <w:r>
        <w:rPr>
          <w:rFonts w:ascii="Arial" w:cs="Arial" w:eastAsia="Arial" w:hAnsi="Arial"/>
          <w:sz w:val="20"/>
          <w:szCs w:val="20"/>
          <w:color w:val="auto"/>
        </w:rPr>
        <w:t xml:space="preserve">The offering is being made pursuant to an effective registration statement (including a prospectus) on Form S-3 previously filed with the Securities and Exchange Commission (“SEC”) and a prospectus supplement. The offering is being made only by means of a prospectus supplement and accompanying prospectus. Copies of the prospectus supplement and accompanying prospectus relating to the offering, when available, may be obtained from Morgan Stanley &amp; Co. LLC at 1-866-718-1649; Keefe, Bruyette &amp; Woods, </w:t>
      </w:r>
      <w:r>
        <w:rPr>
          <w:rFonts w:ascii="Arial" w:cs="Arial" w:eastAsia="Arial" w:hAnsi="Arial"/>
          <w:sz w:val="20"/>
          <w:szCs w:val="20"/>
          <w:i w:val="1"/>
          <w:iCs w:val="1"/>
          <w:color w:val="auto"/>
        </w:rPr>
        <w:t>A Stifel Company</w:t>
      </w:r>
      <w:r>
        <w:rPr>
          <w:rFonts w:ascii="Arial" w:cs="Arial" w:eastAsia="Arial" w:hAnsi="Arial"/>
          <w:sz w:val="20"/>
          <w:szCs w:val="20"/>
          <w:color w:val="auto"/>
        </w:rPr>
        <w:t xml:space="preserve"> at 1</w:t>
      </w:r>
      <w:r>
        <w:rPr>
          <w:rFonts w:ascii="MS PGothic" w:cs="MS PGothic" w:eastAsia="MS PGothic" w:hAnsi="MS PGothic"/>
          <w:sz w:val="20"/>
          <w:szCs w:val="20"/>
          <w:color w:val="auto"/>
        </w:rPr>
        <w:t>‐</w:t>
      </w:r>
      <w:r>
        <w:rPr>
          <w:rFonts w:ascii="Arial" w:cs="Arial" w:eastAsia="Arial" w:hAnsi="Arial"/>
          <w:sz w:val="20"/>
          <w:szCs w:val="20"/>
          <w:color w:val="auto"/>
        </w:rPr>
        <w:t>800</w:t>
      </w:r>
      <w:r>
        <w:rPr>
          <w:rFonts w:ascii="MS PGothic" w:cs="MS PGothic" w:eastAsia="MS PGothic" w:hAnsi="MS PGothic"/>
          <w:sz w:val="20"/>
          <w:szCs w:val="20"/>
          <w:color w:val="auto"/>
        </w:rPr>
        <w:t>‐</w:t>
      </w:r>
      <w:r>
        <w:rPr>
          <w:rFonts w:ascii="Arial" w:cs="Arial" w:eastAsia="Arial" w:hAnsi="Arial"/>
          <w:sz w:val="20"/>
          <w:szCs w:val="20"/>
          <w:color w:val="auto"/>
        </w:rPr>
        <w:t>966</w:t>
      </w:r>
      <w:r>
        <w:rPr>
          <w:rFonts w:ascii="MS PGothic" w:cs="MS PGothic" w:eastAsia="MS PGothic" w:hAnsi="MS PGothic"/>
          <w:sz w:val="20"/>
          <w:szCs w:val="20"/>
          <w:color w:val="auto"/>
        </w:rPr>
        <w:t>‐</w:t>
      </w:r>
      <w:r>
        <w:rPr>
          <w:rFonts w:ascii="Arial" w:cs="Arial" w:eastAsia="Arial" w:hAnsi="Arial"/>
          <w:sz w:val="20"/>
          <w:szCs w:val="20"/>
          <w:color w:val="auto"/>
        </w:rPr>
        <w:t>1559; RBC Capital Markets, LLC at 1-866-375-6829; UBS Investment Bank at 1-833-481-0269; and Wells Fargo Securities, LLC at 1-800-645-3751.</w:t>
      </w:r>
    </w:p>
    <w:p>
      <w:pPr>
        <w:spacing w:after="0" w:line="217"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auto"/>
        </w:rPr>
        <w:t>This news release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The offering of these securities</w:t>
      </w:r>
    </w:p>
    <w:p>
      <w:pPr>
        <w:sectPr>
          <w:pgSz w:w="11900" w:h="16838" w:orient="portrait"/>
          <w:cols w:equalWidth="0" w:num="1">
            <w:col w:w="11240"/>
          </w:cols>
          <w:pgMar w:left="320" w:top="142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t>may be made only by means of a prospectus supplement and accompanying base prospectus relating to this offering.</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Bread Financial</w:t>
      </w:r>
      <w:r>
        <w:rPr>
          <w:rFonts w:ascii="Arial" w:cs="Arial" w:eastAsia="Arial" w:hAnsi="Arial"/>
          <w:sz w:val="25"/>
          <w:szCs w:val="25"/>
          <w:b w:val="1"/>
          <w:bCs w:val="1"/>
          <w:color w:val="auto"/>
          <w:vertAlign w:val="superscript"/>
        </w:rPr>
        <w:t>®</w:t>
      </w:r>
    </w:p>
    <w:p>
      <w:pPr>
        <w:spacing w:after="0" w:line="187"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Bread Financial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(NYSE: BFH) is a tech-forward financial services company that provides simple, personalized payment, lending and saving solutions to millions of U.S. consumers. The Company’s payment solutions deliver growth for some of the most recognized brands in travel and entertainment, specialty apparel, health and beauty, jewelry, sporting goods, technology and electronics, as well as home and furniture through their co-brand and private label credit cards and pay-over-time products providing choice and value to their shared customers. Additionally, we offer Bread Financial general purpose credit cards and saving products that empower our customers and their passions for a better life.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This news release contains forward-looking statements, including, but not limited to, statements related to the Depositary Shares offering described above. Forward-looking statements give the Company’s expectations or forecasts of future events and can generally be identified by the use of words such as “believe,” “expect,” “anticipate,” “estimate,” “intend,” “project,” “plan,” “likely,” “may,” “should” or other words or phrases of similar import. Similarly, statements that describe the Company’s business strategy, outlook, objectives, plans, intentions or goals also are forward-looking statements. Examples of forward-looking statements include, but are not limited to, statements the Company made regarding, and the guidance the Company gives with respect to, the Company’s anticipated operating or financial results, future financial performance and outlook, future dividend declarations or stock repurchases and future economic conditions.</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The Company believes that its expectations are based on reasonable assumptions. Forward-looking statements, however, are subject to a number of risks and uncertainties that are difficult to predict and, in many cases, beyond its control. Accordingly, the Company’s actual results could differ materially from the projections, anticipated results or other expectations expressed in this release, and no assurances can be given that the Company’s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domestic and international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military conflicts and international tensions or hostilities; local or global public health issues, climate-related events, impacts to the power grid, and natural disasters; future credit performance of the Company’s customers, including the level of future delinquency and charge-off rates; loss of, or reduction in demand for services and/or products from, significant brand partners or customers in the highly competitive markets in which the Company operates,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the Company’s business in U.S. consumer credit; increases or volatility in the allowance for credit losses that may result from the application of the current expected credit loss model; inaccuracies in the models and estimates on which the</w:t>
      </w:r>
    </w:p>
    <w:p>
      <w:pPr>
        <w:sectPr>
          <w:pgSz w:w="11900" w:h="16838" w:orient="portrait"/>
          <w:cols w:equalWidth="0" w:num="1">
            <w:col w:w="11240"/>
          </w:cols>
          <w:pgMar w:left="320" w:top="1414" w:right="339" w:bottom="1440" w:gutter="0" w:footer="0" w:header="0"/>
        </w:sectPr>
      </w:pPr>
    </w:p>
    <w:bookmarkStart w:id="6" w:name="page7"/>
    <w:bookmarkEnd w:id="6"/>
    <w:p>
      <w:pPr>
        <w:spacing w:after="0" w:line="233"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1450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14500" cy="240030"/>
                    </a:xfrm>
                    <a:prstGeom prst="rect">
                      <a:avLst/>
                    </a:prstGeom>
                    <a:noFill/>
                  </pic:spPr>
                </pic:pic>
              </a:graphicData>
            </a:graphic>
          </wp:anchor>
        </w:drawing>
        <w:t>Company rely, including the Company’s credit risk management models and the amount of its allowance for credit losses; increases in fraudulent activity; failure to identify, complete or successfully integrate or disaggregate business acquisitions, divestitures and other strategic initiatives, including, with respect to divested businesses, any associated guarantees, indemnities or other liabilities; the extent to which the Company’s results are dependent upon its brand partners, including its brand partners’ financial performance and reputation, as well as the effective promotion and support of the Company’s products by brand partners; increases in the cost of doing business, including market interest rates; the Company’s level of indebtedness and inability to access financial or capital markets, including asset-backed securitization funding or deposits markets; restrictions that limit the Company’s ability to pay dividends and repurchase its stock, and restrictions that limit the ability of the Company’s subsidiary bank, Comenity Capital Bank (the “Bank”), to pay dividends to the Company; pending and future litigation; pending and future federal, state, local and foreign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increases in regulatory capital requirements or other support for the Bank; failures or breaches in its operational or security systems, including as a result of cyberattacks, unanticipated impacts from technology modernization projects, failure of its information security controls or otherwise; loss of consumer information or other data due to compromised physical or cyber security, including disruptive attacks from financially motivated bad actors and third party supply chain issues; and any liability or other adverse impacts arising out of or related to the spinoff of the Company’s former LoyaltyOne segment or the bankruptcy filings of Loyalty Ventures Inc. and certain of its subsidiaries, including the pending litigation against the Company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the Company’s Annual Report on Form 10-K for the most recently ended fiscal year, which may be updated in Item 1A of, or elsewhere in, the Company’s Quarterly Reports on Form 10-Q filed for periods subsequent to such Form 10-K. The Company’s forward-looking statements contained in this news release speak only as of the date made, and it undertakes no obligation, other than as required by applicable law, to update or revise any forward-looking statements, whether as a result of new information, subsequent events, anticipated or unanticipated circumstances or otherwise.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Brian Vereb —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Brian.Vereb@breadfinancial.com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Susan Haugen —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Susan.Haugen@breadfinancial.com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Rachel Stultz — Media</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Rachel.Stultz@breadfinancial.com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2026-10-28T05:15:43Z</dcterms:created>
  <dcterms:modified xsi:type="dcterms:W3CDTF">2026-10-28T05:15:43Z</dcterms:modified>
</cp:coreProperties>
</file>