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SECURITIES AND EXCHANGE COMMISSION</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200" w:lineRule="exact"/>
        <w:rPr>
          <w:sz w:val="24"/>
          <w:szCs w:val="24"/>
          <w:color w:val="auto"/>
        </w:rPr>
      </w:pP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FORM 8-K</w:t>
      </w:r>
    </w:p>
    <w:p>
      <w:pPr>
        <w:spacing w:after="0" w:line="24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SECURITIES EXCHANGE ACT OF 1934</w:t>
      </w:r>
    </w:p>
    <w:p>
      <w:pPr>
        <w:spacing w:after="0" w:line="229"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Date of report (Date of earliest event reported):</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September 20, 2011</w:t>
      </w:r>
    </w:p>
    <w:p>
      <w:pPr>
        <w:spacing w:after="0" w:line="203"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ALLIANCE DATA SYSTEMS CORPORATION</w:t>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900" w:type="dxa"/>
        <w:tblCellMar>
          <w:top w:w="0" w:type="dxa"/>
          <w:left w:w="0" w:type="dxa"/>
          <w:bottom w:w="0" w:type="dxa"/>
          <w:right w:w="0" w:type="dxa"/>
        </w:tblCellMar>
      </w:tblPr>
      <w:tr>
        <w:trPr>
          <w:trHeight w:val="209"/>
        </w:trPr>
        <w:tc>
          <w:tcPr>
            <w:tcW w:w="3100" w:type="dxa"/>
            <w:vAlign w:val="bottom"/>
          </w:tcPr>
          <w:p>
            <w:pPr>
              <w:jc w:val="center"/>
              <w:ind w:right="1175"/>
              <w:spacing w:after="0"/>
              <w:rPr>
                <w:sz w:val="20"/>
                <w:szCs w:val="20"/>
                <w:color w:val="auto"/>
              </w:rPr>
            </w:pPr>
            <w:r>
              <w:rPr>
                <w:rFonts w:ascii="Arial" w:cs="Arial" w:eastAsia="Arial" w:hAnsi="Arial"/>
                <w:sz w:val="17"/>
                <w:szCs w:val="17"/>
                <w:b w:val="1"/>
                <w:bCs w:val="1"/>
                <w:color w:val="auto"/>
                <w:w w:val="97"/>
              </w:rPr>
              <w:t>DELAWARE</w:t>
            </w:r>
          </w:p>
        </w:tc>
        <w:tc>
          <w:tcPr>
            <w:tcW w:w="356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001-15749</w:t>
            </w:r>
          </w:p>
        </w:tc>
        <w:tc>
          <w:tcPr>
            <w:tcW w:w="2660" w:type="dxa"/>
            <w:vAlign w:val="bottom"/>
          </w:tcPr>
          <w:p>
            <w:pPr>
              <w:jc w:val="center"/>
              <w:ind w:left="1315"/>
              <w:spacing w:after="0"/>
              <w:rPr>
                <w:sz w:val="20"/>
                <w:szCs w:val="20"/>
                <w:color w:val="auto"/>
              </w:rPr>
            </w:pPr>
            <w:r>
              <w:rPr>
                <w:rFonts w:ascii="Arial" w:cs="Arial" w:eastAsia="Arial" w:hAnsi="Arial"/>
                <w:sz w:val="17"/>
                <w:szCs w:val="17"/>
                <w:b w:val="1"/>
                <w:bCs w:val="1"/>
                <w:color w:val="auto"/>
                <w:w w:val="90"/>
              </w:rPr>
              <w:t>31-1429215</w:t>
            </w:r>
          </w:p>
        </w:tc>
      </w:tr>
      <w:tr>
        <w:trPr>
          <w:trHeight w:val="205"/>
        </w:trPr>
        <w:tc>
          <w:tcPr>
            <w:tcW w:w="3100" w:type="dxa"/>
            <w:vAlign w:val="bottom"/>
          </w:tcPr>
          <w:p>
            <w:pPr>
              <w:jc w:val="center"/>
              <w:ind w:right="1155"/>
              <w:spacing w:after="0"/>
              <w:rPr>
                <w:sz w:val="20"/>
                <w:szCs w:val="20"/>
                <w:color w:val="auto"/>
              </w:rPr>
            </w:pPr>
            <w:r>
              <w:rPr>
                <w:rFonts w:ascii="Arial" w:cs="Arial" w:eastAsia="Arial" w:hAnsi="Arial"/>
                <w:sz w:val="17"/>
                <w:szCs w:val="17"/>
                <w:color w:val="auto"/>
                <w:w w:val="91"/>
              </w:rPr>
              <w:t>(State or Other Jurisdiction</w:t>
            </w:r>
          </w:p>
        </w:tc>
        <w:tc>
          <w:tcPr>
            <w:tcW w:w="3560" w:type="dxa"/>
            <w:vAlign w:val="bottom"/>
          </w:tcPr>
          <w:p>
            <w:pPr>
              <w:jc w:val="center"/>
              <w:ind w:right="75"/>
              <w:spacing w:after="0"/>
              <w:rPr>
                <w:sz w:val="20"/>
                <w:szCs w:val="20"/>
                <w:color w:val="auto"/>
              </w:rPr>
            </w:pPr>
            <w:r>
              <w:rPr>
                <w:rFonts w:ascii="Arial" w:cs="Arial" w:eastAsia="Arial" w:hAnsi="Arial"/>
                <w:sz w:val="17"/>
                <w:szCs w:val="17"/>
                <w:color w:val="auto"/>
                <w:w w:val="92"/>
              </w:rPr>
              <w:t>(Commission</w:t>
            </w:r>
          </w:p>
        </w:tc>
        <w:tc>
          <w:tcPr>
            <w:tcW w:w="2660" w:type="dxa"/>
            <w:vAlign w:val="bottom"/>
          </w:tcPr>
          <w:p>
            <w:pPr>
              <w:jc w:val="center"/>
              <w:ind w:left="1335"/>
              <w:spacing w:after="0"/>
              <w:rPr>
                <w:sz w:val="20"/>
                <w:szCs w:val="20"/>
                <w:color w:val="auto"/>
              </w:rPr>
            </w:pPr>
            <w:r>
              <w:rPr>
                <w:rFonts w:ascii="Arial" w:cs="Arial" w:eastAsia="Arial" w:hAnsi="Arial"/>
                <w:sz w:val="17"/>
                <w:szCs w:val="17"/>
                <w:color w:val="auto"/>
                <w:w w:val="94"/>
              </w:rPr>
              <w:t>(IRS Employer</w:t>
            </w:r>
          </w:p>
        </w:tc>
      </w:tr>
      <w:tr>
        <w:trPr>
          <w:trHeight w:val="216"/>
        </w:trPr>
        <w:tc>
          <w:tcPr>
            <w:tcW w:w="3100" w:type="dxa"/>
            <w:vAlign w:val="bottom"/>
          </w:tcPr>
          <w:p>
            <w:pPr>
              <w:jc w:val="center"/>
              <w:ind w:right="1175"/>
              <w:spacing w:after="0"/>
              <w:rPr>
                <w:sz w:val="20"/>
                <w:szCs w:val="20"/>
                <w:color w:val="auto"/>
              </w:rPr>
            </w:pPr>
            <w:r>
              <w:rPr>
                <w:rFonts w:ascii="Arial" w:cs="Arial" w:eastAsia="Arial" w:hAnsi="Arial"/>
                <w:sz w:val="17"/>
                <w:szCs w:val="17"/>
                <w:color w:val="auto"/>
                <w:w w:val="93"/>
              </w:rPr>
              <w:t>of Incorporation)</w:t>
            </w:r>
          </w:p>
        </w:tc>
        <w:tc>
          <w:tcPr>
            <w:tcW w:w="3560" w:type="dxa"/>
            <w:vAlign w:val="bottom"/>
          </w:tcPr>
          <w:p>
            <w:pPr>
              <w:jc w:val="center"/>
              <w:ind w:right="75"/>
              <w:spacing w:after="0"/>
              <w:rPr>
                <w:sz w:val="20"/>
                <w:szCs w:val="20"/>
                <w:color w:val="auto"/>
              </w:rPr>
            </w:pPr>
            <w:r>
              <w:rPr>
                <w:rFonts w:ascii="Arial" w:cs="Arial" w:eastAsia="Arial" w:hAnsi="Arial"/>
                <w:sz w:val="17"/>
                <w:szCs w:val="17"/>
                <w:color w:val="auto"/>
                <w:w w:val="93"/>
              </w:rPr>
              <w:t>File Number)</w:t>
            </w:r>
          </w:p>
        </w:tc>
        <w:tc>
          <w:tcPr>
            <w:tcW w:w="2660" w:type="dxa"/>
            <w:vAlign w:val="bottom"/>
          </w:tcPr>
          <w:p>
            <w:pPr>
              <w:jc w:val="center"/>
              <w:ind w:left="1315"/>
              <w:spacing w:after="0"/>
              <w:rPr>
                <w:sz w:val="20"/>
                <w:szCs w:val="20"/>
                <w:color w:val="auto"/>
              </w:rPr>
            </w:pPr>
            <w:r>
              <w:rPr>
                <w:rFonts w:ascii="Arial" w:cs="Arial" w:eastAsia="Arial" w:hAnsi="Arial"/>
                <w:sz w:val="17"/>
                <w:szCs w:val="17"/>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7500 DALLAS PARKWAY, SUITE 700</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PLANO, TEXAS 75024</w:t>
      </w:r>
    </w:p>
    <w:p>
      <w:pPr>
        <w:spacing w:after="0" w:line="10"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(Address and Zip Code of Principal Executive Offices)</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(214) 494-3000</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(Registrant’s Telephone Number, including Area Code)</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NOT APPLICABLE</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63" w:lineRule="exact"/>
        <w:rPr>
          <w:sz w:val="24"/>
          <w:szCs w:val="24"/>
          <w:color w:val="auto"/>
        </w:rPr>
      </w:pPr>
    </w:p>
    <w:p>
      <w:pPr>
        <w:ind w:left="280" w:hanging="277"/>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w:t>
      </w:r>
    </w:p>
    <w:p>
      <w:pPr>
        <w:spacing w:after="0" w:line="215" w:lineRule="exact"/>
        <w:rPr>
          <w:sz w:val="24"/>
          <w:szCs w:val="24"/>
          <w:color w:val="auto"/>
        </w:rPr>
      </w:pPr>
    </w:p>
    <w:p>
      <w:pPr>
        <w:ind w:left="280" w:hanging="277"/>
        <w:spacing w:after="0"/>
        <w:tabs>
          <w:tab w:leader="none" w:pos="2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w:t>
      </w:r>
    </w:p>
    <w:p>
      <w:pPr>
        <w:spacing w:after="0" w:line="215" w:lineRule="exact"/>
        <w:rPr>
          <w:sz w:val="24"/>
          <w:szCs w:val="24"/>
          <w:color w:val="auto"/>
        </w:rPr>
      </w:pPr>
    </w:p>
    <w:p>
      <w:pPr>
        <w:ind w:left="280" w:hanging="277"/>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w:t>
      </w:r>
    </w:p>
    <w:p>
      <w:pPr>
        <w:spacing w:after="0" w:line="215" w:lineRule="exact"/>
        <w:rPr>
          <w:sz w:val="24"/>
          <w:szCs w:val="24"/>
          <w:color w:val="auto"/>
        </w:rPr>
      </w:pPr>
    </w:p>
    <w:p>
      <w:pPr>
        <w:ind w:left="280" w:hanging="277"/>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551180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160"/>
          </w:cols>
          <w:pgMar w:left="240" w:top="995" w:right="49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1.01 Entry into a Material Definitive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provided in Item 2.03 below is incorporated herein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2.03 Creation of a Direct Financial Obligation or an Obligation under an Off-Balance Sheet Arrangement of a Registrant</w:t>
      </w:r>
    </w:p>
    <w:p>
      <w:pPr>
        <w:spacing w:after="0" w:line="244"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On September 20, 2011, Alliance Data Systems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as “</w:t>
      </w:r>
      <w:r>
        <w:rPr>
          <w:rFonts w:ascii="Arial" w:cs="Arial" w:eastAsia="Arial" w:hAnsi="Arial"/>
          <w:sz w:val="15"/>
          <w:szCs w:val="15"/>
          <w:b w:val="1"/>
          <w:bCs w:val="1"/>
          <w:i w:val="1"/>
          <w:iCs w:val="1"/>
          <w:color w:val="auto"/>
        </w:rPr>
        <w:t>Borrower</w:t>
      </w:r>
      <w:r>
        <w:rPr>
          <w:rFonts w:ascii="Arial" w:cs="Arial" w:eastAsia="Arial" w:hAnsi="Arial"/>
          <w:sz w:val="15"/>
          <w:szCs w:val="15"/>
          <w:color w:val="auto"/>
        </w:rPr>
        <w:t>”, and ADS Alliance Data Systems, Inc., ADS Foreign Holdings, Inc., Alliance Data Foreign Holdings, Inc., Epsilon Marketing Services, LLC, Epsilon Data Management, LLC, Comenity LLC and Alliance Data FHC, Inc. (collectively, the “</w:t>
      </w:r>
      <w:r>
        <w:rPr>
          <w:rFonts w:ascii="Arial" w:cs="Arial" w:eastAsia="Arial" w:hAnsi="Arial"/>
          <w:sz w:val="15"/>
          <w:szCs w:val="15"/>
          <w:b w:val="1"/>
          <w:bCs w:val="1"/>
          <w:i w:val="1"/>
          <w:iCs w:val="1"/>
          <w:color w:val="auto"/>
        </w:rPr>
        <w:t>Guarantors</w:t>
      </w:r>
      <w:r>
        <w:rPr>
          <w:rFonts w:ascii="Arial" w:cs="Arial" w:eastAsia="Arial" w:hAnsi="Arial"/>
          <w:sz w:val="15"/>
          <w:szCs w:val="15"/>
          <w:color w:val="auto"/>
        </w:rPr>
        <w:t>”) entered into a First Amendment (the “</w:t>
      </w:r>
      <w:r>
        <w:rPr>
          <w:rFonts w:ascii="Arial" w:cs="Arial" w:eastAsia="Arial" w:hAnsi="Arial"/>
          <w:sz w:val="15"/>
          <w:szCs w:val="15"/>
          <w:b w:val="1"/>
          <w:bCs w:val="1"/>
          <w:i w:val="1"/>
          <w:iCs w:val="1"/>
          <w:color w:val="auto"/>
        </w:rPr>
        <w:t>First Amendment</w:t>
      </w:r>
      <w:r>
        <w:rPr>
          <w:rFonts w:ascii="Arial" w:cs="Arial" w:eastAsia="Arial" w:hAnsi="Arial"/>
          <w:sz w:val="15"/>
          <w:szCs w:val="15"/>
          <w:color w:val="auto"/>
        </w:rPr>
        <w:t>”) to their Credit Agreement dated as of May 24, 2011 with SunTrust Bank and Bank of Montreal, as Co-Administrative Agents, Bank of Montreal as Letter of Credit Issuer, and various other agents and lenders (the “</w:t>
      </w:r>
      <w:r>
        <w:rPr>
          <w:rFonts w:ascii="Arial" w:cs="Arial" w:eastAsia="Arial" w:hAnsi="Arial"/>
          <w:sz w:val="15"/>
          <w:szCs w:val="15"/>
          <w:b w:val="1"/>
          <w:bCs w:val="1"/>
          <w:i w:val="1"/>
          <w:iCs w:val="1"/>
          <w:color w:val="auto"/>
        </w:rPr>
        <w:t>2011 Credit Agreement</w:t>
      </w:r>
      <w:r>
        <w:rPr>
          <w:rFonts w:ascii="Arial" w:cs="Arial" w:eastAsia="Arial" w:hAnsi="Arial"/>
          <w:sz w:val="15"/>
          <w:szCs w:val="15"/>
          <w:color w:val="auto"/>
        </w:rPr>
        <w:t>”).</w:t>
      </w:r>
    </w:p>
    <w:p>
      <w:pPr>
        <w:spacing w:after="0" w:line="1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First Amendment, among other things, (a) increases the accordion feature to allow a maximum total facility size of $2,500,000,000, up from $2,000,000,000, (b) permits any incremental term loans to be secured in such collateral as may be agreed to by the Company and the banks advancing the incremental term loans, with the existing loans to be equally and ratably secured in the same collateral, (c) except with respect to terms relating to amortization and pricing of the incremental term loans, requires that the incremental term loans may not otherwise have terms and conditions materially different from those of the existing loans and (d) permits the Co-Administrative Agents, the Company and the banks advancing the incremental term loans to amend the 2011 Credit Agreement, without further consent of any other banks, as necessary to allow the issuance of the incremental term loans.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The preceding summary of the First Amendment is qualified in its entirety by reference to the full text of such agreement, a copy of which is attached as Exhibit 10.1 hereto and incorporated by reference herein.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Exhibit</w:t>
            </w:r>
          </w:p>
        </w:tc>
        <w:tc>
          <w:tcPr>
            <w:tcW w:w="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860" w:type="dxa"/>
            <w:vAlign w:val="bottom"/>
          </w:tcPr>
          <w:p>
            <w:pPr>
              <w:spacing w:after="0"/>
              <w:rPr>
                <w:sz w:val="16"/>
                <w:szCs w:val="16"/>
                <w:color w:val="auto"/>
              </w:rPr>
            </w:pPr>
          </w:p>
        </w:tc>
      </w:tr>
      <w:tr>
        <w:trPr>
          <w:trHeight w:val="185"/>
        </w:trPr>
        <w:tc>
          <w:tcPr>
            <w:tcW w:w="260" w:type="dxa"/>
            <w:vAlign w:val="bottom"/>
          </w:tcPr>
          <w:p>
            <w:pPr>
              <w:spacing w:after="0" w:line="185" w:lineRule="exact"/>
              <w:rPr>
                <w:sz w:val="20"/>
                <w:szCs w:val="20"/>
                <w:color w:val="auto"/>
              </w:rPr>
            </w:pPr>
            <w:r>
              <w:rPr>
                <w:rFonts w:ascii="Arial" w:cs="Arial" w:eastAsia="Arial" w:hAnsi="Arial"/>
                <w:sz w:val="17"/>
                <w:szCs w:val="17"/>
                <w:b w:val="1"/>
                <w:bCs w:val="1"/>
                <w:color w:val="auto"/>
                <w:w w:val="87"/>
              </w:rPr>
              <w:t>No.</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Document Description</w:t>
            </w:r>
          </w:p>
        </w:tc>
      </w:tr>
      <w:tr>
        <w:trPr>
          <w:trHeight w:val="20"/>
        </w:trPr>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416"/>
        </w:trPr>
        <w:tc>
          <w:tcPr>
            <w:tcW w:w="540" w:type="dxa"/>
            <w:vAlign w:val="bottom"/>
            <w:gridSpan w:val="2"/>
          </w:tcPr>
          <w:p>
            <w:pPr>
              <w:spacing w:after="0"/>
              <w:rPr>
                <w:sz w:val="20"/>
                <w:szCs w:val="20"/>
                <w:color w:val="auto"/>
              </w:rPr>
            </w:pPr>
            <w:r>
              <w:rPr>
                <w:rFonts w:ascii="Arial" w:cs="Arial" w:eastAsia="Arial" w:hAnsi="Arial"/>
                <w:sz w:val="17"/>
                <w:szCs w:val="17"/>
                <w:color w:val="auto"/>
              </w:rPr>
              <w:t>10.1</w:t>
            </w:r>
          </w:p>
        </w:tc>
        <w:tc>
          <w:tcPr>
            <w:tcW w:w="10880" w:type="dxa"/>
            <w:vAlign w:val="bottom"/>
            <w:gridSpan w:val="3"/>
          </w:tcPr>
          <w:p>
            <w:pPr>
              <w:ind w:left="380"/>
              <w:spacing w:after="0"/>
              <w:rPr>
                <w:sz w:val="20"/>
                <w:szCs w:val="20"/>
                <w:color w:val="auto"/>
              </w:rPr>
            </w:pPr>
            <w:r>
              <w:rPr>
                <w:rFonts w:ascii="Arial" w:cs="Arial" w:eastAsia="Arial" w:hAnsi="Arial"/>
                <w:sz w:val="17"/>
                <w:szCs w:val="17"/>
                <w:color w:val="auto"/>
                <w:w w:val="93"/>
              </w:rPr>
              <w:t>First Amendment to Credit Agreement, dated as of September 20, 2011, by and among Alliance Data Systems Corporation, as borrower, and certain</w:t>
            </w:r>
          </w:p>
        </w:tc>
      </w:tr>
      <w:tr>
        <w:trPr>
          <w:trHeight w:val="216"/>
        </w:trPr>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80" w:type="dxa"/>
            <w:vAlign w:val="bottom"/>
            <w:gridSpan w:val="3"/>
          </w:tcPr>
          <w:p>
            <w:pPr>
              <w:ind w:left="380"/>
              <w:spacing w:after="0"/>
              <w:rPr>
                <w:sz w:val="20"/>
                <w:szCs w:val="20"/>
                <w:color w:val="auto"/>
              </w:rPr>
            </w:pPr>
            <w:r>
              <w:rPr>
                <w:rFonts w:ascii="Arial" w:cs="Arial" w:eastAsia="Arial" w:hAnsi="Arial"/>
                <w:sz w:val="17"/>
                <w:szCs w:val="17"/>
                <w:color w:val="auto"/>
                <w:w w:val="93"/>
              </w:rPr>
              <w:t>subsidiaries parties thereto, as guarantors, SunTrust Bank and Bank of Montreal, as Co-Administrative Agents, and various other agents and lenders.</w:t>
            </w:r>
          </w:p>
        </w:tc>
      </w:tr>
      <w:tr>
        <w:trPr>
          <w:trHeight w:val="1053"/>
        </w:trPr>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495" w:right="239" w:bottom="1440" w:gutter="0" w:footer="0" w:header="0"/>
        </w:sectPr>
      </w:pPr>
    </w:p>
    <w:bookmarkStart w:id="2" w:name="page3"/>
    <w:bookmarkEnd w:id="2"/>
    <w:p>
      <w:pPr>
        <w:ind w:left="5200"/>
        <w:spacing w:after="0"/>
        <w:rPr>
          <w:sz w:val="20"/>
          <w:szCs w:val="20"/>
          <w:color w:val="auto"/>
        </w:rPr>
      </w:pPr>
      <w:r>
        <w:rPr>
          <w:rFonts w:ascii="Arial" w:cs="Arial" w:eastAsia="Arial" w:hAnsi="Arial"/>
          <w:sz w:val="17"/>
          <w:szCs w:val="17"/>
          <w:color w:val="auto"/>
        </w:rPr>
        <w:t>SIGNATURES</w:t>
      </w: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1"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Alliance Data Systems Corporation</w:t>
      </w:r>
    </w:p>
    <w:p>
      <w:pPr>
        <w:spacing w:after="0" w:line="215" w:lineRule="exact"/>
        <w:rPr>
          <w:sz w:val="20"/>
          <w:szCs w:val="20"/>
          <w:color w:val="auto"/>
        </w:rPr>
      </w:pPr>
    </w:p>
    <w:p>
      <w:pPr>
        <w:spacing w:after="0"/>
        <w:tabs>
          <w:tab w:leader="none" w:pos="6380" w:val="left"/>
          <w:tab w:leader="none" w:pos="6840" w:val="left"/>
        </w:tabs>
        <w:rPr>
          <w:sz w:val="20"/>
          <w:szCs w:val="20"/>
          <w:color w:val="auto"/>
        </w:rPr>
      </w:pPr>
      <w:r>
        <w:rPr>
          <w:rFonts w:ascii="Arial" w:cs="Arial" w:eastAsia="Arial" w:hAnsi="Arial"/>
          <w:sz w:val="17"/>
          <w:szCs w:val="17"/>
          <w:color w:val="auto"/>
        </w:rPr>
        <w:t>Date: September 23,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Charles L.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13970</wp:posOffset>
            </wp:positionV>
            <wp:extent cx="289814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140" cy="16510"/>
                    </a:xfrm>
                    <a:prstGeom prst="rect">
                      <a:avLst/>
                    </a:prstGeom>
                    <a:noFill/>
                  </pic:spPr>
                </pic:pic>
              </a:graphicData>
            </a:graphic>
          </wp:anchor>
        </w:drawing>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Charles L. Horn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Executive Vice President and</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397510</wp:posOffset>
            </wp:positionV>
            <wp:extent cx="7253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0700"/>
          </w:cols>
          <w:pgMar w:left="240" w:top="499"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900" w:type="dxa"/>
            <w:vAlign w:val="bottom"/>
          </w:tcPr>
          <w:p>
            <w:pPr>
              <w:ind w:left="2500"/>
              <w:spacing w:after="0"/>
              <w:rPr>
                <w:sz w:val="20"/>
                <w:szCs w:val="20"/>
                <w:color w:val="auto"/>
              </w:rPr>
            </w:pPr>
            <w:r>
              <w:rPr>
                <w:rFonts w:ascii="Arial" w:cs="Arial" w:eastAsia="Arial" w:hAnsi="Arial"/>
                <w:sz w:val="17"/>
                <w:szCs w:val="17"/>
                <w:b w:val="1"/>
                <w:bCs w:val="1"/>
                <w:color w:val="auto"/>
              </w:rPr>
              <w:t>EXHIBIT INDEX</w:t>
            </w:r>
          </w:p>
        </w:tc>
      </w:tr>
      <w:tr>
        <w:trPr>
          <w:trHeight w:val="629"/>
        </w:trPr>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Exhibit</w:t>
            </w: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900" w:type="dxa"/>
            <w:vAlign w:val="bottom"/>
          </w:tcPr>
          <w:p>
            <w:pPr>
              <w:spacing w:after="0"/>
              <w:rPr>
                <w:sz w:val="24"/>
                <w:szCs w:val="24"/>
                <w:color w:val="auto"/>
              </w:rPr>
            </w:pPr>
          </w:p>
        </w:tc>
      </w:tr>
      <w:tr>
        <w:trPr>
          <w:trHeight w:val="185"/>
        </w:trPr>
        <w:tc>
          <w:tcPr>
            <w:tcW w:w="260" w:type="dxa"/>
            <w:vAlign w:val="bottom"/>
          </w:tcPr>
          <w:p>
            <w:pPr>
              <w:spacing w:after="0" w:line="185" w:lineRule="exact"/>
              <w:rPr>
                <w:sz w:val="20"/>
                <w:szCs w:val="20"/>
                <w:color w:val="auto"/>
              </w:rPr>
            </w:pPr>
            <w:r>
              <w:rPr>
                <w:rFonts w:ascii="Arial" w:cs="Arial" w:eastAsia="Arial" w:hAnsi="Arial"/>
                <w:sz w:val="17"/>
                <w:szCs w:val="17"/>
                <w:b w:val="1"/>
                <w:bCs w:val="1"/>
                <w:color w:val="auto"/>
                <w:w w:val="87"/>
              </w:rPr>
              <w:t>No.</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4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Document Description</w:t>
            </w:r>
          </w:p>
        </w:tc>
      </w:tr>
      <w:tr>
        <w:trPr>
          <w:trHeight w:val="20"/>
        </w:trPr>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416"/>
        </w:trPr>
        <w:tc>
          <w:tcPr>
            <w:tcW w:w="540" w:type="dxa"/>
            <w:vAlign w:val="bottom"/>
            <w:gridSpan w:val="2"/>
          </w:tcPr>
          <w:p>
            <w:pPr>
              <w:spacing w:after="0"/>
              <w:rPr>
                <w:sz w:val="20"/>
                <w:szCs w:val="20"/>
                <w:color w:val="auto"/>
              </w:rPr>
            </w:pPr>
            <w:r>
              <w:rPr>
                <w:rFonts w:ascii="Arial" w:cs="Arial" w:eastAsia="Arial" w:hAnsi="Arial"/>
                <w:sz w:val="17"/>
                <w:szCs w:val="17"/>
                <w:color w:val="auto"/>
              </w:rPr>
              <w:t>10.1</w:t>
            </w:r>
          </w:p>
        </w:tc>
        <w:tc>
          <w:tcPr>
            <w:tcW w:w="10920" w:type="dxa"/>
            <w:vAlign w:val="bottom"/>
            <w:gridSpan w:val="3"/>
          </w:tcPr>
          <w:p>
            <w:pPr>
              <w:ind w:left="380"/>
              <w:spacing w:after="0"/>
              <w:rPr>
                <w:sz w:val="20"/>
                <w:szCs w:val="20"/>
                <w:color w:val="auto"/>
              </w:rPr>
            </w:pPr>
            <w:r>
              <w:rPr>
                <w:rFonts w:ascii="Arial" w:cs="Arial" w:eastAsia="Arial" w:hAnsi="Arial"/>
                <w:sz w:val="17"/>
                <w:szCs w:val="17"/>
                <w:color w:val="auto"/>
                <w:w w:val="94"/>
              </w:rPr>
              <w:t>First Amendment to Credit Agreement, dated as of September 20, 2011, by and among Alliance Data Systems Corporation, as borrower, and certain</w:t>
            </w:r>
          </w:p>
        </w:tc>
      </w:tr>
      <w:tr>
        <w:trPr>
          <w:trHeight w:val="216"/>
        </w:trPr>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920" w:type="dxa"/>
            <w:vAlign w:val="bottom"/>
            <w:gridSpan w:val="3"/>
          </w:tcPr>
          <w:p>
            <w:pPr>
              <w:ind w:left="380"/>
              <w:spacing w:after="0"/>
              <w:rPr>
                <w:sz w:val="20"/>
                <w:szCs w:val="20"/>
                <w:color w:val="auto"/>
              </w:rPr>
            </w:pPr>
            <w:r>
              <w:rPr>
                <w:rFonts w:ascii="Arial" w:cs="Arial" w:eastAsia="Arial" w:hAnsi="Arial"/>
                <w:sz w:val="17"/>
                <w:szCs w:val="17"/>
                <w:color w:val="auto"/>
                <w:w w:val="93"/>
              </w:rPr>
              <w:t>subsidiaries parties thereto, as guarantors, SunTrust Bank and Bank of Montreal, as Co-Administrative Agents, and various other agents and lenders.</w:t>
            </w:r>
          </w:p>
        </w:tc>
      </w:tr>
      <w:tr>
        <w:trPr>
          <w:trHeight w:val="770"/>
        </w:trPr>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60"/>
          </w:cols>
          <w:pgMar w:left="240" w:top="495"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154305</wp:posOffset>
            </wp:positionH>
            <wp:positionV relativeFrom="page">
              <wp:posOffset>284480</wp:posOffset>
            </wp:positionV>
            <wp:extent cx="7270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115" cy="8255"/>
                    </a:xfrm>
                    <a:prstGeom prst="rect">
                      <a:avLst/>
                    </a:prstGeom>
                    <a:noFill/>
                  </pic:spPr>
                </pic:pic>
              </a:graphicData>
            </a:graphic>
          </wp:anchor>
        </w:drawing>
        <w:t>Exhibit 10.1</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 TO</w:t>
      </w:r>
    </w:p>
    <w:p>
      <w:pPr>
        <w:spacing w:after="0" w:line="10"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REDIT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p>
    <w:p>
      <w:pPr>
        <w:spacing w:after="0" w:line="229" w:lineRule="exact"/>
        <w:rPr>
          <w:sz w:val="20"/>
          <w:szCs w:val="20"/>
          <w:color w:val="auto"/>
        </w:rPr>
      </w:pPr>
    </w:p>
    <w:p>
      <w:pPr>
        <w:jc w:val="both"/>
        <w:ind w:firstLine="615"/>
        <w:spacing w:after="0" w:line="264" w:lineRule="auto"/>
        <w:rPr>
          <w:sz w:val="20"/>
          <w:szCs w:val="20"/>
          <w:color w:val="auto"/>
        </w:rPr>
      </w:pPr>
      <w:r>
        <w:rPr>
          <w:rFonts w:ascii="Arial" w:cs="Arial" w:eastAsia="Arial" w:hAnsi="Arial"/>
          <w:sz w:val="17"/>
          <w:szCs w:val="17"/>
          <w:color w:val="auto"/>
        </w:rPr>
        <w:t xml:space="preserve">This First Amendment to Credit Agreement (this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is dated as of September 20, 2011 by and among Alliance Data Systems Corporation (the </w:t>
      </w:r>
      <w:r>
        <w:rPr>
          <w:rFonts w:ascii="Arial" w:cs="Arial" w:eastAsia="Arial" w:hAnsi="Arial"/>
          <w:sz w:val="17"/>
          <w:szCs w:val="17"/>
          <w:i w:val="1"/>
          <w:iCs w:val="1"/>
          <w:color w:val="auto"/>
        </w:rPr>
        <w:t>“Borrower”</w:t>
      </w:r>
      <w:r>
        <w:rPr>
          <w:rFonts w:ascii="Arial" w:cs="Arial" w:eastAsia="Arial" w:hAnsi="Arial"/>
          <w:sz w:val="17"/>
          <w:szCs w:val="17"/>
          <w:color w:val="auto"/>
        </w:rPr>
        <w:t>), the Guarantors party hereto, the Banks party hereto, SunTrust Bank and Bank of Montreal, as Co-Administrative Agents, and Bank of Montreal, as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and Letter of Credit Issuer.</w:t>
      </w:r>
    </w:p>
    <w:p>
      <w:pPr>
        <w:spacing w:after="0" w:line="197" w:lineRule="exact"/>
        <w:rPr>
          <w:sz w:val="20"/>
          <w:szCs w:val="20"/>
          <w:color w:val="auto"/>
        </w:rPr>
      </w:pPr>
    </w:p>
    <w:p>
      <w:pPr>
        <w:jc w:val="center"/>
        <w:ind w:left="620"/>
        <w:spacing w:after="0"/>
        <w:rPr>
          <w:sz w:val="20"/>
          <w:szCs w:val="20"/>
          <w:color w:val="auto"/>
        </w:rPr>
      </w:pPr>
      <w:r>
        <w:rPr>
          <w:rFonts w:ascii="Arial" w:cs="Arial" w:eastAsia="Arial" w:hAnsi="Arial"/>
          <w:sz w:val="12"/>
          <w:szCs w:val="12"/>
          <w:b w:val="1"/>
          <w:bCs w:val="1"/>
          <w:color w:val="auto"/>
        </w:rPr>
        <w:t>W I T N E S S E T H</w:t>
      </w:r>
      <w:r>
        <w:rPr>
          <w:rFonts w:ascii="Arial" w:cs="Arial" w:eastAsia="Arial" w:hAnsi="Arial"/>
          <w:sz w:val="17"/>
          <w:szCs w:val="17"/>
          <w:b w:val="1"/>
          <w:bCs w:val="1"/>
          <w:color w:val="auto"/>
        </w:rPr>
        <w:t>:</w:t>
      </w:r>
    </w:p>
    <w:p>
      <w:pPr>
        <w:spacing w:after="0" w:line="244" w:lineRule="exact"/>
        <w:rPr>
          <w:sz w:val="20"/>
          <w:szCs w:val="20"/>
          <w:color w:val="auto"/>
        </w:rPr>
      </w:pPr>
    </w:p>
    <w:p>
      <w:pPr>
        <w:jc w:val="both"/>
        <w:ind w:firstLine="615"/>
        <w:spacing w:after="0" w:line="277" w:lineRule="auto"/>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HEREAS</w:t>
      </w:r>
      <w:r>
        <w:rPr>
          <w:rFonts w:ascii="Arial" w:cs="Arial" w:eastAsia="Arial" w:hAnsi="Arial"/>
          <w:sz w:val="17"/>
          <w:szCs w:val="17"/>
          <w:color w:val="auto"/>
        </w:rPr>
        <w:t xml:space="preserve">, the Borrower, the Guarantors, the Banks, and the Administrative Agent have heretofore executed and delivered a Credit Agreement dated as of May 24, 2011 (the </w:t>
      </w:r>
      <w:r>
        <w:rPr>
          <w:rFonts w:ascii="Arial" w:cs="Arial" w:eastAsia="Arial" w:hAnsi="Arial"/>
          <w:sz w:val="17"/>
          <w:szCs w:val="17"/>
          <w:i w:val="1"/>
          <w:iCs w:val="1"/>
          <w:color w:val="auto"/>
        </w:rPr>
        <w:t>“Credit Agreement”</w:t>
      </w:r>
      <w:r>
        <w:rPr>
          <w:rFonts w:ascii="Arial" w:cs="Arial" w:eastAsia="Arial" w:hAnsi="Arial"/>
          <w:sz w:val="17"/>
          <w:szCs w:val="17"/>
          <w:color w:val="auto"/>
        </w:rPr>
        <w:t>; terms defined therein being used herein as so defined unless otherwise defined herein); and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w:t>
      </w:r>
      <w:r>
        <w:rPr>
          <w:rFonts w:ascii="Arial" w:cs="Arial" w:eastAsia="Arial" w:hAnsi="Arial"/>
          <w:sz w:val="10"/>
          <w:szCs w:val="10"/>
          <w:color w:val="auto"/>
        </w:rPr>
        <w:t>HEREAS</w:t>
      </w:r>
      <w:r>
        <w:rPr>
          <w:rFonts w:ascii="Arial" w:cs="Arial" w:eastAsia="Arial" w:hAnsi="Arial"/>
          <w:sz w:val="16"/>
          <w:szCs w:val="16"/>
          <w:color w:val="auto"/>
        </w:rPr>
        <w:t>, the Borrower, the Guarantors, the Banks and the Administrative Agent desire to amend certain provisions of the Credit Agreement as set forth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herein;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w:t>
      </w:r>
      <w:r>
        <w:rPr>
          <w:rFonts w:ascii="Arial" w:cs="Arial" w:eastAsia="Arial" w:hAnsi="Arial"/>
          <w:sz w:val="10"/>
          <w:szCs w:val="10"/>
          <w:color w:val="auto"/>
        </w:rPr>
        <w:t>OW</w:t>
      </w:r>
      <w:r>
        <w:rPr>
          <w:rFonts w:ascii="Arial" w:cs="Arial" w:eastAsia="Arial" w:hAnsi="Arial"/>
          <w:sz w:val="16"/>
          <w:szCs w:val="16"/>
          <w:color w:val="auto"/>
        </w:rPr>
        <w:t>, T</w:t>
      </w:r>
      <w:r>
        <w:rPr>
          <w:rFonts w:ascii="Arial" w:cs="Arial" w:eastAsia="Arial" w:hAnsi="Arial"/>
          <w:sz w:val="10"/>
          <w:szCs w:val="10"/>
          <w:color w:val="auto"/>
        </w:rPr>
        <w:t>HEREFORE</w:t>
      </w:r>
      <w:r>
        <w:rPr>
          <w:rFonts w:ascii="Arial" w:cs="Arial" w:eastAsia="Arial" w:hAnsi="Arial"/>
          <w:sz w:val="16"/>
          <w:szCs w:val="16"/>
          <w:color w:val="auto"/>
        </w:rPr>
        <w:t>, for good and valuable consideration the receipt of which is hereby acknowledged, the Borrower, the Guarantors, the Banks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hereby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RTICLE</w:t>
      </w:r>
      <w:r>
        <w:rPr>
          <w:rFonts w:ascii="Arial" w:cs="Arial" w:eastAsia="Arial" w:hAnsi="Arial"/>
          <w:sz w:val="17"/>
          <w:szCs w:val="17"/>
          <w:b w:val="1"/>
          <w:bCs w:val="1"/>
          <w:color w:val="auto"/>
        </w:rPr>
        <w:t xml:space="preserv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MENDMENTS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1.1. Section 1.1 of the Credit Agreement is hereby amended by inserting the new defined terms </w:t>
      </w:r>
      <w:r>
        <w:rPr>
          <w:rFonts w:ascii="Arial" w:cs="Arial" w:eastAsia="Arial" w:hAnsi="Arial"/>
          <w:sz w:val="17"/>
          <w:szCs w:val="17"/>
          <w:i w:val="1"/>
          <w:iCs w:val="1"/>
          <w:color w:val="auto"/>
        </w:rPr>
        <w:t>“Incremental Amendment”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“Incremental Term Loan”</w:t>
      </w:r>
      <w:r>
        <w:rPr>
          <w:rFonts w:ascii="Arial" w:cs="Arial" w:eastAsia="Arial" w:hAnsi="Arial"/>
          <w:sz w:val="17"/>
          <w:szCs w:val="17"/>
          <w:color w:val="auto"/>
        </w:rPr>
        <w:t xml:space="preserve"> in proper alphabetical order as follows:</w:t>
      </w:r>
    </w:p>
    <w:p>
      <w:pPr>
        <w:spacing w:after="0" w:line="190" w:lineRule="exact"/>
        <w:rPr>
          <w:sz w:val="20"/>
          <w:szCs w:val="20"/>
          <w:color w:val="auto"/>
        </w:rPr>
      </w:pPr>
    </w:p>
    <w:p>
      <w:pPr>
        <w:ind w:left="1700"/>
        <w:spacing w:after="0"/>
        <w:rPr>
          <w:sz w:val="20"/>
          <w:szCs w:val="20"/>
          <w:color w:val="auto"/>
        </w:rPr>
      </w:pPr>
      <w:r>
        <w:rPr>
          <w:rFonts w:ascii="Arial" w:cs="Arial" w:eastAsia="Arial" w:hAnsi="Arial"/>
          <w:sz w:val="17"/>
          <w:szCs w:val="17"/>
          <w:i w:val="1"/>
          <w:iCs w:val="1"/>
          <w:color w:val="auto"/>
        </w:rPr>
        <w:t xml:space="preserve">“Incremental Amendment” </w:t>
      </w:r>
      <w:r>
        <w:rPr>
          <w:rFonts w:ascii="Arial" w:cs="Arial" w:eastAsia="Arial" w:hAnsi="Arial"/>
          <w:sz w:val="17"/>
          <w:szCs w:val="17"/>
          <w:color w:val="auto"/>
        </w:rPr>
        <w:t>has the meaning set forth in Section 2.16(c).</w:t>
      </w:r>
    </w:p>
    <w:p>
      <w:pPr>
        <w:spacing w:after="0" w:line="240" w:lineRule="exact"/>
        <w:rPr>
          <w:sz w:val="20"/>
          <w:szCs w:val="20"/>
          <w:color w:val="auto"/>
        </w:rPr>
      </w:pPr>
    </w:p>
    <w:p>
      <w:pPr>
        <w:ind w:left="1700"/>
        <w:spacing w:after="0"/>
        <w:rPr>
          <w:sz w:val="20"/>
          <w:szCs w:val="20"/>
          <w:color w:val="auto"/>
        </w:rPr>
      </w:pPr>
      <w:r>
        <w:rPr>
          <w:rFonts w:ascii="Arial" w:cs="Arial" w:eastAsia="Arial" w:hAnsi="Arial"/>
          <w:sz w:val="17"/>
          <w:szCs w:val="17"/>
          <w:i w:val="1"/>
          <w:iCs w:val="1"/>
          <w:color w:val="auto"/>
        </w:rPr>
        <w:t xml:space="preserve">“Incremental Term Loan” </w:t>
      </w:r>
      <w:r>
        <w:rPr>
          <w:rFonts w:ascii="Arial" w:cs="Arial" w:eastAsia="Arial" w:hAnsi="Arial"/>
          <w:sz w:val="17"/>
          <w:szCs w:val="17"/>
          <w:color w:val="auto"/>
        </w:rPr>
        <w:t>has the meaning set forth in Section 2.16(a).</w:t>
      </w:r>
    </w:p>
    <w:p>
      <w:pPr>
        <w:spacing w:after="0" w:line="24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Section 2.1(a) of the Credit Agreement is hereby amended by deleting the penultimate sentence thereof and inserting in its place the following:</w:t>
      </w:r>
    </w:p>
    <w:p>
      <w:pPr>
        <w:spacing w:after="0" w:line="240" w:lineRule="exact"/>
        <w:rPr>
          <w:sz w:val="20"/>
          <w:szCs w:val="20"/>
          <w:color w:val="auto"/>
        </w:rPr>
      </w:pPr>
    </w:p>
    <w:p>
      <w:pPr>
        <w:ind w:left="1240" w:right="1240"/>
        <w:spacing w:after="0" w:line="277" w:lineRule="auto"/>
        <w:rPr>
          <w:sz w:val="20"/>
          <w:szCs w:val="20"/>
          <w:color w:val="auto"/>
        </w:rPr>
      </w:pPr>
      <w:r>
        <w:rPr>
          <w:rFonts w:ascii="Arial" w:cs="Arial" w:eastAsia="Arial" w:hAnsi="Arial"/>
          <w:sz w:val="17"/>
          <w:szCs w:val="17"/>
          <w:color w:val="auto"/>
        </w:rPr>
        <w:t>Revolving Loans shall either be Base Rate Loans, Euro-Dollar Loans or Euro-Canadian Dollar Loans, or, to the extent all Banks with a Revolving Credit Commitment are able to fund such Revolving Loans, Canadian Base Rate Loans.</w:t>
      </w:r>
    </w:p>
    <w:p>
      <w:pPr>
        <w:spacing w:after="0" w:line="190"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Section 2.16 of the Credit Agreement is hereby amended in its entirety and as so amended shall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253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 w:name="page6"/>
    <w:bookmarkEnd w:id="5"/>
    <w:p>
      <w:pPr>
        <w:jc w:val="both"/>
        <w:ind w:left="40"/>
        <w:spacing w:after="0" w:line="270" w:lineRule="auto"/>
        <w:rPr>
          <w:sz w:val="20"/>
          <w:szCs w:val="20"/>
          <w:color w:val="auto"/>
        </w:rPr>
      </w:pPr>
      <w:r>
        <w:rPr>
          <w:rFonts w:ascii="Arial" w:cs="Arial" w:eastAsia="Arial" w:hAnsi="Arial"/>
          <w:sz w:val="16"/>
          <w:szCs w:val="16"/>
          <w:i w:val="1"/>
          <w:iCs w:val="1"/>
          <w:color w:val="auto"/>
        </w:rPr>
        <w:t>Section 2.16. Increase in Commitments</w:t>
      </w:r>
      <w:r>
        <w:rPr>
          <w:rFonts w:ascii="Arial" w:cs="Arial" w:eastAsia="Arial" w:hAnsi="Arial"/>
          <w:sz w:val="16"/>
          <w:szCs w:val="16"/>
          <w:color w:val="auto"/>
        </w:rPr>
        <w:t>. (a) The Borrower, on behalf of the Borrower and Guarantors, may, on any Business Day after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hereof, increase the aggregate amount of the Revolving Credit Commitments and/or outstanding Term Loans and/or create one or more additional tranches of term loans (each additional tranche of term loans, an </w:t>
      </w:r>
      <w:r>
        <w:rPr>
          <w:rFonts w:ascii="Arial" w:cs="Arial" w:eastAsia="Arial" w:hAnsi="Arial"/>
          <w:sz w:val="16"/>
          <w:szCs w:val="16"/>
          <w:i w:val="1"/>
          <w:iCs w:val="1"/>
          <w:color w:val="auto"/>
        </w:rPr>
        <w:t>“Incremental Term Loan”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any Commitment Amount Increase or Incremental Term Loan that results in the sum of the aggregate Revolving Credit Commitments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original principal amount of the Term Loans and Incremental Term Loans to be in excess of $2,500,000,000 will require the approval of the Required Banks, (ii) any Commitment Amount Increase or issuance of Incremental Term Loans shall be in an amount not less than $50,000,000, (iii) no Default shall have occurred and be continuing at the time of the request or the effective date of the Commitment Amount Increase or issuance of Incremental Term Loans or will result therefrom, (iv) all representations and warranties contained in Article 4 hereof shall be true and correct in all material respects at the time of such request and on the effective date of such Commitment Amount Increase or issuance of Incremental Term Loans (other than representations and warranties that relate to a specific date, which shall be true and correct in all material respects as of such date), (v) prior to approaching an additional Bank, the Borrower shall have offered to the existing Banks the opportunity to increase their respective Revolving Credit Commitments and/or outstanding Term Loans, as applicable and (vi) the Administrative Agent and, in the case of an increase in the Revolving Credit Commitment, each Letter of Credit Issuer and the Swing Line Lender, shall have provided their written consent (which consents shall not be unreasonably withheld).</w:t>
      </w:r>
    </w:p>
    <w:p>
      <w:pPr>
        <w:spacing w:after="0" w:line="205" w:lineRule="exact"/>
        <w:rPr>
          <w:sz w:val="20"/>
          <w:szCs w:val="20"/>
          <w:color w:val="auto"/>
        </w:rPr>
      </w:pPr>
    </w:p>
    <w:p>
      <w:pPr>
        <w:jc w:val="both"/>
        <w:ind w:left="40" w:right="1220" w:hanging="7"/>
        <w:spacing w:after="0" w:line="271" w:lineRule="auto"/>
        <w:tabs>
          <w:tab w:leader="none" w:pos="44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 order to request an increase in the Revolving Credit Commitments and/or outstanding Term Loans, the Borrower shall deliver a Commitment Amount Increase Request to the Administrative Agent and the Co-Administrative Agents at least five (5) Business Days (or such shorter period of time agreed by the Administrative Agent) prior to the desired effective date of such increase (the </w:t>
      </w:r>
      <w:r>
        <w:rPr>
          <w:rFonts w:ascii="Arial" w:cs="Arial" w:eastAsia="Arial" w:hAnsi="Arial"/>
          <w:sz w:val="16"/>
          <w:szCs w:val="16"/>
          <w:i w:val="1"/>
          <w:iCs w:val="1"/>
          <w:color w:val="auto"/>
        </w:rPr>
        <w:t>“Commitment Amount Increase”</w:t>
      </w:r>
      <w:r>
        <w:rPr>
          <w:rFonts w:ascii="Arial" w:cs="Arial" w:eastAsia="Arial" w:hAnsi="Arial"/>
          <w:sz w:val="16"/>
          <w:szCs w:val="16"/>
          <w:color w:val="auto"/>
        </w:rPr>
        <w:t xml:space="preserve">) identifying an additional Bank(s) (or additional Revolving Credit Commitments and/or Term Loans for existing Bank(s)) and the amount of its Revolving Credit Commitment and/or Term Loans (or additional amount of its Revolving Credit Commitment(s) and/or Term Loans). The Borrower, the Administrative Agent, and each Bank and/or new Bank advancing an additional Term Loan shall agree in the relevant Commitment Amount Increase Request as to the amortization schedule of such additional Term Loan;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additional Term Loans shall have a weighted average life to maturity no lower than the remaining weighted average life to maturity of the outstanding Term Loans and (ii) no such amortization schedule shall have the effect of reducing the amortization payments scheduled to be made to the Banks that are not increasing their Term Loans. Upon the effectiveness thereof, the new Bank(s) (or, if applicable, existing Bank(s)) (i) shall advance Loans in an amount sufficient such that after giving effect</w:t>
      </w:r>
    </w:p>
    <w:p>
      <w:pPr>
        <w:spacing w:after="0" w:line="340"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0220"/>
          </w:cols>
          <w:pgMar w:left="1440" w:top="730" w:right="239" w:bottom="1440" w:gutter="0" w:footer="0" w:header="0"/>
        </w:sectPr>
      </w:pPr>
    </w:p>
    <w:bookmarkStart w:id="6" w:name="page7"/>
    <w:bookmarkEnd w:id="6"/>
    <w:p>
      <w:pPr>
        <w:jc w:val="both"/>
        <w:ind w:left="40" w:right="19"/>
        <w:spacing w:after="0" w:line="293" w:lineRule="auto"/>
        <w:rPr>
          <w:sz w:val="20"/>
          <w:szCs w:val="20"/>
          <w:color w:val="auto"/>
        </w:rPr>
      </w:pPr>
      <w:r>
        <w:rPr>
          <w:rFonts w:ascii="Arial" w:cs="Arial" w:eastAsia="Arial" w:hAnsi="Arial"/>
          <w:sz w:val="15"/>
          <w:szCs w:val="15"/>
          <w:color w:val="auto"/>
        </w:rPr>
        <w:t>to its Loans each Bank shall have outstanding its respective Percentage of all Loans of the relevant Credit and (ii) in the case of the Revolving Credit, shall acquire its Revolver Percentage of all participations in Letter of Credit Outstandings and Swing Loans. It shall be a condition to such effectiveness that (i) no Euro-Dollar Loans or Euro-Canadian Dollar Loans be outstanding on the date of such effectiveness and (ii) if such Commitment Amount Increase is to the Revolving Credit Commitments, the Borrower shall not have terminated any portion of the Revolving Credit Commitments pursuant to Section 2.8 hereof. The Borrower and each Guarantor agree to deliver to the Administrative Agent such corporate due diligence documents as the Administrative Agent shall reasonably request in connection with any Commitment Amount Increase. Promptly upon the effectiveness of any Commitment Amount Increase, the Borrower, if requested by any new Bank, shall execute and deliver new Notes to each requesting Bank. The effective date of any Commitment Amount Increase shall be agreed upon by the Borrower and the Administrative Agent.</w:t>
      </w:r>
    </w:p>
    <w:p>
      <w:pPr>
        <w:spacing w:after="0" w:line="182" w:lineRule="exact"/>
        <w:rPr>
          <w:sz w:val="20"/>
          <w:szCs w:val="20"/>
          <w:color w:val="auto"/>
        </w:rPr>
      </w:pPr>
    </w:p>
    <w:p>
      <w:pPr>
        <w:jc w:val="both"/>
        <w:ind w:left="40" w:right="19" w:hanging="7"/>
        <w:spacing w:after="0" w:line="271"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 The Incremental Term Loans (i) may be unsecured or may be secured by liens on any or all assets of the Borrower and the Guarantors, as determined by the Borrower and the lenders of the Incremental Term Loans (and if so secured, the Term Loans and Revolving Loans shall be secured equally and ratably by liens on the same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Incremental Term Loans (and any replacement financing) are paid and satisfied in full, or any liens granted to secure the Incremental Term Loans (and any replacement financing) are released, the ratable liens granted to secure the Term Loans and Revolving Loans shall, so long as no Default or Event of Default exists, upon the Borrower’s written request, also be released), (ii)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and of security with the Term Loans and Revolving Loans and shall have the same guarantors as the Term Loans and the Revolving Loans, (iii) shall not mature earlier than the Maturity Date, (iv) shall not have a lower weighted average life to maturity than the remaining weighted average life to maturity of the outstanding Term Loans, (v) shall have an amortization schedule (subject to clause (iv)), provisions relating to optional and, to the extent applied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Loans and the Incremental Term Loans, mandatory prepayments (including mandatory repurchase offers), and a Base Rate Margin, a Eurodollar Margin, rate floors, fees, premiums, funding discounts and other pricing terms (including a “MFN clause” allowing for repricing upon incurrence of subsequent Incremental Term Loans)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7" w:name="page8"/>
    <w:bookmarkEnd w:id="7"/>
    <w:p>
      <w:pPr>
        <w:jc w:val="both"/>
        <w:ind w:left="40" w:right="19"/>
        <w:spacing w:after="0" w:line="271" w:lineRule="auto"/>
        <w:rPr>
          <w:sz w:val="20"/>
          <w:szCs w:val="20"/>
          <w:color w:val="auto"/>
        </w:rPr>
      </w:pPr>
      <w:r>
        <w:rPr>
          <w:rFonts w:ascii="Arial" w:cs="Arial" w:eastAsia="Arial" w:hAnsi="Arial"/>
          <w:sz w:val="16"/>
          <w:szCs w:val="16"/>
          <w:color w:val="auto"/>
        </w:rPr>
        <w:t xml:space="preserve">for the Incremental Term Loans as determined by the Borrower and the lenders of the Incremental Term Loans, and (vi) may not otherwise have terms and conditions different from those of the Term Loans and Revolving Loans. (B) Commitments in respect of Incremental Term Loans shall become Commitments under this Agreement pursuant to an amendment (an </w:t>
      </w:r>
      <w:r>
        <w:rPr>
          <w:rFonts w:ascii="Arial" w:cs="Arial" w:eastAsia="Arial" w:hAnsi="Arial"/>
          <w:sz w:val="16"/>
          <w:szCs w:val="16"/>
          <w:i w:val="1"/>
          <w:iCs w:val="1"/>
          <w:color w:val="auto"/>
        </w:rPr>
        <w:t>“Incremental</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w:t>
      </w:r>
      <w:r>
        <w:rPr>
          <w:rFonts w:ascii="Arial" w:cs="Arial" w:eastAsia="Arial" w:hAnsi="Arial"/>
          <w:sz w:val="16"/>
          <w:szCs w:val="16"/>
          <w:color w:val="auto"/>
        </w:rPr>
        <w:t>) to this Agreement and, as appropriate, the other Credit Documents, executed by the Borrower, each Guarantor, each</w:t>
      </w:r>
      <w:r>
        <w:rPr>
          <w:rFonts w:ascii="Arial" w:cs="Arial" w:eastAsia="Arial" w:hAnsi="Arial"/>
          <w:sz w:val="16"/>
          <w:szCs w:val="16"/>
          <w:i w:val="1"/>
          <w:iCs w:val="1"/>
          <w:color w:val="auto"/>
        </w:rPr>
        <w:t xml:space="preserve"> </w:t>
      </w:r>
      <w:r>
        <w:rPr>
          <w:rFonts w:ascii="Arial" w:cs="Arial" w:eastAsia="Arial" w:hAnsi="Arial"/>
          <w:sz w:val="16"/>
          <w:szCs w:val="16"/>
          <w:color w:val="auto"/>
        </w:rPr>
        <w:t>Bank agreeing to provide such Commitment, if any, each new Bank, if any, the Co-Administrative Agents and the Administrative Agent. The Incremental Amendment shall not, except as specified in the preceding sentence, require the consent of any Bank, and may effect such amendments to this Agreement and the other Credit Documents as may be necessary, in the reasonable opinion of the Co-Administrative Agents, the Administrative Agent and the Borrower, to effect the provisions of this Section. The Banks hereby authorize the Co-Administrative Agents and the Administrative Agent to execute such other documents, instruments and agreements, including security agreements, as may be necessary in the reasonable opinion of either Co-Administrative Agent to give effect to the Incremental Amendment. The effectiveness of any Incremental Amendment shall be subject to the satisfaction on the date thereof of such conditions as the parties thereto shall agree. The Borrower will use the proceeds of each Incremental Term Loan for any purpose permitted by Section 5.8.</w:t>
      </w:r>
    </w:p>
    <w:p>
      <w:pPr>
        <w:spacing w:after="0" w:line="197" w:lineRule="exact"/>
        <w:rPr>
          <w:sz w:val="20"/>
          <w:szCs w:val="20"/>
          <w:color w:val="auto"/>
        </w:rPr>
      </w:pPr>
    </w:p>
    <w:p>
      <w:pPr>
        <w:jc w:val="both"/>
        <w:ind w:left="40" w:right="19" w:hanging="7"/>
        <w:spacing w:after="0" w:line="256" w:lineRule="auto"/>
        <w:tabs>
          <w:tab w:leader="none" w:pos="44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Borrower agrees to pay any reasonable out-of-pocket expenses of the Administrative Agent relating to any Commitment Amount Increase and any Incremental Amendment. Notwithstanding anything herein to the contrary, no Bank shall have any obligation to increase its Revolving Credit Commitment or advance additional Term Loans or Incremental Term Loans and no Bank’s Revolving Credit Commitment shall be increased without its consent thereto, and each Bank may at its option, unconditionally and without cause, decline to increase its Revolving Credit Commitment or advance additional Term Loans or Incremental Term Loans.</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RTICLE</w:t>
      </w:r>
      <w:r>
        <w:rPr>
          <w:rFonts w:ascii="Arial" w:cs="Arial" w:eastAsia="Arial" w:hAnsi="Arial"/>
          <w:sz w:val="17"/>
          <w:szCs w:val="17"/>
          <w:b w:val="1"/>
          <w:bCs w:val="1"/>
          <w:color w:val="auto"/>
        </w:rPr>
        <w:t xml:space="preserv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ONDITIONS</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RECEDENT</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Article I of this Amendment shall become effective upon satisfaction of the following conditions precedents:</w:t>
      </w:r>
    </w:p>
    <w:p>
      <w:pPr>
        <w:spacing w:after="0" w:line="240" w:lineRule="exact"/>
        <w:rPr>
          <w:sz w:val="20"/>
          <w:szCs w:val="20"/>
          <w:color w:val="auto"/>
        </w:rPr>
      </w:pPr>
    </w:p>
    <w:p>
      <w:pPr>
        <w:ind w:left="1240" w:right="1220" w:hanging="7"/>
        <w:spacing w:after="0" w:line="277" w:lineRule="auto"/>
        <w:tabs>
          <w:tab w:leader="none" w:pos="1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Administrative Agent shall have received counterparts hereof executed by the Borrower, the Guarantors and the Required Banks;</w:t>
      </w:r>
    </w:p>
    <w:p>
      <w:pPr>
        <w:spacing w:after="0" w:line="189" w:lineRule="exact"/>
        <w:rPr>
          <w:rFonts w:ascii="Arial" w:cs="Arial" w:eastAsia="Arial" w:hAnsi="Arial"/>
          <w:sz w:val="17"/>
          <w:szCs w:val="17"/>
          <w:color w:val="auto"/>
        </w:rPr>
      </w:pPr>
    </w:p>
    <w:p>
      <w:pPr>
        <w:ind w:left="1240" w:right="1240" w:hanging="7"/>
        <w:spacing w:after="0" w:line="277" w:lineRule="auto"/>
        <w:tabs>
          <w:tab w:leader="none" w:pos="1644"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Administrative Agent shall have received a Secretary or Assistant Secretary Certificate indicating the Borrower and Guarantors’ authorized signers of this Amendment and the specimen signatures of such signers; and</w:t>
      </w:r>
    </w:p>
    <w:p>
      <w:pPr>
        <w:spacing w:after="0" w:line="189" w:lineRule="exact"/>
        <w:rPr>
          <w:rFonts w:ascii="Arial" w:cs="Arial" w:eastAsia="Arial" w:hAnsi="Arial"/>
          <w:sz w:val="17"/>
          <w:szCs w:val="17"/>
          <w:color w:val="auto"/>
        </w:rPr>
      </w:pPr>
    </w:p>
    <w:p>
      <w:pPr>
        <w:ind w:left="1240" w:right="1240" w:hanging="7"/>
        <w:spacing w:after="0" w:line="277" w:lineRule="auto"/>
        <w:tabs>
          <w:tab w:leader="none" w:pos="1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Borrower shall have paid the fees as agreed between the Borrower and the Co-Lead Arrangers in the Fee Letter dated September 12,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RTICLE</w:t>
      </w:r>
      <w:r>
        <w:rPr>
          <w:rFonts w:ascii="Arial" w:cs="Arial" w:eastAsia="Arial" w:hAnsi="Arial"/>
          <w:sz w:val="17"/>
          <w:szCs w:val="17"/>
          <w:b w:val="1"/>
          <w:bCs w:val="1"/>
          <w:color w:val="auto"/>
        </w:rPr>
        <w:t xml:space="preserv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ISCELLANEOUS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3.1. To induce the Administrative Agent, Co-Administrative Agents and the Banks to enter into this Amendment, the Borrower represents and warrants to the Administrative Agent, Co-Administrative Agents and the Banks that: (a) the representations and warranties contained in the Credit Agreement are true and correct in all material respects as of the date hereof with the same effect as though made on the date hereof (it being understood and agreed that any representation or warranty which by its terms is made as of a specified date shall be required to be true and correct in all material respects only as of such specified date); (b) no Default or Event of Default exists; (c) this Amendment has been duly authorized by all necessary corporate proceedings and duly executed and delivered by the Borrower and each other Credit Party and the Credit Agreement, as amended by this Amendment, is the legal, valid and binding obligation of the Borrower and each other Credit Party, enforceable against the Borrower and each other Credit Party in accordance with its terms; and (d) no consent, approval, authorization, order, registration or qualification with any Governmental Authority is required for, and the absence of which would materially adversely affect, the legal and valid execution and delivery or performance by the Borrower or any other Credit Party of this Amendment or the performance by the Borrower or any other Credit Party of the Credit Agreement, as amended by this Amendment.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3.2. This Amendment may be executed in any number of counterparts and by the different parties on separate counterparts and each such counterpart shall be deemed to be an original, but all such counterparts shall together constitute but one and the same Amendment.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53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17"/>
          <w:szCs w:val="17"/>
          <w:color w:val="auto"/>
        </w:rPr>
        <w:t>3.3. Except as specifically provided above, the Credit Agreement shall remain in full force and effect and is hereby ratified and confirmed in all respects. The execution, delivery, and effectiveness of this Amendment shall not, except as expressly provided herein, operate as a waiver of any right, power, or remedy of the Administrative Agent, the Co-Administrative Agents or any Bank under the Credit Agreement or any Note, nor constitute a waiver or modification of any provision of any of the Credit Agreement or any Note.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3.4. This Amendment and the rights and obligations of the parties hereunder shall be construed in accordance with and be governed by the laws of the State of New York.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IGNATURE</w:t>
      </w:r>
      <w:r>
        <w:rPr>
          <w:rFonts w:ascii="Arial" w:cs="Arial" w:eastAsia="Arial" w:hAnsi="Arial"/>
          <w:sz w:val="17"/>
          <w:szCs w:val="17"/>
          <w:color w:val="auto"/>
        </w:rPr>
        <w:t xml:space="preserve"> P</w:t>
      </w:r>
      <w:r>
        <w:rPr>
          <w:rFonts w:ascii="Arial" w:cs="Arial" w:eastAsia="Arial" w:hAnsi="Arial"/>
          <w:sz w:val="11"/>
          <w:szCs w:val="11"/>
          <w:color w:val="auto"/>
        </w:rPr>
        <w:t>AGES FOLLOW</w:t>
      </w:r>
      <w:r>
        <w:rPr>
          <w:rFonts w:ascii="Arial" w:cs="Arial" w:eastAsia="Arial" w:hAnsi="Arial"/>
          <w:sz w:val="17"/>
          <w:szCs w:val="17"/>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53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730" w:right="239" w:bottom="1440" w:gutter="0" w:footer="0" w:header="0"/>
        </w:sectPr>
      </w:pPr>
    </w:p>
    <w:bookmarkStart w:id="10" w:name="page11"/>
    <w:bookmarkEnd w:id="10"/>
    <w:p>
      <w:pPr>
        <w:ind w:firstLine="615"/>
        <w:spacing w:after="0" w:line="277" w:lineRule="auto"/>
        <w:rPr>
          <w:sz w:val="20"/>
          <w:szCs w:val="20"/>
          <w:color w:val="auto"/>
        </w:rPr>
      </w:pPr>
      <w:r>
        <w:rPr>
          <w:rFonts w:ascii="Arial" w:cs="Arial" w:eastAsia="Arial" w:hAnsi="Arial"/>
          <w:sz w:val="17"/>
          <w:szCs w:val="17"/>
          <w:color w:val="auto"/>
        </w:rPr>
        <w:t>I</w:t>
      </w:r>
      <w:r>
        <w:rPr>
          <w:rFonts w:ascii="Arial" w:cs="Arial" w:eastAsia="Arial" w:hAnsi="Arial"/>
          <w:sz w:val="11"/>
          <w:szCs w:val="11"/>
          <w:color w:val="auto"/>
        </w:rPr>
        <w:t>N</w:t>
      </w:r>
      <w:r>
        <w:rPr>
          <w:rFonts w:ascii="Arial" w:cs="Arial" w:eastAsia="Arial" w:hAnsi="Arial"/>
          <w:sz w:val="17"/>
          <w:szCs w:val="17"/>
          <w:color w:val="auto"/>
        </w:rPr>
        <w:t xml:space="preserve"> W</w:t>
      </w:r>
      <w:r>
        <w:rPr>
          <w:rFonts w:ascii="Arial" w:cs="Arial" w:eastAsia="Arial" w:hAnsi="Arial"/>
          <w:sz w:val="11"/>
          <w:szCs w:val="11"/>
          <w:color w:val="auto"/>
        </w:rPr>
        <w:t>ITNESS</w:t>
      </w:r>
      <w:r>
        <w:rPr>
          <w:rFonts w:ascii="Arial" w:cs="Arial" w:eastAsia="Arial" w:hAnsi="Arial"/>
          <w:sz w:val="17"/>
          <w:szCs w:val="17"/>
          <w:color w:val="auto"/>
        </w:rPr>
        <w:t xml:space="preserve"> W</w:t>
      </w:r>
      <w:r>
        <w:rPr>
          <w:rFonts w:ascii="Arial" w:cs="Arial" w:eastAsia="Arial" w:hAnsi="Arial"/>
          <w:sz w:val="11"/>
          <w:szCs w:val="11"/>
          <w:color w:val="auto"/>
        </w:rPr>
        <w:t>HEREO</w:t>
      </w:r>
      <w:r>
        <w:rPr>
          <w:rFonts w:ascii="Arial" w:cs="Arial" w:eastAsia="Arial" w:hAnsi="Arial"/>
          <w:sz w:val="17"/>
          <w:szCs w:val="17"/>
          <w:color w:val="auto"/>
        </w:rPr>
        <w:t>f, the parties hereto have caused this Amendment to be executed by their respective officers thereunto duly authorized as of the day and year first above written.</w:t>
      </w:r>
    </w:p>
    <w:p>
      <w:pPr>
        <w:spacing w:after="0" w:line="19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LLIANCE</w:t>
      </w:r>
      <w:r>
        <w:rPr>
          <w:rFonts w:ascii="Arial" w:cs="Arial" w:eastAsia="Arial" w:hAnsi="Arial"/>
          <w:sz w:val="17"/>
          <w:szCs w:val="17"/>
          <w:color w:val="auto"/>
        </w:rPr>
        <w:t xml:space="preserve"> D</w:t>
      </w:r>
      <w:r>
        <w:rPr>
          <w:rFonts w:ascii="Arial" w:cs="Arial" w:eastAsia="Arial" w:hAnsi="Arial"/>
          <w:sz w:val="11"/>
          <w:szCs w:val="11"/>
          <w:color w:val="auto"/>
        </w:rPr>
        <w:t>ATA</w:t>
      </w:r>
      <w:r>
        <w:rPr>
          <w:rFonts w:ascii="Arial" w:cs="Arial" w:eastAsia="Arial" w:hAnsi="Arial"/>
          <w:sz w:val="17"/>
          <w:szCs w:val="17"/>
          <w:color w:val="auto"/>
        </w:rPr>
        <w:t xml:space="preserve"> S</w:t>
      </w:r>
      <w:r>
        <w:rPr>
          <w:rFonts w:ascii="Arial" w:cs="Arial" w:eastAsia="Arial" w:hAnsi="Arial"/>
          <w:sz w:val="11"/>
          <w:szCs w:val="11"/>
          <w:color w:val="auto"/>
        </w:rPr>
        <w:t>YSTEMS</w:t>
      </w:r>
      <w:r>
        <w:rPr>
          <w:rFonts w:ascii="Arial" w:cs="Arial" w:eastAsia="Arial" w:hAnsi="Arial"/>
          <w:sz w:val="17"/>
          <w:szCs w:val="17"/>
          <w:color w:val="auto"/>
        </w:rPr>
        <w:t xml:space="preserve"> C</w:t>
      </w:r>
      <w:r>
        <w:rPr>
          <w:rFonts w:ascii="Arial" w:cs="Arial" w:eastAsia="Arial" w:hAnsi="Arial"/>
          <w:sz w:val="11"/>
          <w:szCs w:val="11"/>
          <w:color w:val="auto"/>
        </w:rPr>
        <w:t>ORPORATION</w:t>
      </w:r>
      <w:r>
        <w:rPr>
          <w:rFonts w:ascii="Arial" w:cs="Arial" w:eastAsia="Arial" w:hAnsi="Arial"/>
          <w:sz w:val="17"/>
          <w:szCs w:val="17"/>
          <w:color w:val="auto"/>
        </w:rPr>
        <w:t>, as Borrower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Executive Vice President and CFO</w:t>
      </w:r>
    </w:p>
    <w:p>
      <w:pPr>
        <w:spacing w:after="0" w:line="200" w:lineRule="exact"/>
        <w:rPr>
          <w:sz w:val="20"/>
          <w:szCs w:val="20"/>
          <w:color w:val="auto"/>
        </w:rPr>
      </w:pPr>
    </w:p>
    <w:p>
      <w:pPr>
        <w:spacing w:after="0" w:line="26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ADS A</w:t>
      </w:r>
      <w:r>
        <w:rPr>
          <w:rFonts w:ascii="Arial" w:cs="Arial" w:eastAsia="Arial" w:hAnsi="Arial"/>
          <w:sz w:val="11"/>
          <w:szCs w:val="11"/>
          <w:color w:val="auto"/>
        </w:rPr>
        <w:t>LLIANCE</w:t>
      </w:r>
      <w:r>
        <w:rPr>
          <w:rFonts w:ascii="Arial" w:cs="Arial" w:eastAsia="Arial" w:hAnsi="Arial"/>
          <w:sz w:val="17"/>
          <w:szCs w:val="17"/>
          <w:color w:val="auto"/>
        </w:rPr>
        <w:t xml:space="preserve"> D</w:t>
      </w:r>
      <w:r>
        <w:rPr>
          <w:rFonts w:ascii="Arial" w:cs="Arial" w:eastAsia="Arial" w:hAnsi="Arial"/>
          <w:sz w:val="11"/>
          <w:szCs w:val="11"/>
          <w:color w:val="auto"/>
        </w:rPr>
        <w:t>ATA</w:t>
      </w:r>
      <w:r>
        <w:rPr>
          <w:rFonts w:ascii="Arial" w:cs="Arial" w:eastAsia="Arial" w:hAnsi="Arial"/>
          <w:sz w:val="17"/>
          <w:szCs w:val="17"/>
          <w:color w:val="auto"/>
        </w:rPr>
        <w:t xml:space="preserve"> S</w:t>
      </w:r>
      <w:r>
        <w:rPr>
          <w:rFonts w:ascii="Arial" w:cs="Arial" w:eastAsia="Arial" w:hAnsi="Arial"/>
          <w:sz w:val="11"/>
          <w:szCs w:val="11"/>
          <w:color w:val="auto"/>
        </w:rPr>
        <w:t>YSTEMS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as a Guarantor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Executive Vice President and CFO</w:t>
      </w:r>
    </w:p>
    <w:p>
      <w:pPr>
        <w:spacing w:after="0" w:line="200" w:lineRule="exact"/>
        <w:rPr>
          <w:sz w:val="20"/>
          <w:szCs w:val="20"/>
          <w:color w:val="auto"/>
        </w:rPr>
      </w:pPr>
    </w:p>
    <w:p>
      <w:pPr>
        <w:spacing w:after="0" w:line="26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PSILON</w:t>
      </w:r>
      <w:r>
        <w:rPr>
          <w:rFonts w:ascii="Arial" w:cs="Arial" w:eastAsia="Arial" w:hAnsi="Arial"/>
          <w:sz w:val="17"/>
          <w:szCs w:val="17"/>
          <w:color w:val="auto"/>
        </w:rPr>
        <w:t xml:space="preserve"> M</w:t>
      </w:r>
      <w:r>
        <w:rPr>
          <w:rFonts w:ascii="Arial" w:cs="Arial" w:eastAsia="Arial" w:hAnsi="Arial"/>
          <w:sz w:val="11"/>
          <w:szCs w:val="11"/>
          <w:color w:val="auto"/>
        </w:rPr>
        <w:t>ARKETING</w:t>
      </w:r>
      <w:r>
        <w:rPr>
          <w:rFonts w:ascii="Arial" w:cs="Arial" w:eastAsia="Arial" w:hAnsi="Arial"/>
          <w:sz w:val="17"/>
          <w:szCs w:val="17"/>
          <w:color w:val="auto"/>
        </w:rPr>
        <w:t xml:space="preserve"> S</w:t>
      </w:r>
      <w:r>
        <w:rPr>
          <w:rFonts w:ascii="Arial" w:cs="Arial" w:eastAsia="Arial" w:hAnsi="Arial"/>
          <w:sz w:val="11"/>
          <w:szCs w:val="11"/>
          <w:color w:val="auto"/>
        </w:rPr>
        <w:t>ERVICES</w:t>
      </w:r>
      <w:r>
        <w:rPr>
          <w:rFonts w:ascii="Arial" w:cs="Arial" w:eastAsia="Arial" w:hAnsi="Arial"/>
          <w:sz w:val="17"/>
          <w:szCs w:val="17"/>
          <w:color w:val="auto"/>
        </w:rPr>
        <w:t>, LLC, as a Guarantor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6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PSILON</w:t>
      </w:r>
      <w:r>
        <w:rPr>
          <w:rFonts w:ascii="Arial" w:cs="Arial" w:eastAsia="Arial" w:hAnsi="Arial"/>
          <w:sz w:val="17"/>
          <w:szCs w:val="17"/>
          <w:color w:val="auto"/>
        </w:rPr>
        <w:t xml:space="preserve"> D</w:t>
      </w:r>
      <w:r>
        <w:rPr>
          <w:rFonts w:ascii="Arial" w:cs="Arial" w:eastAsia="Arial" w:hAnsi="Arial"/>
          <w:sz w:val="11"/>
          <w:szCs w:val="11"/>
          <w:color w:val="auto"/>
        </w:rPr>
        <w:t>ATA</w:t>
      </w:r>
      <w:r>
        <w:rPr>
          <w:rFonts w:ascii="Arial" w:cs="Arial" w:eastAsia="Arial" w:hAnsi="Arial"/>
          <w:sz w:val="17"/>
          <w:szCs w:val="17"/>
          <w:color w:val="auto"/>
        </w:rPr>
        <w:t xml:space="preserve"> M</w:t>
      </w:r>
      <w:r>
        <w:rPr>
          <w:rFonts w:ascii="Arial" w:cs="Arial" w:eastAsia="Arial" w:hAnsi="Arial"/>
          <w:sz w:val="11"/>
          <w:szCs w:val="11"/>
          <w:color w:val="auto"/>
        </w:rPr>
        <w:t>ANAGEMENT</w:t>
      </w:r>
      <w:r>
        <w:rPr>
          <w:rFonts w:ascii="Arial" w:cs="Arial" w:eastAsia="Arial" w:hAnsi="Arial"/>
          <w:sz w:val="17"/>
          <w:szCs w:val="17"/>
          <w:color w:val="auto"/>
        </w:rPr>
        <w:t>, LLC, as a Guarantor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6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A</w:t>
      </w:r>
      <w:r>
        <w:rPr>
          <w:rFonts w:ascii="Arial" w:cs="Arial" w:eastAsia="Arial" w:hAnsi="Arial"/>
          <w:sz w:val="11"/>
          <w:szCs w:val="11"/>
          <w:color w:val="auto"/>
        </w:rPr>
        <w:t>LLIANCE</w:t>
      </w:r>
      <w:r>
        <w:rPr>
          <w:rFonts w:ascii="Arial" w:cs="Arial" w:eastAsia="Arial" w:hAnsi="Arial"/>
          <w:sz w:val="17"/>
          <w:szCs w:val="17"/>
          <w:color w:val="auto"/>
        </w:rPr>
        <w:t xml:space="preserve"> D</w:t>
      </w:r>
      <w:r>
        <w:rPr>
          <w:rFonts w:ascii="Arial" w:cs="Arial" w:eastAsia="Arial" w:hAnsi="Arial"/>
          <w:sz w:val="11"/>
          <w:szCs w:val="11"/>
          <w:color w:val="auto"/>
        </w:rPr>
        <w:t>ATA</w:t>
      </w:r>
      <w:r>
        <w:rPr>
          <w:rFonts w:ascii="Arial" w:cs="Arial" w:eastAsia="Arial" w:hAnsi="Arial"/>
          <w:sz w:val="17"/>
          <w:szCs w:val="17"/>
          <w:color w:val="auto"/>
        </w:rPr>
        <w:t xml:space="preserve"> F</w:t>
      </w:r>
      <w:r>
        <w:rPr>
          <w:rFonts w:ascii="Arial" w:cs="Arial" w:eastAsia="Arial" w:hAnsi="Arial"/>
          <w:sz w:val="11"/>
          <w:szCs w:val="11"/>
          <w:color w:val="auto"/>
        </w:rPr>
        <w:t>OREIGN</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as a Guarantor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6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ADS F</w:t>
      </w:r>
      <w:r>
        <w:rPr>
          <w:rFonts w:ascii="Arial" w:cs="Arial" w:eastAsia="Arial" w:hAnsi="Arial"/>
          <w:sz w:val="11"/>
          <w:szCs w:val="11"/>
          <w:color w:val="auto"/>
        </w:rPr>
        <w:t>OREIGN</w:t>
      </w:r>
      <w:r>
        <w:rPr>
          <w:rFonts w:ascii="Arial" w:cs="Arial" w:eastAsia="Arial" w:hAnsi="Arial"/>
          <w:sz w:val="17"/>
          <w:szCs w:val="17"/>
          <w:color w:val="auto"/>
        </w:rPr>
        <w:t xml:space="preserve"> H</w:t>
      </w:r>
      <w:r>
        <w:rPr>
          <w:rFonts w:ascii="Arial" w:cs="Arial" w:eastAsia="Arial" w:hAnsi="Arial"/>
          <w:sz w:val="11"/>
          <w:szCs w:val="11"/>
          <w:color w:val="auto"/>
        </w:rPr>
        <w:t>OLDINGS</w:t>
      </w:r>
      <w:r>
        <w:rPr>
          <w:rFonts w:ascii="Arial" w:cs="Arial" w:eastAsia="Arial" w:hAnsi="Arial"/>
          <w:sz w:val="17"/>
          <w:szCs w:val="17"/>
          <w:color w:val="auto"/>
        </w:rPr>
        <w:t>, I</w:t>
      </w:r>
      <w:r>
        <w:rPr>
          <w:rFonts w:ascii="Arial" w:cs="Arial" w:eastAsia="Arial" w:hAnsi="Arial"/>
          <w:sz w:val="11"/>
          <w:szCs w:val="11"/>
          <w:color w:val="auto"/>
        </w:rPr>
        <w:t>NC</w:t>
      </w:r>
      <w:r>
        <w:rPr>
          <w:rFonts w:ascii="Arial" w:cs="Arial" w:eastAsia="Arial" w:hAnsi="Arial"/>
          <w:sz w:val="17"/>
          <w:szCs w:val="17"/>
          <w:color w:val="auto"/>
        </w:rPr>
        <w:t>., as a Guarantor</w:t>
      </w:r>
    </w:p>
    <w:p>
      <w:pPr>
        <w:spacing w:after="0" w:line="24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72536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sectPr>
      </w:pPr>
    </w:p>
    <w:bookmarkStart w:id="11" w:name="page12"/>
    <w:bookmarkEnd w:id="11"/>
    <w:p>
      <w:pPr>
        <w:ind w:left="586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OMENITY</w:t>
      </w:r>
      <w:r>
        <w:rPr>
          <w:rFonts w:ascii="Arial" w:cs="Arial" w:eastAsia="Arial" w:hAnsi="Arial"/>
          <w:sz w:val="17"/>
          <w:szCs w:val="17"/>
          <w:color w:val="auto"/>
        </w:rPr>
        <w:t xml:space="preserve"> LLC, as a Guarantor</w:t>
      </w: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Leigh Ann K. Epperson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Leigh Ann K. Epperson</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w:t>
      </w:r>
      <w:r>
        <w:rPr>
          <w:rFonts w:ascii="Arial" w:cs="Arial" w:eastAsia="Arial" w:hAnsi="Arial"/>
          <w:sz w:val="10"/>
          <w:szCs w:val="10"/>
          <w:color w:val="auto"/>
        </w:rPr>
        <w:t>LLIANCE</w:t>
      </w:r>
      <w:r>
        <w:rPr>
          <w:rFonts w:ascii="Arial" w:cs="Arial" w:eastAsia="Arial" w:hAnsi="Arial"/>
          <w:sz w:val="16"/>
          <w:szCs w:val="16"/>
          <w:color w:val="auto"/>
        </w:rPr>
        <w:t xml:space="preserve"> D</w:t>
      </w:r>
      <w:r>
        <w:rPr>
          <w:rFonts w:ascii="Arial" w:cs="Arial" w:eastAsia="Arial" w:hAnsi="Arial"/>
          <w:sz w:val="10"/>
          <w:szCs w:val="10"/>
          <w:color w:val="auto"/>
        </w:rPr>
        <w:t>ATA</w:t>
      </w:r>
      <w:r>
        <w:rPr>
          <w:rFonts w:ascii="Arial" w:cs="Arial" w:eastAsia="Arial" w:hAnsi="Arial"/>
          <w:sz w:val="16"/>
          <w:szCs w:val="16"/>
          <w:color w:val="auto"/>
        </w:rPr>
        <w:t xml:space="preserve"> FHC, I</w:t>
      </w:r>
      <w:r>
        <w:rPr>
          <w:rFonts w:ascii="Arial" w:cs="Arial" w:eastAsia="Arial" w:hAnsi="Arial"/>
          <w:sz w:val="10"/>
          <w:szCs w:val="10"/>
          <w:color w:val="auto"/>
        </w:rPr>
        <w:t>NC</w:t>
      </w:r>
      <w:r>
        <w:rPr>
          <w:rFonts w:ascii="Arial" w:cs="Arial" w:eastAsia="Arial" w:hAnsi="Arial"/>
          <w:sz w:val="16"/>
          <w:szCs w:val="16"/>
          <w:color w:val="auto"/>
        </w:rPr>
        <w:t>., as a Guarantor</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Charles L. Horn</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Charles L. Horn</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2" w:name="page13"/>
    <w:bookmarkEnd w:id="12"/>
    <w:p>
      <w:pPr>
        <w:ind w:left="5780"/>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ANK OF</w:t>
      </w:r>
      <w:r>
        <w:rPr>
          <w:rFonts w:ascii="Arial" w:cs="Arial" w:eastAsia="Arial" w:hAnsi="Arial"/>
          <w:sz w:val="16"/>
          <w:szCs w:val="16"/>
          <w:color w:val="auto"/>
        </w:rPr>
        <w:t xml:space="preserve"> M</w:t>
      </w:r>
      <w:r>
        <w:rPr>
          <w:rFonts w:ascii="Arial" w:cs="Arial" w:eastAsia="Arial" w:hAnsi="Arial"/>
          <w:sz w:val="10"/>
          <w:szCs w:val="10"/>
          <w:color w:val="auto"/>
        </w:rPr>
        <w:t>ONTREAL</w:t>
      </w:r>
      <w:r>
        <w:rPr>
          <w:rFonts w:ascii="Arial" w:cs="Arial" w:eastAsia="Arial" w:hAnsi="Arial"/>
          <w:sz w:val="16"/>
          <w:szCs w:val="16"/>
          <w:color w:val="auto"/>
        </w:rPr>
        <w:t>, as Administrative Agent and Co-</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Administrative Agent</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Mark W. Piekos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Mark W. Piekos</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420"/>
          </w:cols>
          <w:pgMar w:left="1440" w:top="499" w:right="1039" w:bottom="1440" w:gutter="0" w:footer="0" w:header="0"/>
        </w:sectPr>
      </w:pPr>
    </w:p>
    <w:bookmarkStart w:id="13" w:name="page14"/>
    <w:bookmarkEnd w:id="13"/>
    <w:p>
      <w:pPr>
        <w:ind w:left="5820"/>
        <w:spacing w:after="0"/>
        <w:rPr>
          <w:sz w:val="20"/>
          <w:szCs w:val="20"/>
          <w:color w:val="auto"/>
        </w:rPr>
      </w:pPr>
      <w:r>
        <w:rPr>
          <w:rFonts w:ascii="Arial" w:cs="Arial" w:eastAsia="Arial" w:hAnsi="Arial"/>
          <w:sz w:val="16"/>
          <w:szCs w:val="16"/>
          <w:color w:val="auto"/>
        </w:rPr>
        <w:t>B</w:t>
      </w:r>
      <w:r>
        <w:rPr>
          <w:rFonts w:ascii="Arial" w:cs="Arial" w:eastAsia="Arial" w:hAnsi="Arial"/>
          <w:sz w:val="10"/>
          <w:szCs w:val="10"/>
          <w:color w:val="auto"/>
        </w:rPr>
        <w:t>ANK OF</w:t>
      </w:r>
      <w:r>
        <w:rPr>
          <w:rFonts w:ascii="Arial" w:cs="Arial" w:eastAsia="Arial" w:hAnsi="Arial"/>
          <w:sz w:val="16"/>
          <w:szCs w:val="16"/>
          <w:color w:val="auto"/>
        </w:rPr>
        <w:t xml:space="preserve"> M</w:t>
      </w:r>
      <w:r>
        <w:rPr>
          <w:rFonts w:ascii="Arial" w:cs="Arial" w:eastAsia="Arial" w:hAnsi="Arial"/>
          <w:sz w:val="10"/>
          <w:szCs w:val="10"/>
          <w:color w:val="auto"/>
        </w:rPr>
        <w:t>ONTREAL</w:t>
      </w:r>
      <w:r>
        <w:rPr>
          <w:rFonts w:ascii="Arial" w:cs="Arial" w:eastAsia="Arial" w:hAnsi="Arial"/>
          <w:sz w:val="16"/>
          <w:szCs w:val="16"/>
          <w:color w:val="auto"/>
        </w:rPr>
        <w:t>, individually as a Bank, as Letter of Credit</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Issuer and as Swing Lender</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Mark W. Piekos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Mark W. Piekos</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0060"/>
          </w:cols>
          <w:pgMar w:left="1440" w:top="499" w:right="399" w:bottom="1440" w:gutter="0" w:footer="0" w:header="0"/>
        </w:sectPr>
      </w:pPr>
    </w:p>
    <w:bookmarkStart w:id="14" w:name="page15"/>
    <w:bookmarkEnd w:id="14"/>
    <w:p>
      <w:pPr>
        <w:ind w:left="578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UN</w:t>
      </w:r>
      <w:r>
        <w:rPr>
          <w:rFonts w:ascii="Arial" w:cs="Arial" w:eastAsia="Arial" w:hAnsi="Arial"/>
          <w:sz w:val="16"/>
          <w:szCs w:val="16"/>
          <w:color w:val="auto"/>
        </w:rPr>
        <w:t>T</w:t>
      </w:r>
      <w:r>
        <w:rPr>
          <w:rFonts w:ascii="Arial" w:cs="Arial" w:eastAsia="Arial" w:hAnsi="Arial"/>
          <w:sz w:val="10"/>
          <w:szCs w:val="10"/>
          <w:color w:val="auto"/>
        </w:rPr>
        <w:t>RUST</w:t>
      </w:r>
      <w:r>
        <w:rPr>
          <w:rFonts w:ascii="Arial" w:cs="Arial" w:eastAsia="Arial" w:hAnsi="Arial"/>
          <w:sz w:val="16"/>
          <w:szCs w:val="16"/>
          <w:color w:val="auto"/>
        </w:rPr>
        <w:t xml:space="preserve"> B</w:t>
      </w:r>
      <w:r>
        <w:rPr>
          <w:rFonts w:ascii="Arial" w:cs="Arial" w:eastAsia="Arial" w:hAnsi="Arial"/>
          <w:sz w:val="10"/>
          <w:szCs w:val="10"/>
          <w:color w:val="auto"/>
        </w:rPr>
        <w:t>ANK</w:t>
      </w:r>
      <w:r>
        <w:rPr>
          <w:rFonts w:ascii="Arial" w:cs="Arial" w:eastAsia="Arial" w:hAnsi="Arial"/>
          <w:sz w:val="16"/>
          <w:szCs w:val="16"/>
          <w:color w:val="auto"/>
        </w:rPr>
        <w:t>, individually as a Bank and as Co-</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Administrative Agent</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A. Bennett</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David A. Bennett</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240"/>
          </w:cols>
          <w:pgMar w:left="1440" w:top="730" w:right="1219" w:bottom="1440" w:gutter="0" w:footer="0" w:header="0"/>
        </w:sectPr>
      </w:pPr>
    </w:p>
    <w:bookmarkStart w:id="15" w:name="page16"/>
    <w:bookmarkEnd w:id="15"/>
    <w:p>
      <w:pPr>
        <w:ind w:left="5880"/>
        <w:spacing w:after="0"/>
        <w:rPr>
          <w:sz w:val="20"/>
          <w:szCs w:val="20"/>
          <w:color w:val="auto"/>
        </w:rPr>
      </w:pPr>
      <w:r>
        <w:rPr>
          <w:rFonts w:ascii="Arial" w:cs="Arial" w:eastAsia="Arial" w:hAnsi="Arial"/>
          <w:sz w:val="17"/>
          <w:szCs w:val="17"/>
          <w:color w:val="auto"/>
        </w:rPr>
        <w:t>B</w:t>
      </w:r>
      <w:r>
        <w:rPr>
          <w:rFonts w:ascii="Arial" w:cs="Arial" w:eastAsia="Arial" w:hAnsi="Arial"/>
          <w:sz w:val="11"/>
          <w:szCs w:val="11"/>
          <w:color w:val="auto"/>
        </w:rPr>
        <w:t>ANK OF</w:t>
      </w:r>
      <w:r>
        <w:rPr>
          <w:rFonts w:ascii="Arial" w:cs="Arial" w:eastAsia="Arial" w:hAnsi="Arial"/>
          <w:sz w:val="17"/>
          <w:szCs w:val="17"/>
          <w:color w:val="auto"/>
        </w:rPr>
        <w:t xml:space="preserve"> A</w:t>
      </w:r>
      <w:r>
        <w:rPr>
          <w:rFonts w:ascii="Arial" w:cs="Arial" w:eastAsia="Arial" w:hAnsi="Arial"/>
          <w:sz w:val="11"/>
          <w:szCs w:val="11"/>
          <w:color w:val="auto"/>
        </w:rPr>
        <w:t>MERICA</w:t>
      </w:r>
      <w:r>
        <w:rPr>
          <w:rFonts w:ascii="Arial" w:cs="Arial" w:eastAsia="Arial" w:hAnsi="Arial"/>
          <w:sz w:val="17"/>
          <w:szCs w:val="17"/>
          <w:color w:val="auto"/>
        </w:rPr>
        <w:t>, N.A.</w:t>
      </w: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Allison W. Connally</w:t>
      </w:r>
    </w:p>
    <w:p>
      <w:pPr>
        <w:spacing w:after="0" w:line="32" w:lineRule="exact"/>
        <w:rPr>
          <w:sz w:val="20"/>
          <w:szCs w:val="20"/>
          <w:color w:val="auto"/>
        </w:rPr>
      </w:pPr>
    </w:p>
    <w:p>
      <w:pPr>
        <w:jc w:val="right"/>
        <w:ind w:right="125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Allison W. Connally</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16" w:name="page17"/>
    <w:bookmarkEnd w:id="16"/>
    <w:p>
      <w:pPr>
        <w:ind w:left="5860"/>
        <w:spacing w:after="0"/>
        <w:rPr>
          <w:sz w:val="20"/>
          <w:szCs w:val="20"/>
          <w:color w:val="auto"/>
        </w:rPr>
      </w:pPr>
      <w:r>
        <w:rPr>
          <w:rFonts w:ascii="Arial" w:cs="Arial" w:eastAsia="Arial" w:hAnsi="Arial"/>
          <w:sz w:val="17"/>
          <w:szCs w:val="17"/>
          <w:color w:val="auto"/>
        </w:rPr>
        <w:t>B</w:t>
      </w:r>
      <w:r>
        <w:rPr>
          <w:rFonts w:ascii="Arial" w:cs="Arial" w:eastAsia="Arial" w:hAnsi="Arial"/>
          <w:sz w:val="11"/>
          <w:szCs w:val="11"/>
          <w:color w:val="auto"/>
        </w:rPr>
        <w:t>ARCLAYS</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xml:space="preserve"> PLC</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Alicia Borys</w:t>
      </w:r>
    </w:p>
    <w:p>
      <w:pPr>
        <w:spacing w:after="0" w:line="21" w:lineRule="exact"/>
        <w:rPr>
          <w:sz w:val="20"/>
          <w:szCs w:val="20"/>
          <w:color w:val="auto"/>
        </w:rPr>
      </w:pPr>
    </w:p>
    <w:p>
      <w:pPr>
        <w:jc w:val="right"/>
        <w:ind w:right="175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Alicia Borys</w:t>
      </w:r>
    </w:p>
    <w:p>
      <w:pPr>
        <w:spacing w:after="0" w:line="10" w:lineRule="exact"/>
        <w:rPr>
          <w:sz w:val="20"/>
          <w:szCs w:val="20"/>
          <w:color w:val="auto"/>
        </w:rPr>
      </w:pPr>
    </w:p>
    <w:p>
      <w:pPr>
        <w:jc w:val="right"/>
        <w:ind w:right="17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[First Amendment to Alliance Data Systems Corporation Credit Agreement]</w:t>
      </w:r>
    </w:p>
    <w:p>
      <w:pPr>
        <w:spacing w:after="0" w:line="174"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17" w:name="page18"/>
    <w:bookmarkEnd w:id="17"/>
    <w:p>
      <w:pPr>
        <w:ind w:left="5860"/>
        <w:spacing w:after="0"/>
        <w:rPr>
          <w:sz w:val="20"/>
          <w:szCs w:val="20"/>
          <w:color w:val="auto"/>
        </w:rPr>
      </w:pPr>
      <w:r>
        <w:rPr>
          <w:rFonts w:ascii="Arial" w:cs="Arial" w:eastAsia="Arial" w:hAnsi="Arial"/>
          <w:sz w:val="16"/>
          <w:szCs w:val="16"/>
          <w:color w:val="auto"/>
        </w:rPr>
        <w:t>JPM</w:t>
      </w:r>
      <w:r>
        <w:rPr>
          <w:rFonts w:ascii="Arial" w:cs="Arial" w:eastAsia="Arial" w:hAnsi="Arial"/>
          <w:sz w:val="10"/>
          <w:szCs w:val="10"/>
          <w:color w:val="auto"/>
        </w:rPr>
        <w:t>ORGAN</w:t>
      </w:r>
      <w:r>
        <w:rPr>
          <w:rFonts w:ascii="Arial" w:cs="Arial" w:eastAsia="Arial" w:hAnsi="Arial"/>
          <w:sz w:val="16"/>
          <w:szCs w:val="16"/>
          <w:color w:val="auto"/>
        </w:rPr>
        <w:t xml:space="preserve"> C</w:t>
      </w:r>
      <w:r>
        <w:rPr>
          <w:rFonts w:ascii="Arial" w:cs="Arial" w:eastAsia="Arial" w:hAnsi="Arial"/>
          <w:sz w:val="10"/>
          <w:szCs w:val="10"/>
          <w:color w:val="auto"/>
        </w:rPr>
        <w:t>HASE</w:t>
      </w:r>
      <w:r>
        <w:rPr>
          <w:rFonts w:ascii="Arial" w:cs="Arial" w:eastAsia="Arial" w:hAnsi="Arial"/>
          <w:sz w:val="16"/>
          <w:szCs w:val="16"/>
          <w:color w:val="auto"/>
        </w:rPr>
        <w:t xml:space="preserve"> B</w:t>
      </w:r>
      <w:r>
        <w:rPr>
          <w:rFonts w:ascii="Arial" w:cs="Arial" w:eastAsia="Arial" w:hAnsi="Arial"/>
          <w:sz w:val="10"/>
          <w:szCs w:val="10"/>
          <w:color w:val="auto"/>
        </w:rPr>
        <w:t>ANK</w:t>
      </w:r>
      <w:r>
        <w:rPr>
          <w:rFonts w:ascii="Arial" w:cs="Arial" w:eastAsia="Arial" w:hAnsi="Arial"/>
          <w:sz w:val="16"/>
          <w:szCs w:val="16"/>
          <w:color w:val="auto"/>
        </w:rPr>
        <w:t>, N.A.</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Tina Ruyter</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Tina Ruyter</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18" w:name="page19"/>
    <w:bookmarkEnd w:id="18"/>
    <w:p>
      <w:pPr>
        <w:ind w:left="5900"/>
        <w:spacing w:after="0"/>
        <w:rPr>
          <w:sz w:val="20"/>
          <w:szCs w:val="20"/>
          <w:color w:val="auto"/>
        </w:rPr>
      </w:pPr>
      <w:r>
        <w:rPr>
          <w:rFonts w:ascii="Arial" w:cs="Arial" w:eastAsia="Arial" w:hAnsi="Arial"/>
          <w:sz w:val="17"/>
          <w:szCs w:val="17"/>
          <w:color w:val="auto"/>
        </w:rPr>
        <w:t>R</w:t>
      </w:r>
      <w:r>
        <w:rPr>
          <w:rFonts w:ascii="Arial" w:cs="Arial" w:eastAsia="Arial" w:hAnsi="Arial"/>
          <w:sz w:val="11"/>
          <w:szCs w:val="11"/>
          <w:color w:val="auto"/>
        </w:rPr>
        <w:t>OYAL</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C</w:t>
      </w:r>
      <w:r>
        <w:rPr>
          <w:rFonts w:ascii="Arial" w:cs="Arial" w:eastAsia="Arial" w:hAnsi="Arial"/>
          <w:sz w:val="11"/>
          <w:szCs w:val="11"/>
          <w:color w:val="auto"/>
        </w:rPr>
        <w:t>ANADA</w:t>
      </w:r>
    </w:p>
    <w:p>
      <w:pPr>
        <w:spacing w:after="0" w:line="24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Scott Umbs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Scott Umbs</w:t>
      </w:r>
    </w:p>
    <w:p>
      <w:pPr>
        <w:spacing w:after="0" w:line="10" w:lineRule="exact"/>
        <w:rPr>
          <w:sz w:val="20"/>
          <w:szCs w:val="20"/>
          <w:color w:val="auto"/>
        </w:rPr>
      </w:pPr>
    </w:p>
    <w:p>
      <w:pPr>
        <w:jc w:val="right"/>
        <w:ind w:right="129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19" w:name="page20"/>
    <w:bookmarkEnd w:id="19"/>
    <w:p>
      <w:pPr>
        <w:jc w:val="center"/>
        <w:ind w:left="4500"/>
        <w:spacing w:after="0"/>
        <w:rPr>
          <w:sz w:val="20"/>
          <w:szCs w:val="20"/>
          <w:color w:val="auto"/>
        </w:rPr>
      </w:pPr>
      <w:r>
        <w:rPr>
          <w:rFonts w:ascii="Arial" w:cs="Arial" w:eastAsia="Arial" w:hAnsi="Arial"/>
          <w:sz w:val="17"/>
          <w:szCs w:val="17"/>
          <w:color w:val="auto"/>
        </w:rPr>
        <w:t>W</w:t>
      </w:r>
      <w:r>
        <w:rPr>
          <w:rFonts w:ascii="Arial" w:cs="Arial" w:eastAsia="Arial" w:hAnsi="Arial"/>
          <w:sz w:val="11"/>
          <w:szCs w:val="11"/>
          <w:color w:val="auto"/>
        </w:rPr>
        <w:t>ELLS</w:t>
      </w:r>
      <w:r>
        <w:rPr>
          <w:rFonts w:ascii="Arial" w:cs="Arial" w:eastAsia="Arial" w:hAnsi="Arial"/>
          <w:sz w:val="17"/>
          <w:szCs w:val="17"/>
          <w:color w:val="auto"/>
        </w:rPr>
        <w:t xml:space="preserve"> F</w:t>
      </w:r>
      <w:r>
        <w:rPr>
          <w:rFonts w:ascii="Arial" w:cs="Arial" w:eastAsia="Arial" w:hAnsi="Arial"/>
          <w:sz w:val="11"/>
          <w:szCs w:val="11"/>
          <w:color w:val="auto"/>
        </w:rPr>
        <w:t>ARGO</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N.A.</w:t>
      </w: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Marguerite Burtzlaff</w:t>
      </w:r>
    </w:p>
    <w:p>
      <w:pPr>
        <w:spacing w:after="0" w:line="32" w:lineRule="exact"/>
        <w:rPr>
          <w:sz w:val="20"/>
          <w:szCs w:val="20"/>
          <w:color w:val="auto"/>
        </w:rPr>
      </w:pPr>
    </w:p>
    <w:p>
      <w:pPr>
        <w:jc w:val="right"/>
        <w:ind w:right="127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Marguerite Burtzlaff</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0" w:name="page21"/>
    <w:bookmarkEnd w:id="20"/>
    <w:p>
      <w:pPr>
        <w:ind w:left="5880"/>
        <w:spacing w:after="0"/>
        <w:rPr>
          <w:sz w:val="20"/>
          <w:szCs w:val="20"/>
          <w:color w:val="auto"/>
        </w:rPr>
      </w:pPr>
      <w:r>
        <w:rPr>
          <w:rFonts w:ascii="Arial" w:cs="Arial" w:eastAsia="Arial" w:hAnsi="Arial"/>
          <w:sz w:val="17"/>
          <w:szCs w:val="17"/>
          <w:color w:val="auto"/>
        </w:rPr>
        <w:t>C</w:t>
      </w:r>
      <w:r>
        <w:rPr>
          <w:rFonts w:ascii="Arial" w:cs="Arial" w:eastAsia="Arial" w:hAnsi="Arial"/>
          <w:sz w:val="11"/>
          <w:szCs w:val="11"/>
          <w:color w:val="auto"/>
        </w:rPr>
        <w:t>REDIT</w:t>
      </w:r>
      <w:r>
        <w:rPr>
          <w:rFonts w:ascii="Arial" w:cs="Arial" w:eastAsia="Arial" w:hAnsi="Arial"/>
          <w:sz w:val="17"/>
          <w:szCs w:val="17"/>
          <w:color w:val="auto"/>
        </w:rPr>
        <w:t xml:space="preserve"> S</w:t>
      </w:r>
      <w:r>
        <w:rPr>
          <w:rFonts w:ascii="Arial" w:cs="Arial" w:eastAsia="Arial" w:hAnsi="Arial"/>
          <w:sz w:val="11"/>
          <w:szCs w:val="11"/>
          <w:color w:val="auto"/>
        </w:rPr>
        <w:t>UISSE</w:t>
      </w:r>
      <w:r>
        <w:rPr>
          <w:rFonts w:ascii="Arial" w:cs="Arial" w:eastAsia="Arial" w:hAnsi="Arial"/>
          <w:sz w:val="17"/>
          <w:szCs w:val="17"/>
          <w:color w:val="auto"/>
        </w:rPr>
        <w:t xml:space="preserve"> AG, C</w:t>
      </w:r>
      <w:r>
        <w:rPr>
          <w:rFonts w:ascii="Arial" w:cs="Arial" w:eastAsia="Arial" w:hAnsi="Arial"/>
          <w:sz w:val="11"/>
          <w:szCs w:val="11"/>
          <w:color w:val="auto"/>
        </w:rPr>
        <w:t>AYMAN</w:t>
      </w:r>
      <w:r>
        <w:rPr>
          <w:rFonts w:ascii="Arial" w:cs="Arial" w:eastAsia="Arial" w:hAnsi="Arial"/>
          <w:sz w:val="17"/>
          <w:szCs w:val="17"/>
          <w:color w:val="auto"/>
        </w:rPr>
        <w:t xml:space="preserve"> I</w:t>
      </w:r>
      <w:r>
        <w:rPr>
          <w:rFonts w:ascii="Arial" w:cs="Arial" w:eastAsia="Arial" w:hAnsi="Arial"/>
          <w:sz w:val="11"/>
          <w:szCs w:val="11"/>
          <w:color w:val="auto"/>
        </w:rPr>
        <w:t>SLANDS</w:t>
      </w:r>
      <w:r>
        <w:rPr>
          <w:rFonts w:ascii="Arial" w:cs="Arial" w:eastAsia="Arial" w:hAnsi="Arial"/>
          <w:sz w:val="17"/>
          <w:szCs w:val="17"/>
          <w:color w:val="auto"/>
        </w:rPr>
        <w:t xml:space="preserve"> B</w:t>
      </w:r>
      <w:r>
        <w:rPr>
          <w:rFonts w:ascii="Arial" w:cs="Arial" w:eastAsia="Arial" w:hAnsi="Arial"/>
          <w:sz w:val="11"/>
          <w:szCs w:val="11"/>
          <w:color w:val="auto"/>
        </w:rPr>
        <w:t>RANCH</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Ari Bruger</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Ari Bruger</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Rahul Parmar</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Rahul Parmar</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Associate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1" w:name="page22"/>
    <w:bookmarkEnd w:id="21"/>
    <w:p>
      <w:pPr>
        <w:jc w:val="right"/>
        <w:ind w:right="1359"/>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N</w:t>
      </w:r>
      <w:r>
        <w:rPr>
          <w:rFonts w:ascii="Arial" w:cs="Arial" w:eastAsia="Arial" w:hAnsi="Arial"/>
          <w:sz w:val="11"/>
          <w:szCs w:val="11"/>
          <w:color w:val="auto"/>
        </w:rPr>
        <w:t>OVA</w:t>
      </w:r>
      <w:r>
        <w:rPr>
          <w:rFonts w:ascii="Arial" w:cs="Arial" w:eastAsia="Arial" w:hAnsi="Arial"/>
          <w:sz w:val="17"/>
          <w:szCs w:val="17"/>
          <w:color w:val="auto"/>
        </w:rPr>
        <w:t xml:space="preserve"> S</w:t>
      </w:r>
      <w:r>
        <w:rPr>
          <w:rFonts w:ascii="Arial" w:cs="Arial" w:eastAsia="Arial" w:hAnsi="Arial"/>
          <w:sz w:val="11"/>
          <w:szCs w:val="11"/>
          <w:color w:val="auto"/>
        </w:rPr>
        <w:t>COTIA</w:t>
      </w:r>
    </w:p>
    <w:p>
      <w:pPr>
        <w:spacing w:after="0" w:line="240" w:lineRule="exact"/>
        <w:rPr>
          <w:sz w:val="20"/>
          <w:szCs w:val="20"/>
          <w:color w:val="auto"/>
        </w:rPr>
      </w:pPr>
    </w:p>
    <w:p>
      <w:pPr>
        <w:jc w:val="right"/>
        <w:ind w:right="1379"/>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Schwartzbard</w:t>
      </w:r>
    </w:p>
    <w:p>
      <w:pPr>
        <w:spacing w:after="0" w:line="21" w:lineRule="exact"/>
        <w:rPr>
          <w:sz w:val="20"/>
          <w:szCs w:val="20"/>
          <w:color w:val="auto"/>
        </w:rPr>
      </w:pPr>
    </w:p>
    <w:p>
      <w:pPr>
        <w:jc w:val="right"/>
        <w:ind w:right="131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David Schwartzbard</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2" w:name="page23"/>
    <w:bookmarkEnd w:id="22"/>
    <w:p>
      <w:pPr>
        <w:ind w:left="5840"/>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COTIABANC</w:t>
      </w:r>
      <w:r>
        <w:rPr>
          <w:rFonts w:ascii="Arial" w:cs="Arial" w:eastAsia="Arial" w:hAnsi="Arial"/>
          <w:sz w:val="17"/>
          <w:szCs w:val="17"/>
          <w:color w:val="auto"/>
        </w:rPr>
        <w:t xml:space="preserve"> I</w:t>
      </w:r>
      <w:r>
        <w:rPr>
          <w:rFonts w:ascii="Arial" w:cs="Arial" w:eastAsia="Arial" w:hAnsi="Arial"/>
          <w:sz w:val="11"/>
          <w:szCs w:val="11"/>
          <w:color w:val="auto"/>
        </w:rPr>
        <w:t>NC</w:t>
      </w:r>
      <w:r>
        <w:rPr>
          <w:rFonts w:ascii="Arial" w:cs="Arial" w:eastAsia="Arial" w:hAnsi="Arial"/>
          <w:sz w:val="17"/>
          <w:szCs w:val="17"/>
          <w:color w:val="auto"/>
        </w:rPr>
        <w:t>.</w:t>
      </w:r>
    </w:p>
    <w:p>
      <w:pPr>
        <w:spacing w:after="0" w:line="24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J.F. Todd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J.F. Todd</w:t>
      </w:r>
    </w:p>
    <w:p>
      <w:pPr>
        <w:spacing w:after="0" w:line="10"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3" w:name="page24"/>
    <w:bookmarkEnd w:id="23"/>
    <w:p>
      <w:pPr>
        <w:jc w:val="right"/>
        <w:ind w:right="539"/>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UMITOMO</w:t>
      </w:r>
      <w:r>
        <w:rPr>
          <w:rFonts w:ascii="Arial" w:cs="Arial" w:eastAsia="Arial" w:hAnsi="Arial"/>
          <w:sz w:val="17"/>
          <w:szCs w:val="17"/>
          <w:color w:val="auto"/>
        </w:rPr>
        <w:t xml:space="preserve"> M</w:t>
      </w:r>
      <w:r>
        <w:rPr>
          <w:rFonts w:ascii="Arial" w:cs="Arial" w:eastAsia="Arial" w:hAnsi="Arial"/>
          <w:sz w:val="11"/>
          <w:szCs w:val="11"/>
          <w:color w:val="auto"/>
        </w:rPr>
        <w:t>ITSUI</w:t>
      </w:r>
      <w:r>
        <w:rPr>
          <w:rFonts w:ascii="Arial" w:cs="Arial" w:eastAsia="Arial" w:hAnsi="Arial"/>
          <w:sz w:val="17"/>
          <w:szCs w:val="17"/>
          <w:color w:val="auto"/>
        </w:rPr>
        <w:t xml:space="preserve"> B</w:t>
      </w:r>
      <w:r>
        <w:rPr>
          <w:rFonts w:ascii="Arial" w:cs="Arial" w:eastAsia="Arial" w:hAnsi="Arial"/>
          <w:sz w:val="11"/>
          <w:szCs w:val="11"/>
          <w:color w:val="auto"/>
        </w:rPr>
        <w:t>ANKING</w:t>
      </w:r>
      <w:r>
        <w:rPr>
          <w:rFonts w:ascii="Arial" w:cs="Arial" w:eastAsia="Arial" w:hAnsi="Arial"/>
          <w:sz w:val="17"/>
          <w:szCs w:val="17"/>
          <w:color w:val="auto"/>
        </w:rPr>
        <w:t xml:space="preserve"> C</w:t>
      </w:r>
      <w:r>
        <w:rPr>
          <w:rFonts w:ascii="Arial" w:cs="Arial" w:eastAsia="Arial" w:hAnsi="Arial"/>
          <w:sz w:val="11"/>
          <w:szCs w:val="11"/>
          <w:color w:val="auto"/>
        </w:rPr>
        <w:t>ORPORATION</w:t>
      </w:r>
    </w:p>
    <w:p>
      <w:pPr>
        <w:spacing w:after="0" w:line="24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Shuji Yabe</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Shuji Yabe</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General Manager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4" w:name="page25"/>
    <w:bookmarkEnd w:id="24"/>
    <w:p>
      <w:pPr>
        <w:ind w:left="5900"/>
        <w:spacing w:after="0"/>
        <w:rPr>
          <w:sz w:val="20"/>
          <w:szCs w:val="20"/>
          <w:color w:val="auto"/>
        </w:rPr>
      </w:pPr>
      <w:r>
        <w:rPr>
          <w:rFonts w:ascii="Arial" w:cs="Arial" w:eastAsia="Arial" w:hAnsi="Arial"/>
          <w:sz w:val="17"/>
          <w:szCs w:val="17"/>
          <w:color w:val="auto"/>
        </w:rPr>
        <w:t>CIBC, I</w:t>
      </w:r>
      <w:r>
        <w:rPr>
          <w:rFonts w:ascii="Arial" w:cs="Arial" w:eastAsia="Arial" w:hAnsi="Arial"/>
          <w:sz w:val="11"/>
          <w:szCs w:val="11"/>
          <w:color w:val="auto"/>
        </w:rPr>
        <w:t>NC</w:t>
      </w:r>
      <w:r>
        <w:rPr>
          <w:rFonts w:ascii="Arial" w:cs="Arial" w:eastAsia="Arial" w:hAnsi="Arial"/>
          <w:sz w:val="17"/>
          <w:szCs w:val="17"/>
          <w:color w:val="auto"/>
        </w:rPr>
        <w:t>.</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Eoin Roche</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Eoin Roche</w:t>
      </w:r>
    </w:p>
    <w:p>
      <w:pPr>
        <w:spacing w:after="0" w:line="10"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Executive Director</w:t>
      </w:r>
    </w:p>
    <w:p>
      <w:pPr>
        <w:spacing w:after="0" w:line="229"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Dominic Sorresso</w:t>
      </w:r>
    </w:p>
    <w:p>
      <w:pPr>
        <w:spacing w:after="0" w:line="21" w:lineRule="exact"/>
        <w:rPr>
          <w:sz w:val="20"/>
          <w:szCs w:val="20"/>
          <w:color w:val="auto"/>
        </w:rPr>
      </w:pPr>
    </w:p>
    <w:p>
      <w:pPr>
        <w:jc w:val="right"/>
        <w:ind w:right="141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Dominic Sorresso</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u w:val="single" w:color="auto"/>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5" w:name="page26"/>
    <w:bookmarkEnd w:id="25"/>
    <w:p>
      <w:pPr>
        <w:ind w:left="5860"/>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IZUHO</w:t>
      </w:r>
      <w:r>
        <w:rPr>
          <w:rFonts w:ascii="Arial" w:cs="Arial" w:eastAsia="Arial" w:hAnsi="Arial"/>
          <w:sz w:val="17"/>
          <w:szCs w:val="17"/>
          <w:color w:val="auto"/>
        </w:rPr>
        <w:t xml:space="preserve"> C</w:t>
      </w:r>
      <w:r>
        <w:rPr>
          <w:rFonts w:ascii="Arial" w:cs="Arial" w:eastAsia="Arial" w:hAnsi="Arial"/>
          <w:sz w:val="11"/>
          <w:szCs w:val="11"/>
          <w:color w:val="auto"/>
        </w:rPr>
        <w:t>ORPORATE</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L</w:t>
      </w:r>
      <w:r>
        <w:rPr>
          <w:rFonts w:ascii="Arial" w:cs="Arial" w:eastAsia="Arial" w:hAnsi="Arial"/>
          <w:sz w:val="11"/>
          <w:szCs w:val="11"/>
          <w:color w:val="auto"/>
        </w:rPr>
        <w:t>TD</w:t>
      </w:r>
      <w:r>
        <w:rPr>
          <w:rFonts w:ascii="Arial" w:cs="Arial" w:eastAsia="Arial" w:hAnsi="Arial"/>
          <w:sz w:val="17"/>
          <w:szCs w:val="17"/>
          <w:color w:val="auto"/>
        </w:rPr>
        <w:t>.</w:t>
      </w:r>
    </w:p>
    <w:p>
      <w:pPr>
        <w:spacing w:after="0" w:line="24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Bertram H. Tang</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Bertram H. Tang</w:t>
      </w:r>
    </w:p>
    <w:p>
      <w:pPr>
        <w:spacing w:after="0" w:line="10"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6" w:name="page27"/>
    <w:bookmarkEnd w:id="26"/>
    <w:p>
      <w:pPr>
        <w:ind w:left="586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R</w:t>
      </w:r>
      <w:r>
        <w:rPr>
          <w:rFonts w:ascii="Arial" w:cs="Arial" w:eastAsia="Arial" w:hAnsi="Arial"/>
          <w:sz w:val="11"/>
          <w:szCs w:val="11"/>
          <w:color w:val="auto"/>
        </w:rPr>
        <w:t>OYAL</w:t>
      </w:r>
      <w:r>
        <w:rPr>
          <w:rFonts w:ascii="Arial" w:cs="Arial" w:eastAsia="Arial" w:hAnsi="Arial"/>
          <w:sz w:val="17"/>
          <w:szCs w:val="17"/>
          <w:color w:val="auto"/>
        </w:rPr>
        <w:t xml:space="preserve"> B</w:t>
      </w:r>
      <w:r>
        <w:rPr>
          <w:rFonts w:ascii="Arial" w:cs="Arial" w:eastAsia="Arial" w:hAnsi="Arial"/>
          <w:sz w:val="11"/>
          <w:szCs w:val="11"/>
          <w:color w:val="auto"/>
        </w:rPr>
        <w:t>ANK OF</w:t>
      </w:r>
      <w:r>
        <w:rPr>
          <w:rFonts w:ascii="Arial" w:cs="Arial" w:eastAsia="Arial" w:hAnsi="Arial"/>
          <w:sz w:val="17"/>
          <w:szCs w:val="17"/>
          <w:color w:val="auto"/>
        </w:rPr>
        <w:t xml:space="preserve"> S</w:t>
      </w:r>
      <w:r>
        <w:rPr>
          <w:rFonts w:ascii="Arial" w:cs="Arial" w:eastAsia="Arial" w:hAnsi="Arial"/>
          <w:sz w:val="11"/>
          <w:szCs w:val="11"/>
          <w:color w:val="auto"/>
        </w:rPr>
        <w:t>COTLAND PLC</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Karen Beatty</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Karen Beatty</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7" w:name="page28"/>
    <w:bookmarkEnd w:id="27"/>
    <w:p>
      <w:pPr>
        <w:ind w:left="5840"/>
        <w:spacing w:after="0"/>
        <w:rPr>
          <w:sz w:val="20"/>
          <w:szCs w:val="20"/>
          <w:color w:val="auto"/>
        </w:rPr>
      </w:pPr>
      <w:r>
        <w:rPr>
          <w:rFonts w:ascii="Arial" w:cs="Arial" w:eastAsia="Arial" w:hAnsi="Arial"/>
          <w:sz w:val="17"/>
          <w:szCs w:val="17"/>
          <w:color w:val="auto"/>
        </w:rPr>
        <w:t>T</w:t>
      </w:r>
      <w:r>
        <w:rPr>
          <w:rFonts w:ascii="Arial" w:cs="Arial" w:eastAsia="Arial" w:hAnsi="Arial"/>
          <w:sz w:val="11"/>
          <w:szCs w:val="11"/>
          <w:color w:val="auto"/>
        </w:rPr>
        <w:t>HE</w:t>
      </w:r>
      <w:r>
        <w:rPr>
          <w:rFonts w:ascii="Arial" w:cs="Arial" w:eastAsia="Arial" w:hAnsi="Arial"/>
          <w:sz w:val="17"/>
          <w:szCs w:val="17"/>
          <w:color w:val="auto"/>
        </w:rPr>
        <w:t xml:space="preserve"> H</w:t>
      </w:r>
      <w:r>
        <w:rPr>
          <w:rFonts w:ascii="Arial" w:cs="Arial" w:eastAsia="Arial" w:hAnsi="Arial"/>
          <w:sz w:val="11"/>
          <w:szCs w:val="11"/>
          <w:color w:val="auto"/>
        </w:rPr>
        <w:t>UNTINGTON</w:t>
      </w:r>
      <w:r>
        <w:rPr>
          <w:rFonts w:ascii="Arial" w:cs="Arial" w:eastAsia="Arial" w:hAnsi="Arial"/>
          <w:sz w:val="17"/>
          <w:szCs w:val="17"/>
          <w:color w:val="auto"/>
        </w:rPr>
        <w:t xml:space="preserve"> N</w:t>
      </w:r>
      <w:r>
        <w:rPr>
          <w:rFonts w:ascii="Arial" w:cs="Arial" w:eastAsia="Arial" w:hAnsi="Arial"/>
          <w:sz w:val="11"/>
          <w:szCs w:val="11"/>
          <w:color w:val="auto"/>
        </w:rPr>
        <w:t>ATIONAL</w:t>
      </w:r>
      <w:r>
        <w:rPr>
          <w:rFonts w:ascii="Arial" w:cs="Arial" w:eastAsia="Arial" w:hAnsi="Arial"/>
          <w:sz w:val="17"/>
          <w:szCs w:val="17"/>
          <w:color w:val="auto"/>
        </w:rPr>
        <w:t xml:space="preserve"> B</w:t>
      </w:r>
      <w:r>
        <w:rPr>
          <w:rFonts w:ascii="Arial" w:cs="Arial" w:eastAsia="Arial" w:hAnsi="Arial"/>
          <w:sz w:val="11"/>
          <w:szCs w:val="11"/>
          <w:color w:val="auto"/>
        </w:rPr>
        <w:t>ANK</w:t>
      </w:r>
    </w:p>
    <w:p>
      <w:pPr>
        <w:spacing w:after="0" w:line="24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Amanda M. Sigg</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Amanda M. Sigg</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8" w:name="page29"/>
    <w:bookmarkEnd w:id="28"/>
    <w:p>
      <w:pPr>
        <w:ind w:left="5840"/>
        <w:spacing w:after="0"/>
        <w:rPr>
          <w:sz w:val="20"/>
          <w:szCs w:val="20"/>
          <w:color w:val="auto"/>
        </w:rPr>
      </w:pPr>
      <w:r>
        <w:rPr>
          <w:rFonts w:ascii="Arial" w:cs="Arial" w:eastAsia="Arial" w:hAnsi="Arial"/>
          <w:sz w:val="17"/>
          <w:szCs w:val="17"/>
          <w:color w:val="auto"/>
        </w:rPr>
        <w:t>K</w:t>
      </w:r>
      <w:r>
        <w:rPr>
          <w:rFonts w:ascii="Arial" w:cs="Arial" w:eastAsia="Arial" w:hAnsi="Arial"/>
          <w:sz w:val="11"/>
          <w:szCs w:val="11"/>
          <w:color w:val="auto"/>
        </w:rPr>
        <w:t>EY</w:t>
      </w:r>
      <w:r>
        <w:rPr>
          <w:rFonts w:ascii="Arial" w:cs="Arial" w:eastAsia="Arial" w:hAnsi="Arial"/>
          <w:sz w:val="17"/>
          <w:szCs w:val="17"/>
          <w:color w:val="auto"/>
        </w:rPr>
        <w:t>B</w:t>
      </w:r>
      <w:r>
        <w:rPr>
          <w:rFonts w:ascii="Arial" w:cs="Arial" w:eastAsia="Arial" w:hAnsi="Arial"/>
          <w:sz w:val="11"/>
          <w:szCs w:val="11"/>
          <w:color w:val="auto"/>
        </w:rPr>
        <w:t>ANK</w:t>
      </w:r>
      <w:r>
        <w:rPr>
          <w:rFonts w:ascii="Arial" w:cs="Arial" w:eastAsia="Arial" w:hAnsi="Arial"/>
          <w:sz w:val="17"/>
          <w:szCs w:val="17"/>
          <w:color w:val="auto"/>
        </w:rPr>
        <w:t xml:space="preserve"> N</w:t>
      </w:r>
      <w:r>
        <w:rPr>
          <w:rFonts w:ascii="Arial" w:cs="Arial" w:eastAsia="Arial" w:hAnsi="Arial"/>
          <w:sz w:val="11"/>
          <w:szCs w:val="11"/>
          <w:color w:val="auto"/>
        </w:rPr>
        <w:t>ATIONAL</w:t>
      </w:r>
      <w:r>
        <w:rPr>
          <w:rFonts w:ascii="Arial" w:cs="Arial" w:eastAsia="Arial" w:hAnsi="Arial"/>
          <w:sz w:val="17"/>
          <w:szCs w:val="17"/>
          <w:color w:val="auto"/>
        </w:rPr>
        <w:t xml:space="preserve"> A</w:t>
      </w:r>
      <w:r>
        <w:rPr>
          <w:rFonts w:ascii="Arial" w:cs="Arial" w:eastAsia="Arial" w:hAnsi="Arial"/>
          <w:sz w:val="11"/>
          <w:szCs w:val="11"/>
          <w:color w:val="auto"/>
        </w:rPr>
        <w:t>SSOCIATION</w:t>
      </w:r>
    </w:p>
    <w:p>
      <w:pPr>
        <w:spacing w:after="0" w:line="24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Matthew A. Lambes</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Matthew A. Lambes</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29" w:name="page30"/>
    <w:bookmarkEnd w:id="29"/>
    <w:p>
      <w:pPr>
        <w:ind w:left="5860"/>
        <w:spacing w:after="0"/>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HE</w:t>
      </w:r>
      <w:r>
        <w:rPr>
          <w:rFonts w:ascii="Arial" w:cs="Arial" w:eastAsia="Arial" w:hAnsi="Arial"/>
          <w:sz w:val="16"/>
          <w:szCs w:val="16"/>
          <w:color w:val="auto"/>
        </w:rPr>
        <w:t xml:space="preserve"> N</w:t>
      </w:r>
      <w:r>
        <w:rPr>
          <w:rFonts w:ascii="Arial" w:cs="Arial" w:eastAsia="Arial" w:hAnsi="Arial"/>
          <w:sz w:val="10"/>
          <w:szCs w:val="10"/>
          <w:color w:val="auto"/>
        </w:rPr>
        <w:t>ORTHERN</w:t>
      </w:r>
      <w:r>
        <w:rPr>
          <w:rFonts w:ascii="Arial" w:cs="Arial" w:eastAsia="Arial" w:hAnsi="Arial"/>
          <w:sz w:val="16"/>
          <w:szCs w:val="16"/>
          <w:color w:val="auto"/>
        </w:rPr>
        <w:t xml:space="preserve"> T</w:t>
      </w:r>
      <w:r>
        <w:rPr>
          <w:rFonts w:ascii="Arial" w:cs="Arial" w:eastAsia="Arial" w:hAnsi="Arial"/>
          <w:sz w:val="10"/>
          <w:szCs w:val="10"/>
          <w:color w:val="auto"/>
        </w:rPr>
        <w:t>RUST</w:t>
      </w:r>
      <w:r>
        <w:rPr>
          <w:rFonts w:ascii="Arial" w:cs="Arial" w:eastAsia="Arial" w:hAnsi="Arial"/>
          <w:sz w:val="16"/>
          <w:szCs w:val="16"/>
          <w:color w:val="auto"/>
        </w:rPr>
        <w:t xml:space="preserve"> C</w:t>
      </w:r>
      <w:r>
        <w:rPr>
          <w:rFonts w:ascii="Arial" w:cs="Arial" w:eastAsia="Arial" w:hAnsi="Arial"/>
          <w:sz w:val="10"/>
          <w:szCs w:val="10"/>
          <w:color w:val="auto"/>
        </w:rPr>
        <w:t>OMPANY</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Morgan A. Lyons</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Morgan A. Lyons</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0" w:name="page31"/>
    <w:bookmarkEnd w:id="30"/>
    <w:p>
      <w:pPr>
        <w:ind w:left="5900"/>
        <w:spacing w:after="0"/>
        <w:rPr>
          <w:sz w:val="20"/>
          <w:szCs w:val="20"/>
          <w:color w:val="auto"/>
        </w:rPr>
      </w:pPr>
      <w:r>
        <w:rPr>
          <w:rFonts w:ascii="Arial" w:cs="Arial" w:eastAsia="Arial" w:hAnsi="Arial"/>
          <w:sz w:val="17"/>
          <w:szCs w:val="17"/>
          <w:color w:val="auto"/>
        </w:rPr>
        <w:t>U</w:t>
      </w:r>
      <w:r>
        <w:rPr>
          <w:rFonts w:ascii="Arial" w:cs="Arial" w:eastAsia="Arial" w:hAnsi="Arial"/>
          <w:sz w:val="11"/>
          <w:szCs w:val="11"/>
          <w:color w:val="auto"/>
        </w:rPr>
        <w:t>NION</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N.A.</w:t>
      </w:r>
    </w:p>
    <w:p>
      <w:pPr>
        <w:spacing w:after="0" w:line="240"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Katie Cunningham</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Katie Cunningham</w:t>
      </w:r>
    </w:p>
    <w:p>
      <w:pPr>
        <w:spacing w:after="0" w:line="10" w:lineRule="exact"/>
        <w:rPr>
          <w:sz w:val="20"/>
          <w:szCs w:val="20"/>
          <w:color w:val="auto"/>
        </w:rPr>
      </w:pPr>
    </w:p>
    <w:p>
      <w:pPr>
        <w:jc w:val="right"/>
        <w:ind w:right="109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1" w:name="page32"/>
    <w:bookmarkEnd w:id="31"/>
    <w:p>
      <w:pPr>
        <w:ind w:left="5840"/>
        <w:spacing w:after="0"/>
        <w:rPr>
          <w:sz w:val="20"/>
          <w:szCs w:val="20"/>
          <w:color w:val="auto"/>
        </w:rPr>
      </w:pPr>
      <w:r>
        <w:rPr>
          <w:rFonts w:ascii="Arial" w:cs="Arial" w:eastAsia="Arial" w:hAnsi="Arial"/>
          <w:sz w:val="17"/>
          <w:szCs w:val="17"/>
          <w:color w:val="auto"/>
        </w:rPr>
        <w:t>PNC B</w:t>
      </w:r>
      <w:r>
        <w:rPr>
          <w:rFonts w:ascii="Arial" w:cs="Arial" w:eastAsia="Arial" w:hAnsi="Arial"/>
          <w:sz w:val="11"/>
          <w:szCs w:val="11"/>
          <w:color w:val="auto"/>
        </w:rPr>
        <w:t>ANK</w:t>
      </w:r>
      <w:r>
        <w:rPr>
          <w:rFonts w:ascii="Arial" w:cs="Arial" w:eastAsia="Arial" w:hAnsi="Arial"/>
          <w:sz w:val="17"/>
          <w:szCs w:val="17"/>
          <w:color w:val="auto"/>
        </w:rPr>
        <w:t xml:space="preserve"> N</w:t>
      </w:r>
      <w:r>
        <w:rPr>
          <w:rFonts w:ascii="Arial" w:cs="Arial" w:eastAsia="Arial" w:hAnsi="Arial"/>
          <w:sz w:val="11"/>
          <w:szCs w:val="11"/>
          <w:color w:val="auto"/>
        </w:rPr>
        <w:t>ATIONAL</w:t>
      </w:r>
      <w:r>
        <w:rPr>
          <w:rFonts w:ascii="Arial" w:cs="Arial" w:eastAsia="Arial" w:hAnsi="Arial"/>
          <w:sz w:val="17"/>
          <w:szCs w:val="17"/>
          <w:color w:val="auto"/>
        </w:rPr>
        <w:t xml:space="preserve"> A</w:t>
      </w:r>
      <w:r>
        <w:rPr>
          <w:rFonts w:ascii="Arial" w:cs="Arial" w:eastAsia="Arial" w:hAnsi="Arial"/>
          <w:sz w:val="11"/>
          <w:szCs w:val="11"/>
          <w:color w:val="auto"/>
        </w:rPr>
        <w:t>SSOCIATION</w:t>
      </w: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Thomas E. Redmond</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Thomas E. Redmond</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2" w:name="page33"/>
    <w:bookmarkEnd w:id="32"/>
    <w:p>
      <w:pPr>
        <w:ind w:left="5860"/>
        <w:spacing w:after="0"/>
        <w:rPr>
          <w:sz w:val="20"/>
          <w:szCs w:val="20"/>
          <w:color w:val="auto"/>
        </w:rPr>
      </w:pPr>
      <w:r>
        <w:rPr>
          <w:rFonts w:ascii="Arial" w:cs="Arial" w:eastAsia="Arial" w:hAnsi="Arial"/>
          <w:sz w:val="17"/>
          <w:szCs w:val="17"/>
          <w:color w:val="auto"/>
        </w:rPr>
        <w:t>R</w:t>
      </w:r>
      <w:r>
        <w:rPr>
          <w:rFonts w:ascii="Arial" w:cs="Arial" w:eastAsia="Arial" w:hAnsi="Arial"/>
          <w:sz w:val="11"/>
          <w:szCs w:val="11"/>
          <w:color w:val="auto"/>
        </w:rPr>
        <w:t>AYMOND</w:t>
      </w:r>
      <w:r>
        <w:rPr>
          <w:rFonts w:ascii="Arial" w:cs="Arial" w:eastAsia="Arial" w:hAnsi="Arial"/>
          <w:sz w:val="17"/>
          <w:szCs w:val="17"/>
          <w:color w:val="auto"/>
        </w:rPr>
        <w:t xml:space="preserve"> J</w:t>
      </w:r>
      <w:r>
        <w:rPr>
          <w:rFonts w:ascii="Arial" w:cs="Arial" w:eastAsia="Arial" w:hAnsi="Arial"/>
          <w:sz w:val="11"/>
          <w:szCs w:val="11"/>
          <w:color w:val="auto"/>
        </w:rPr>
        <w:t>AMES</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xml:space="preserve"> FSB</w:t>
      </w:r>
    </w:p>
    <w:p>
      <w:pPr>
        <w:spacing w:after="0" w:line="240"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Scott G. Axelrod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Scott G. Axelrod</w:t>
      </w:r>
    </w:p>
    <w:p>
      <w:pPr>
        <w:spacing w:after="0" w:line="1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[First Amendment to Alliance Data Systems Corporation Credit Agreement]</w:t>
      </w:r>
    </w:p>
    <w:p>
      <w:pPr>
        <w:spacing w:after="0" w:line="16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3" w:name="page34"/>
    <w:bookmarkEnd w:id="33"/>
    <w:p>
      <w:pPr>
        <w:ind w:left="5780"/>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ANUFACTURERS</w:t>
      </w:r>
      <w:r>
        <w:rPr>
          <w:rFonts w:ascii="Arial" w:cs="Arial" w:eastAsia="Arial" w:hAnsi="Arial"/>
          <w:sz w:val="17"/>
          <w:szCs w:val="17"/>
          <w:color w:val="auto"/>
        </w:rPr>
        <w:t xml:space="preserve"> B</w:t>
      </w:r>
      <w:r>
        <w:rPr>
          <w:rFonts w:ascii="Arial" w:cs="Arial" w:eastAsia="Arial" w:hAnsi="Arial"/>
          <w:sz w:val="11"/>
          <w:szCs w:val="11"/>
          <w:color w:val="auto"/>
        </w:rPr>
        <w:t>ANK</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Sean Walker</w:t>
      </w:r>
    </w:p>
    <w:p>
      <w:pPr>
        <w:spacing w:after="0" w:line="21" w:lineRule="exact"/>
        <w:rPr>
          <w:sz w:val="20"/>
          <w:szCs w:val="20"/>
          <w:color w:val="auto"/>
        </w:rPr>
      </w:pPr>
    </w:p>
    <w:p>
      <w:pPr>
        <w:jc w:val="right"/>
        <w:ind w:right="1779"/>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Sean Walker</w:t>
      </w:r>
    </w:p>
    <w:p>
      <w:pPr>
        <w:spacing w:after="0" w:line="10" w:lineRule="exact"/>
        <w:rPr>
          <w:sz w:val="20"/>
          <w:szCs w:val="20"/>
          <w:color w:val="auto"/>
        </w:rPr>
      </w:pPr>
    </w:p>
    <w:p>
      <w:pPr>
        <w:jc w:val="right"/>
        <w:ind w:right="17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Vice President</w:t>
      </w:r>
    </w:p>
    <w:p>
      <w:pPr>
        <w:spacing w:after="0" w:line="200" w:lineRule="exact"/>
        <w:rPr>
          <w:sz w:val="20"/>
          <w:szCs w:val="20"/>
          <w:color w:val="auto"/>
        </w:rPr>
      </w:pPr>
    </w:p>
    <w:p>
      <w:pPr>
        <w:spacing w:after="0" w:line="260" w:lineRule="exact"/>
        <w:rPr>
          <w:sz w:val="20"/>
          <w:szCs w:val="20"/>
          <w:color w:val="auto"/>
        </w:rPr>
      </w:pPr>
    </w:p>
    <w:p>
      <w:pPr>
        <w:ind w:left="2240"/>
        <w:spacing w:after="0"/>
        <w:rPr>
          <w:sz w:val="20"/>
          <w:szCs w:val="20"/>
          <w:color w:val="auto"/>
        </w:rPr>
      </w:pPr>
      <w:r>
        <w:rPr>
          <w:rFonts w:ascii="Arial" w:cs="Arial" w:eastAsia="Arial" w:hAnsi="Arial"/>
          <w:sz w:val="15"/>
          <w:szCs w:val="15"/>
          <w:color w:val="auto"/>
        </w:rPr>
        <w:t>[First Amendment to Alliance Data Systems Corporation Credit Agreement]</w:t>
      </w:r>
    </w:p>
    <w:p>
      <w:pPr>
        <w:spacing w:after="0" w:line="174"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4" w:name="page35"/>
    <w:bookmarkEnd w:id="34"/>
    <w:p>
      <w:pPr>
        <w:ind w:left="5880"/>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ODERN</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N.A.</w:t>
      </w:r>
    </w:p>
    <w:p>
      <w:pPr>
        <w:spacing w:after="0" w:line="24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Vera C. McVey</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Vera C. McVey</w:t>
      </w:r>
    </w:p>
    <w:p>
      <w:pPr>
        <w:spacing w:after="0" w:line="10" w:lineRule="exact"/>
        <w:rPr>
          <w:sz w:val="20"/>
          <w:szCs w:val="20"/>
          <w:color w:val="auto"/>
        </w:rPr>
      </w:pPr>
    </w:p>
    <w:p>
      <w:pPr>
        <w:jc w:val="right"/>
        <w:ind w:right="10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Chief Credit Officer and</w:t>
      </w:r>
    </w:p>
    <w:p>
      <w:pPr>
        <w:spacing w:after="0" w:line="10" w:lineRule="exact"/>
        <w:rPr>
          <w:sz w:val="20"/>
          <w:szCs w:val="20"/>
          <w:color w:val="auto"/>
        </w:rPr>
      </w:pPr>
    </w:p>
    <w:p>
      <w:pPr>
        <w:ind w:left="6240"/>
        <w:spacing w:after="0"/>
        <w:rPr>
          <w:sz w:val="20"/>
          <w:szCs w:val="20"/>
          <w:color w:val="auto"/>
        </w:rPr>
      </w:pPr>
      <w:r>
        <w:rPr>
          <w:rFonts w:ascii="Arial" w:cs="Arial" w:eastAsia="Arial" w:hAnsi="Arial"/>
          <w:sz w:val="17"/>
          <w:szCs w:val="17"/>
          <w:u w:val="single" w:color="auto"/>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[First Amendment to Alliance Data Systems Corporation Credit Agreement]</w:t>
      </w:r>
    </w:p>
    <w:p>
      <w:pPr>
        <w:spacing w:after="0" w:line="151"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79375</wp:posOffset>
            </wp:positionV>
            <wp:extent cx="7253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35" w:name="page36"/>
    <w:bookmarkEnd w:id="35"/>
    <w:p>
      <w:pPr>
        <w:ind w:left="5840"/>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ACQUARIE</w:t>
      </w:r>
      <w:r>
        <w:rPr>
          <w:rFonts w:ascii="Arial" w:cs="Arial" w:eastAsia="Arial" w:hAnsi="Arial"/>
          <w:sz w:val="17"/>
          <w:szCs w:val="17"/>
          <w:color w:val="auto"/>
        </w:rPr>
        <w:t xml:space="preserve"> B</w:t>
      </w:r>
      <w:r>
        <w:rPr>
          <w:rFonts w:ascii="Arial" w:cs="Arial" w:eastAsia="Arial" w:hAnsi="Arial"/>
          <w:sz w:val="11"/>
          <w:szCs w:val="11"/>
          <w:color w:val="auto"/>
        </w:rPr>
        <w:t>ANK</w:t>
      </w:r>
      <w:r>
        <w:rPr>
          <w:rFonts w:ascii="Arial" w:cs="Arial" w:eastAsia="Arial" w:hAnsi="Arial"/>
          <w:sz w:val="17"/>
          <w:szCs w:val="17"/>
          <w:color w:val="auto"/>
        </w:rPr>
        <w:t xml:space="preserve"> L</w:t>
      </w:r>
      <w:r>
        <w:rPr>
          <w:rFonts w:ascii="Arial" w:cs="Arial" w:eastAsia="Arial" w:hAnsi="Arial"/>
          <w:sz w:val="11"/>
          <w:szCs w:val="11"/>
          <w:color w:val="auto"/>
        </w:rPr>
        <w:t>IMITED</w:t>
      </w:r>
    </w:p>
    <w:p>
      <w:pPr>
        <w:spacing w:after="0" w:line="24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Mark Wong</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 xml:space="preserve">Name </w:t>
      </w:r>
      <w:r>
        <w:rPr>
          <w:rFonts w:ascii="Arial" w:cs="Arial" w:eastAsia="Arial" w:hAnsi="Arial"/>
          <w:sz w:val="17"/>
          <w:szCs w:val="17"/>
          <w:u w:val="single" w:color="auto"/>
          <w:color w:val="auto"/>
        </w:rPr>
        <w:t>Mark Wong</w:t>
      </w:r>
    </w:p>
    <w:p>
      <w:pPr>
        <w:spacing w:after="0" w:line="10" w:lineRule="exact"/>
        <w:rPr>
          <w:sz w:val="20"/>
          <w:szCs w:val="20"/>
          <w:color w:val="auto"/>
        </w:rPr>
      </w:pPr>
    </w:p>
    <w:p>
      <w:pPr>
        <w:jc w:val="right"/>
        <w:ind w:right="1459"/>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u w:val="single" w:color="auto"/>
          <w:color w:val="auto"/>
        </w:rPr>
        <w:t>Executive Director</w:t>
      </w:r>
    </w:p>
    <w:p>
      <w:pPr>
        <w:spacing w:after="0" w:line="200" w:lineRule="exact"/>
        <w:rPr>
          <w:sz w:val="20"/>
          <w:szCs w:val="20"/>
          <w:color w:val="auto"/>
        </w:rPr>
      </w:pPr>
    </w:p>
    <w:p>
      <w:pPr>
        <w:spacing w:after="0" w:line="260" w:lineRule="exact"/>
        <w:rPr>
          <w:sz w:val="20"/>
          <w:szCs w:val="20"/>
          <w:color w:val="auto"/>
        </w:rPr>
      </w:pPr>
    </w:p>
    <w:p>
      <w:pPr>
        <w:jc w:val="center"/>
        <w:ind w:right="-700"/>
        <w:spacing w:after="0"/>
        <w:rPr>
          <w:sz w:val="20"/>
          <w:szCs w:val="20"/>
          <w:color w:val="auto"/>
        </w:rPr>
      </w:pPr>
      <w:r>
        <w:rPr>
          <w:rFonts w:ascii="Arial" w:cs="Arial" w:eastAsia="Arial" w:hAnsi="Arial"/>
          <w:sz w:val="15"/>
          <w:szCs w:val="15"/>
          <w:color w:val="auto"/>
        </w:rPr>
        <w:t>[First Amendment to Alliance Data Systems Corporation Credit Agreement]</w:t>
      </w:r>
    </w:p>
    <w:p>
      <w:pPr>
        <w:spacing w:after="0" w:line="42" w:lineRule="exact"/>
        <w:rPr>
          <w:sz w:val="20"/>
          <w:szCs w:val="20"/>
          <w:color w:val="auto"/>
        </w:rPr>
      </w:pPr>
    </w:p>
    <w:p>
      <w:pPr>
        <w:ind w:left="4660"/>
        <w:spacing w:after="0"/>
        <w:rPr>
          <w:sz w:val="20"/>
          <w:szCs w:val="20"/>
          <w:color w:val="auto"/>
        </w:rPr>
      </w:pPr>
      <w:r>
        <w:rPr>
          <w:rFonts w:ascii="Arial" w:cs="Arial" w:eastAsia="Arial" w:hAnsi="Arial"/>
          <w:sz w:val="21"/>
          <w:szCs w:val="21"/>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443230</wp:posOffset>
            </wp:positionV>
            <wp:extent cx="7270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115" cy="8255"/>
                    </a:xfrm>
                    <a:prstGeom prst="rect">
                      <a:avLst/>
                    </a:prstGeom>
                    <a:noFill/>
                  </pic:spPr>
                </pic:pic>
              </a:graphicData>
            </a:graphic>
          </wp:anchor>
        </w:drawing>
      </w:r>
    </w:p>
    <w:sectPr>
      <w:pgSz w:w="11900" w:h="16838" w:orient="portrait"/>
      <w:cols w:equalWidth="0" w:num="1">
        <w:col w:w="9019"/>
      </w:cols>
      <w:pgMar w:left="1440" w:top="7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2019-12-10T19:34:01Z</dcterms:created>
  <dcterms:modified xsi:type="dcterms:W3CDTF">2019-12-10T19:34:01Z</dcterms:modified>
</cp:coreProperties>
</file>