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10-D</w:t>
      </w:r>
    </w:p>
    <w:p>
      <w:pPr>
        <w:spacing w:after="0" w:line="3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ASSET-BACKED ISSUER</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DISTRIBUTION REPORT PURSUANT TO SECTION 13 OR 15(D) OF</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monthly distribution period from November 1, 2025 to November 30, 2025</w:t>
      </w:r>
    </w:p>
    <w:p>
      <w:pPr>
        <w:spacing w:after="0" w:line="1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issuing entity: 333-113669</w:t>
      </w:r>
    </w:p>
    <w:p>
      <w:pPr>
        <w:jc w:val="center"/>
        <w:spacing w:after="0"/>
        <w:rPr>
          <w:sz w:val="20"/>
          <w:szCs w:val="20"/>
          <w:color w:val="auto"/>
        </w:rPr>
      </w:pPr>
      <w:r>
        <w:rPr>
          <w:rFonts w:ascii="Times New Roman" w:cs="Times New Roman" w:eastAsia="Times New Roman" w:hAnsi="Times New Roman"/>
          <w:sz w:val="18"/>
          <w:szCs w:val="18"/>
          <w:color w:val="auto"/>
        </w:rPr>
        <w:t>Central Index Key Number of issuing entity: 0001282663</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World Financial Network Credit Card Master Note Trust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issuing entity as specified in its charter)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depositor: 333-60418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depositor: 0001139552</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WFN Credit Company, LLC</w:t>
      </w:r>
    </w:p>
    <w:p>
      <w:pPr>
        <w:jc w:val="center"/>
        <w:spacing w:after="0"/>
        <w:rPr>
          <w:sz w:val="20"/>
          <w:szCs w:val="20"/>
          <w:color w:val="auto"/>
        </w:rPr>
      </w:pPr>
      <w:r>
        <w:rPr>
          <w:rFonts w:ascii="Times New Roman" w:cs="Times New Roman" w:eastAsia="Times New Roman" w:hAnsi="Times New Roman"/>
          <w:sz w:val="14"/>
          <w:szCs w:val="14"/>
          <w:color w:val="auto"/>
        </w:rPr>
        <w:t>(Exact name of depositor as specified in its charter)</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sponsor (if applicable): 0001007254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Comenity Bank</w:t>
      </w:r>
    </w:p>
    <w:p>
      <w:pPr>
        <w:jc w:val="center"/>
        <w:spacing w:after="0"/>
        <w:rPr>
          <w:sz w:val="20"/>
          <w:szCs w:val="20"/>
          <w:color w:val="auto"/>
        </w:rPr>
      </w:pPr>
      <w:r>
        <w:rPr>
          <w:rFonts w:ascii="Times New Roman" w:cs="Times New Roman" w:eastAsia="Times New Roman" w:hAnsi="Times New Roman"/>
          <w:sz w:val="14"/>
          <w:szCs w:val="14"/>
          <w:color w:val="auto"/>
        </w:rPr>
        <w:t>(Exact name of sponsor as specified in its charter)</w:t>
      </w:r>
    </w:p>
    <w:p>
      <w:pPr>
        <w:spacing w:after="0" w:line="24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Benjamin L. Morgan (214) 494-3000</w:t>
      </w:r>
    </w:p>
    <w:p>
      <w:pPr>
        <w:jc w:val="center"/>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filing)</w:t>
      </w:r>
    </w:p>
    <w:p>
      <w:pPr>
        <w:spacing w:after="0" w:line="269" w:lineRule="exact"/>
        <w:rPr>
          <w:sz w:val="24"/>
          <w:szCs w:val="24"/>
          <w:color w:val="auto"/>
        </w:rPr>
      </w:pPr>
    </w:p>
    <w:tbl>
      <w:tblPr>
        <w:tblLayout w:type="fixed"/>
        <w:tblInd w:w="60" w:type="dxa"/>
        <w:tblCellMar>
          <w:top w:w="0" w:type="dxa"/>
          <w:left w:w="0" w:type="dxa"/>
          <w:bottom w:w="0" w:type="dxa"/>
          <w:right w:w="0" w:type="dxa"/>
        </w:tblCellMar>
      </w:tblPr>
      <w:tr>
        <w:trPr>
          <w:trHeight w:val="229"/>
        </w:trPr>
        <w:tc>
          <w:tcPr>
            <w:tcW w:w="2420" w:type="dxa"/>
            <w:vAlign w:val="bottom"/>
          </w:tcPr>
          <w:p>
            <w:pPr>
              <w:spacing w:after="0"/>
              <w:rPr>
                <w:sz w:val="19"/>
                <w:szCs w:val="19"/>
                <w:color w:val="auto"/>
              </w:rPr>
            </w:pPr>
          </w:p>
        </w:tc>
        <w:tc>
          <w:tcPr>
            <w:tcW w:w="2960" w:type="dxa"/>
            <w:vAlign w:val="bottom"/>
          </w:tcPr>
          <w:p>
            <w:pPr>
              <w:jc w:val="center"/>
              <w:ind w:right="113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80" w:type="dxa"/>
            <w:vAlign w:val="bottom"/>
          </w:tcPr>
          <w:p>
            <w:pPr>
              <w:spacing w:after="0"/>
              <w:rPr>
                <w:sz w:val="19"/>
                <w:szCs w:val="19"/>
                <w:color w:val="auto"/>
              </w:rPr>
            </w:pPr>
          </w:p>
        </w:tc>
        <w:tc>
          <w:tcPr>
            <w:tcW w:w="1920" w:type="dxa"/>
            <w:vAlign w:val="bottom"/>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31-1772814</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560" w:type="dxa"/>
            <w:vAlign w:val="bottom"/>
            <w:gridSpan w:val="3"/>
          </w:tcPr>
          <w:p>
            <w:pPr>
              <w:jc w:val="center"/>
              <w:ind w:right="896"/>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 of the issuing entity)</w:t>
            </w:r>
          </w:p>
        </w:tc>
        <w:tc>
          <w:tcPr>
            <w:tcW w:w="3200" w:type="dxa"/>
            <w:vAlign w:val="bottom"/>
            <w:gridSpan w:val="2"/>
          </w:tcPr>
          <w:p>
            <w:pPr>
              <w:jc w:val="center"/>
              <w:ind w:right="4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66"/>
        </w:trPr>
        <w:tc>
          <w:tcPr>
            <w:tcW w:w="5380" w:type="dxa"/>
            <w:vAlign w:val="bottom"/>
            <w:gridSpan w:val="2"/>
          </w:tcPr>
          <w:p>
            <w:pPr>
              <w:jc w:val="center"/>
              <w:ind w:left="1125"/>
              <w:spacing w:after="0"/>
              <w:rPr>
                <w:sz w:val="20"/>
                <w:szCs w:val="20"/>
                <w:color w:val="auto"/>
              </w:rPr>
            </w:pPr>
            <w:r>
              <w:rPr>
                <w:rFonts w:ascii="Times New Roman" w:cs="Times New Roman" w:eastAsia="Times New Roman" w:hAnsi="Times New Roman"/>
                <w:sz w:val="18"/>
                <w:szCs w:val="18"/>
                <w:b w:val="1"/>
                <w:bCs w:val="1"/>
                <w:color w:val="auto"/>
                <w:w w:val="98"/>
              </w:rPr>
              <w:t>One Righter Parkway, Suite 100</w:t>
            </w:r>
          </w:p>
        </w:tc>
        <w:tc>
          <w:tcPr>
            <w:tcW w:w="2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2960" w:type="dxa"/>
            <w:vAlign w:val="bottom"/>
          </w:tcPr>
          <w:p>
            <w:pPr>
              <w:jc w:val="center"/>
              <w:ind w:right="1135"/>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2180" w:type="dxa"/>
            <w:vAlign w:val="bottom"/>
          </w:tcPr>
          <w:p>
            <w:pPr>
              <w:spacing w:after="0"/>
              <w:rPr>
                <w:sz w:val="22"/>
                <w:szCs w:val="22"/>
                <w:color w:val="auto"/>
              </w:rPr>
            </w:pPr>
          </w:p>
        </w:tc>
        <w:tc>
          <w:tcPr>
            <w:tcW w:w="1920" w:type="dxa"/>
            <w:vAlign w:val="bottom"/>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19803</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380" w:type="dxa"/>
            <w:vAlign w:val="bottom"/>
            <w:gridSpan w:val="2"/>
          </w:tcPr>
          <w:p>
            <w:pPr>
              <w:jc w:val="center"/>
              <w:ind w:left="1125"/>
              <w:spacing w:after="0"/>
              <w:rPr>
                <w:sz w:val="20"/>
                <w:szCs w:val="20"/>
                <w:color w:val="auto"/>
              </w:rPr>
            </w:pPr>
            <w:r>
              <w:rPr>
                <w:rFonts w:ascii="Times New Roman" w:cs="Times New Roman" w:eastAsia="Times New Roman" w:hAnsi="Times New Roman"/>
                <w:sz w:val="14"/>
                <w:szCs w:val="14"/>
                <w:color w:val="auto"/>
              </w:rPr>
              <w:t>(Address of principal executive offices of issuing entity)</w:t>
            </w:r>
          </w:p>
        </w:tc>
        <w:tc>
          <w:tcPr>
            <w:tcW w:w="2180" w:type="dxa"/>
            <w:vAlign w:val="bottom"/>
          </w:tcPr>
          <w:p>
            <w:pPr>
              <w:spacing w:after="0"/>
              <w:rPr>
                <w:sz w:val="16"/>
                <w:szCs w:val="16"/>
                <w:color w:val="auto"/>
              </w:rPr>
            </w:pPr>
          </w:p>
        </w:tc>
        <w:tc>
          <w:tcPr>
            <w:tcW w:w="1920" w:type="dxa"/>
            <w:vAlign w:val="bottom"/>
          </w:tcPr>
          <w:p>
            <w:pPr>
              <w:jc w:val="center"/>
              <w:ind w:left="637"/>
              <w:spacing w:after="0"/>
              <w:rPr>
                <w:sz w:val="20"/>
                <w:szCs w:val="20"/>
                <w:color w:val="auto"/>
              </w:rPr>
            </w:pPr>
            <w:r>
              <w:rPr>
                <w:rFonts w:ascii="Times New Roman" w:cs="Times New Roman" w:eastAsia="Times New Roman" w:hAnsi="Times New Roman"/>
                <w:sz w:val="14"/>
                <w:szCs w:val="14"/>
                <w:color w:val="auto"/>
              </w:rPr>
              <w:t>(Zip Code)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2420" w:type="dxa"/>
            <w:vAlign w:val="bottom"/>
          </w:tcPr>
          <w:p>
            <w:pPr>
              <w:spacing w:after="0"/>
              <w:rPr>
                <w:sz w:val="24"/>
                <w:szCs w:val="24"/>
                <w:color w:val="auto"/>
              </w:rPr>
            </w:pPr>
          </w:p>
        </w:tc>
        <w:tc>
          <w:tcPr>
            <w:tcW w:w="5140" w:type="dxa"/>
            <w:vAlign w:val="bottom"/>
            <w:gridSpan w:val="2"/>
          </w:tcPr>
          <w:p>
            <w:pPr>
              <w:jc w:val="right"/>
              <w:ind w:right="1376"/>
              <w:spacing w:after="0"/>
              <w:rPr>
                <w:sz w:val="20"/>
                <w:szCs w:val="20"/>
                <w:color w:val="auto"/>
              </w:rPr>
            </w:pPr>
            <w:r>
              <w:rPr>
                <w:rFonts w:ascii="Times New Roman" w:cs="Times New Roman" w:eastAsia="Times New Roman" w:hAnsi="Times New Roman"/>
                <w:sz w:val="18"/>
                <w:szCs w:val="18"/>
                <w:b w:val="1"/>
                <w:bCs w:val="1"/>
                <w:color w:val="auto"/>
              </w:rPr>
              <w:t>(302) 529-6140</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5140" w:type="dxa"/>
            <w:vAlign w:val="bottom"/>
            <w:gridSpan w:val="2"/>
          </w:tcPr>
          <w:p>
            <w:pPr>
              <w:jc w:val="center"/>
              <w:ind w:left="1015"/>
              <w:spacing w:after="0"/>
              <w:rPr>
                <w:sz w:val="20"/>
                <w:szCs w:val="20"/>
                <w:color w:val="auto"/>
              </w:rPr>
            </w:pPr>
            <w:r>
              <w:rPr>
                <w:rFonts w:ascii="Times New Roman" w:cs="Times New Roman" w:eastAsia="Times New Roman" w:hAnsi="Times New Roman"/>
                <w:sz w:val="14"/>
                <w:szCs w:val="14"/>
                <w:color w:val="auto"/>
              </w:rPr>
              <w:t>(Telephone number, including area code)</w:t>
            </w:r>
          </w:p>
        </w:tc>
        <w:tc>
          <w:tcPr>
            <w:tcW w:w="1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80" w:type="dxa"/>
            <w:vAlign w:val="bottom"/>
          </w:tcPr>
          <w:p>
            <w:pPr>
              <w:jc w:val="center"/>
              <w:ind w:right="1776"/>
              <w:spacing w:after="0"/>
              <w:rPr>
                <w:sz w:val="20"/>
                <w:szCs w:val="20"/>
                <w:color w:val="auto"/>
              </w:rPr>
            </w:pPr>
            <w:r>
              <w:rPr>
                <w:rFonts w:ascii="Times New Roman" w:cs="Times New Roman" w:eastAsia="Times New Roman" w:hAnsi="Times New Roman"/>
                <w:sz w:val="18"/>
                <w:szCs w:val="18"/>
                <w:b w:val="1"/>
                <w:bCs w:val="1"/>
                <w:color w:val="auto"/>
              </w:rPr>
              <w:t>N/A</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5140" w:type="dxa"/>
            <w:vAlign w:val="bottom"/>
            <w:gridSpan w:val="2"/>
          </w:tcPr>
          <w:p>
            <w:pPr>
              <w:jc w:val="center"/>
              <w:ind w:left="1015"/>
              <w:spacing w:after="0"/>
              <w:rPr>
                <w:sz w:val="20"/>
                <w:szCs w:val="20"/>
                <w:color w:val="auto"/>
              </w:rPr>
            </w:pPr>
            <w:r>
              <w:rPr>
                <w:rFonts w:ascii="Times New Roman" w:cs="Times New Roman" w:eastAsia="Times New Roman" w:hAnsi="Times New Roman"/>
                <w:sz w:val="14"/>
                <w:szCs w:val="14"/>
                <w:color w:val="auto"/>
              </w:rPr>
              <w:t>(Former Name, former address, if changed since last report)</w:t>
            </w: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514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8"/>
        </w:trPr>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Registered/reporting pursuant to (check one)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960" w:type="dxa"/>
            <w:vAlign w:val="bottom"/>
          </w:tcPr>
          <w:p>
            <w:pPr>
              <w:jc w:val="center"/>
              <w:ind w:left="2015"/>
              <w:spacing w:after="0"/>
              <w:rPr>
                <w:sz w:val="20"/>
                <w:szCs w:val="20"/>
                <w:color w:val="auto"/>
              </w:rPr>
            </w:pPr>
            <w:r>
              <w:rPr>
                <w:rFonts w:ascii="Times New Roman" w:cs="Times New Roman" w:eastAsia="Times New Roman" w:hAnsi="Times New Roman"/>
                <w:sz w:val="14"/>
                <w:szCs w:val="14"/>
                <w:b w:val="1"/>
                <w:bCs w:val="1"/>
                <w:color w:val="auto"/>
              </w:rPr>
              <w:t>Section 12(b)</w:t>
            </w:r>
          </w:p>
        </w:tc>
        <w:tc>
          <w:tcPr>
            <w:tcW w:w="21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Section 12(g)</w:t>
            </w:r>
          </w:p>
        </w:tc>
        <w:tc>
          <w:tcPr>
            <w:tcW w:w="1920" w:type="dxa"/>
            <w:vAlign w:val="bottom"/>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Section 15(d)</w:t>
            </w: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90"/>
        </w:trPr>
        <w:tc>
          <w:tcPr>
            <w:tcW w:w="2420" w:type="dxa"/>
            <w:vAlign w:val="bottom"/>
            <w:vMerge w:val="continue"/>
          </w:tcPr>
          <w:p>
            <w:pPr>
              <w:spacing w:after="0"/>
              <w:rPr>
                <w:sz w:val="16"/>
                <w:szCs w:val="16"/>
                <w:color w:val="auto"/>
              </w:rPr>
            </w:pPr>
          </w:p>
        </w:tc>
        <w:tc>
          <w:tcPr>
            <w:tcW w:w="29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(If Section 12(b)</w:t>
            </w:r>
          </w:p>
        </w:tc>
        <w:tc>
          <w:tcPr>
            <w:tcW w:w="0" w:type="dxa"/>
            <w:vAlign w:val="bottom"/>
          </w:tcPr>
          <w:p>
            <w:pPr>
              <w:spacing w:after="0"/>
              <w:rPr>
                <w:sz w:val="1"/>
                <w:szCs w:val="1"/>
                <w:color w:val="auto"/>
              </w:rPr>
            </w:pPr>
          </w:p>
        </w:tc>
      </w:tr>
      <w:tr>
        <w:trPr>
          <w:trHeight w:val="410"/>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2023-A, Class A, Class M, Class B</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2024-A, Class A, Class M, Class B</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2024-B, Class A</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8" w:lineRule="exact"/>
        <w:rPr>
          <w:sz w:val="24"/>
          <w:szCs w:val="24"/>
          <w:color w:val="auto"/>
        </w:rPr>
      </w:pPr>
    </w:p>
    <w:p>
      <w:pPr>
        <w:ind w:firstLine="217"/>
        <w:spacing w:after="0" w:line="22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w:t>
      </w:r>
    </w:p>
    <w:p>
      <w:pPr>
        <w:sectPr>
          <w:pgSz w:w="11900" w:h="16838" w:orient="portrait"/>
          <w:cols w:equalWidth="0" w:num="1">
            <w:col w:w="11220"/>
          </w:cols>
          <w:pgMar w:left="340" w:top="1060" w:right="339" w:bottom="1440" w:gutter="0" w:footer="0" w:header="0"/>
        </w:sectPr>
      </w:pPr>
    </w:p>
    <w:bookmarkStart w:id="1" w:name="page2"/>
    <w:bookmarkEnd w:id="1"/>
    <w:p>
      <w:pPr>
        <w:ind w:left="3900"/>
        <w:spacing w:after="0"/>
        <w:rPr>
          <w:sz w:val="20"/>
          <w:szCs w:val="20"/>
          <w:color w:val="auto"/>
        </w:rPr>
      </w:pPr>
      <w:r>
        <w:rPr>
          <w:rFonts w:ascii="Times New Roman" w:cs="Times New Roman" w:eastAsia="Times New Roman" w:hAnsi="Times New Roman"/>
          <w:sz w:val="18"/>
          <w:szCs w:val="18"/>
          <w:b w:val="1"/>
          <w:bCs w:val="1"/>
          <w:color w:val="auto"/>
        </w:rPr>
        <w:t>PART I – DISTRIBUTION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Distribution and Pool Performance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response to Item 1 is set forth herein and in Exhibit 99.1 and the following tables.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Composition of the Trust Portfolio</w:t>
      </w:r>
    </w:p>
    <w:p>
      <w:pPr>
        <w:spacing w:after="0" w:line="2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receivables to be conveyed to the trust have been or will be generated from transactions made by holders of credit card accounts included in the trust portfolio.</w:t>
      </w:r>
    </w:p>
    <w:p>
      <w:pPr>
        <w:spacing w:after="0" w:line="189"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For purposes of the tables below, “Number of Accounts” refers to all accounts in the trust portfolio, including any accounts that are inactive accounts and zero-balance accounts, which in some cases may be closed accounts that have not yet been removed from the originator’s computer system and from the trust portfolio. The following information regarding the trust portfolio is as of October 31, 2025. Because the future composition of the trust portfolio will change over time, these tables are not indicative of the composition of the trust portfolio at any subsequent time.</w:t>
      </w:r>
    </w:p>
    <w:p>
      <w:pPr>
        <w:jc w:val="center"/>
        <w:ind w:right="-19"/>
        <w:spacing w:after="0" w:line="237" w:lineRule="auto"/>
        <w:rPr>
          <w:sz w:val="20"/>
          <w:szCs w:val="20"/>
          <w:color w:val="auto"/>
        </w:rPr>
      </w:pPr>
      <w:r>
        <w:rPr>
          <w:rFonts w:ascii="Times New Roman" w:cs="Times New Roman" w:eastAsia="Times New Roman" w:hAnsi="Times New Roman"/>
          <w:sz w:val="18"/>
          <w:szCs w:val="18"/>
          <w:b w:val="1"/>
          <w:bCs w:val="1"/>
          <w:color w:val="auto"/>
        </w:rPr>
        <w:t>Composition by Retailer Type</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the Trust Portfolio</w:t>
      </w:r>
    </w:p>
    <w:p>
      <w:pPr>
        <w:sectPr>
          <w:pgSz w:w="11900" w:h="16838" w:orient="portrait"/>
          <w:cols w:equalWidth="0" w:num="1">
            <w:col w:w="11240"/>
          </w:cols>
          <w:pgMar w:left="320" w:top="981" w:right="339" w:bottom="1440" w:gutter="0" w:footer="0" w:header="0"/>
        </w:sectPr>
      </w:pP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Retailer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33655</wp:posOffset>
            </wp:positionV>
            <wp:extent cx="43973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Specialty Apparel</w:t>
      </w:r>
    </w:p>
    <w:p>
      <w:pPr>
        <w:spacing w:after="0" w:line="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Jewelry</w:t>
      </w:r>
    </w:p>
    <w:p>
      <w:pPr>
        <w:spacing w:after="0" w:line="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Travel &amp; Entertainment</w:t>
      </w:r>
    </w:p>
    <w:p>
      <w:pPr>
        <w:spacing w:after="0" w:line="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Proprietary Card</w:t>
      </w:r>
    </w:p>
    <w:p>
      <w:pPr>
        <w:spacing w:after="0" w:line="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Home</w:t>
      </w:r>
    </w:p>
    <w:p>
      <w:pPr>
        <w:spacing w:after="0" w:line="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Technology &amp; Electronics</w:t>
      </w:r>
    </w:p>
    <w:p>
      <w:pPr>
        <w:spacing w:after="0" w:line="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Sporting Goods</w:t>
      </w:r>
    </w:p>
    <w:p>
      <w:pPr>
        <w:spacing w:after="0" w:line="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Percentage of Total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Principal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13335</wp:posOffset>
            </wp:positionV>
            <wp:extent cx="1045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9"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4"/>
          <w:szCs w:val="14"/>
          <w:color w:val="auto"/>
        </w:rPr>
        <w:t>43.92%</w:t>
      </w:r>
    </w:p>
    <w:p>
      <w:pPr>
        <w:spacing w:after="0" w:line="55"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4"/>
          <w:szCs w:val="14"/>
          <w:color w:val="auto"/>
        </w:rPr>
        <w:t>23.83%</w:t>
      </w:r>
    </w:p>
    <w:p>
      <w:pPr>
        <w:spacing w:after="0" w:line="55"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4"/>
          <w:szCs w:val="14"/>
          <w:color w:val="auto"/>
        </w:rPr>
        <w:t>14.84%</w:t>
      </w:r>
    </w:p>
    <w:p>
      <w:pPr>
        <w:spacing w:after="0" w:line="55"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4"/>
          <w:szCs w:val="14"/>
          <w:color w:val="auto"/>
        </w:rPr>
        <w:t>7.09%</w:t>
      </w:r>
    </w:p>
    <w:p>
      <w:pPr>
        <w:spacing w:after="0" w:line="55"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4"/>
          <w:szCs w:val="14"/>
          <w:color w:val="auto"/>
        </w:rPr>
        <w:t>4.52%</w:t>
      </w:r>
    </w:p>
    <w:p>
      <w:pPr>
        <w:spacing w:after="0" w:line="55"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4"/>
          <w:szCs w:val="14"/>
          <w:color w:val="auto"/>
        </w:rPr>
        <w:t>4.84%</w:t>
      </w:r>
    </w:p>
    <w:p>
      <w:pPr>
        <w:spacing w:after="0" w:line="55"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4"/>
          <w:szCs w:val="14"/>
          <w:color w:val="auto"/>
        </w:rPr>
        <w:t>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32385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3"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33655</wp:posOffset>
            </wp:positionV>
            <wp:extent cx="1045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59055</wp:posOffset>
            </wp:positionV>
            <wp:extent cx="1045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1" w:lineRule="exact"/>
        <w:rPr>
          <w:sz w:val="20"/>
          <w:szCs w:val="20"/>
          <w:color w:val="auto"/>
        </w:rPr>
      </w:pPr>
    </w:p>
    <w:p>
      <w:pPr>
        <w:sectPr>
          <w:pgSz w:w="11900" w:h="16838" w:orient="portrait"/>
          <w:cols w:equalWidth="0" w:num="2">
            <w:col w:w="7780" w:space="720"/>
            <w:col w:w="2740"/>
          </w:cols>
          <w:pgMar w:left="320" w:top="98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3" w:lineRule="exact"/>
        <w:rPr>
          <w:sz w:val="20"/>
          <w:szCs w:val="20"/>
          <w:color w:val="auto"/>
        </w:rPr>
      </w:pPr>
    </w:p>
    <w:p>
      <w:pPr>
        <w:ind w:left="140" w:hanging="132"/>
        <w:spacing w:after="0"/>
        <w:tabs>
          <w:tab w:leader="none" w:pos="140" w:val="left"/>
        </w:tabs>
        <w:numPr>
          <w:ilvl w:val="0"/>
          <w:numId w:val="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Private Label and Co-Brand/Proprietary credit card programs comprised 56.36% and 43.64%, respectively, of the trust portfolio as of October 31, 2025.</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table immediately below sets forth the retailer groups that have credit card programs that account for more than 7.5% of principal receivables balances in the trust portfolio as of October 31, 2025. Except for the retailer groups listed below, no other retailer group’s credit card program, or group of credit card programs, accounts for more than 7.5% of the principal receivables in the trust portfolio as of October 31, 2025.</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Composition by Retailer Group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the Trust Portfolio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Accounts in Thousands)</w:t>
      </w:r>
    </w:p>
    <w:p>
      <w:pPr>
        <w:spacing w:after="0" w:line="1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149"/>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Retailer Group</w:t>
            </w:r>
            <w:r>
              <w:rPr>
                <w:rFonts w:ascii="Times New Roman" w:cs="Times New Roman" w:eastAsia="Times New Roman" w:hAnsi="Times New Roman"/>
                <w:sz w:val="18"/>
                <w:szCs w:val="18"/>
                <w:b w:val="1"/>
                <w:bCs w:val="1"/>
                <w:color w:val="auto"/>
                <w:vertAlign w:val="superscript"/>
              </w:rPr>
              <w:t>(1)</w:t>
            </w:r>
          </w:p>
        </w:tc>
        <w:tc>
          <w:tcPr>
            <w:tcW w:w="12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Total Number</w:t>
            </w:r>
          </w:p>
        </w:tc>
        <w:tc>
          <w:tcPr>
            <w:tcW w:w="16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Principal Receivables</w:t>
            </w:r>
          </w:p>
        </w:tc>
        <w:tc>
          <w:tcPr>
            <w:tcW w:w="120" w:type="dxa"/>
            <w:vAlign w:val="bottom"/>
            <w:vMerge w:val="restart"/>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203"/>
        </w:trPr>
        <w:tc>
          <w:tcPr>
            <w:tcW w:w="38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Accounts</w:t>
            </w:r>
          </w:p>
        </w:tc>
        <w:tc>
          <w:tcPr>
            <w:tcW w:w="120" w:type="dxa"/>
            <w:vAlign w:val="bottom"/>
          </w:tcPr>
          <w:p>
            <w:pPr>
              <w:spacing w:after="0"/>
              <w:rPr>
                <w:sz w:val="17"/>
                <w:szCs w:val="17"/>
                <w:color w:val="auto"/>
              </w:rPr>
            </w:pPr>
          </w:p>
        </w:tc>
        <w:tc>
          <w:tcPr>
            <w:tcW w:w="1660" w:type="dxa"/>
            <w:vAlign w:val="bottom"/>
            <w:tcBorders>
              <w:bottom w:val="single" w:sz="8" w:color="auto"/>
            </w:tcBorders>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211"/>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Signet Retailer Group</w:t>
            </w:r>
            <w:r>
              <w:rPr>
                <w:rFonts w:ascii="Times New Roman" w:cs="Times New Roman" w:eastAsia="Times New Roman" w:hAnsi="Times New Roman"/>
                <w:sz w:val="18"/>
                <w:szCs w:val="18"/>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20" w:type="dxa"/>
            <w:vAlign w:val="bottom"/>
          </w:tcPr>
          <w:p>
            <w:pPr>
              <w:spacing w:after="0"/>
              <w:rPr>
                <w:sz w:val="18"/>
                <w:szCs w:val="18"/>
                <w:color w:val="auto"/>
              </w:rPr>
            </w:pPr>
          </w:p>
        </w:tc>
        <w:tc>
          <w:tcPr>
            <w:tcW w:w="6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1,065,629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Victoria's Secret Retailer Group</w:t>
            </w:r>
            <w:r>
              <w:rPr>
                <w:rFonts w:ascii="Times New Roman" w:cs="Times New Roman" w:eastAsia="Times New Roman" w:hAnsi="Times New Roman"/>
                <w:sz w:val="18"/>
                <w:szCs w:val="18"/>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812,218</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0" w:type="dxa"/>
            <w:vAlign w:val="bottom"/>
          </w:tcPr>
          <w:p>
            <w:pPr>
              <w:spacing w:after="0"/>
              <w:rPr>
                <w:sz w:val="1"/>
                <w:szCs w:val="1"/>
                <w:color w:val="auto"/>
              </w:rPr>
            </w:pPr>
          </w:p>
        </w:tc>
      </w:tr>
      <w:tr>
        <w:trPr>
          <w:trHeight w:val="21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Sycamore Partners Retailer Group</w:t>
            </w:r>
            <w:r>
              <w:rPr>
                <w:rFonts w:ascii="Times New Roman" w:cs="Times New Roman" w:eastAsia="Times New Roman" w:hAnsi="Times New Roman"/>
                <w:sz w:val="18"/>
                <w:szCs w:val="18"/>
                <w:color w:val="auto"/>
                <w:vertAlign w:val="superscript"/>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5,087</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595,116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18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Retailer Groups less than 7.5%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19,937</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2,650,553</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51.73%</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36,789</w:t>
            </w: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5,123,516</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50" w:lineRule="exact"/>
        <w:rPr>
          <w:sz w:val="20"/>
          <w:szCs w:val="20"/>
          <w:color w:val="auto"/>
        </w:rPr>
      </w:pPr>
    </w:p>
    <w:p>
      <w:pPr>
        <w:ind w:left="140" w:hanging="132"/>
        <w:spacing w:after="0"/>
        <w:tabs>
          <w:tab w:leader="none" w:pos="140"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each individual retailer in the trust subject to the same credit card program agreement and commonly owned by the retailer group.</w:t>
      </w:r>
    </w:p>
    <w:p>
      <w:pPr>
        <w:spacing w:after="0" w:line="17"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Signet Retailer Group contains the Kay Jewelers Private Label, Jared Private Label, and Sterling Jewelers Private Label credit card programs.</w:t>
      </w:r>
    </w:p>
    <w:p>
      <w:pPr>
        <w:spacing w:after="0" w:line="1" w:lineRule="exact"/>
        <w:rPr>
          <w:rFonts w:ascii="Times New Roman" w:cs="Times New Roman" w:eastAsia="Times New Roman" w:hAnsi="Times New Roman"/>
          <w:sz w:val="9"/>
          <w:szCs w:val="9"/>
          <w:color w:val="auto"/>
        </w:rPr>
      </w:pPr>
    </w:p>
    <w:p>
      <w:pPr>
        <w:ind w:left="160" w:hanging="152"/>
        <w:spacing w:after="0" w:line="187" w:lineRule="auto"/>
        <w:tabs>
          <w:tab w:leader="none" w:pos="160" w:val="left"/>
        </w:tabs>
        <w:numPr>
          <w:ilvl w:val="0"/>
          <w:numId w:val="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Victoria’s Secret Retailer Group contains both the Victoria’s Secret Private Label and Victoria’s Secret Mastercard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Co-Brand credit card programs.</w:t>
      </w:r>
    </w:p>
    <w:p>
      <w:pPr>
        <w:ind w:right="540" w:firstLine="8"/>
        <w:spacing w:after="0" w:line="241" w:lineRule="auto"/>
        <w:tabs>
          <w:tab w:leader="none" w:pos="145" w:val="left"/>
        </w:tabs>
        <w:numPr>
          <w:ilvl w:val="0"/>
          <w:numId w:val="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Sycamore Partners Retailer Group contains the Ann Taylor Private Label, Ann Taylor Mastercard</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Co-Brand, Lane Bryant Private Label, and LOFT Mastercard</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Co-Brand credit card programs. Such independent retailers were not collectively reported as a retailer group on the Form 10-D filing for the distribution period ended November 30, 2024; for reference, the percentages of total accounts and total principal receivables for these retailers, collectively, as of October 31, 2024 were 14.91% and 13.07%, respectively.</w:t>
      </w:r>
    </w:p>
    <w:p>
      <w:pPr>
        <w:sectPr>
          <w:pgSz w:w="11900" w:h="16838" w:orient="portrait"/>
          <w:cols w:equalWidth="0" w:num="1">
            <w:col w:w="11240"/>
          </w:cols>
          <w:pgMar w:left="320" w:top="981" w:right="339" w:bottom="1440" w:gutter="0" w:footer="0" w:header="0"/>
          <w:type w:val="continuous"/>
        </w:sectPr>
      </w:pPr>
    </w:p>
    <w:bookmarkStart w:id="2" w:name="page3"/>
    <w:bookmarkEnd w:id="2"/>
    <w:p>
      <w:pPr>
        <w:spacing w:after="0" w:line="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Composition by Individual Retailer</w:t>
      </w:r>
    </w:p>
    <w:p>
      <w:pPr>
        <w:spacing w:after="0" w:line="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the Trust Portfolio</w:t>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in Thousands; Accounts in Thousands)</w:t>
      </w:r>
    </w:p>
    <w:p>
      <w:pPr>
        <w:spacing w:after="0" w:line="1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3"/>
                <w:szCs w:val="13"/>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6"/>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Retailer</w:t>
            </w:r>
          </w:p>
        </w:tc>
        <w:tc>
          <w:tcPr>
            <w:tcW w:w="14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5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of Total Number</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Total Principal</w:t>
            </w:r>
          </w:p>
        </w:tc>
        <w:tc>
          <w:tcPr>
            <w:tcW w:w="0" w:type="dxa"/>
            <w:vAlign w:val="bottom"/>
          </w:tcPr>
          <w:p>
            <w:pPr>
              <w:spacing w:after="0"/>
              <w:rPr>
                <w:sz w:val="1"/>
                <w:szCs w:val="1"/>
                <w:color w:val="auto"/>
              </w:rPr>
            </w:pPr>
          </w:p>
        </w:tc>
      </w:tr>
      <w:tr>
        <w:trPr>
          <w:trHeight w:val="198"/>
        </w:trPr>
        <w:tc>
          <w:tcPr>
            <w:tcW w:w="378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Accounts</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9"/>
              </w:rPr>
              <w:t>Receivables</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191"/>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Caesars Rewards® Visa® Co-Brand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760,354</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Kay Jewelers Private Label</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736,751</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Victoria's Secret Mastercard® Co-Brand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436,687</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Victoria's Secret Private Label</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7,576</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375,532</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Jared Private Label</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323,848</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244"/>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Bread Rewards™ American Express® Proprietary</w:t>
            </w:r>
            <w:r>
              <w:rPr>
                <w:rFonts w:ascii="Times New Roman" w:cs="Times New Roman" w:eastAsia="Times New Roman" w:hAnsi="Times New Roman"/>
                <w:sz w:val="18"/>
                <w:szCs w:val="18"/>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320,425</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8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LOFT Mastercard® Co-Brand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272,928</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PlayStation® Visa® Co-Brand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248,293</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Torrid Private Label</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187,302</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Arhaus Private Label</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155,686</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23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Retailers</w:t>
            </w:r>
            <w:r>
              <w:rPr>
                <w:rFonts w:ascii="Times New Roman" w:cs="Times New Roman" w:eastAsia="Times New Roman" w:hAnsi="Times New Roman"/>
                <w:sz w:val="18"/>
                <w:szCs w:val="18"/>
                <w:color w:val="auto"/>
                <w:vertAlign w:val="superscript"/>
              </w:rPr>
              <w:t>(2)(3)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20,664</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56.17%</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1,305,710</w:t>
            </w:r>
          </w:p>
        </w:tc>
        <w:tc>
          <w:tcPr>
            <w:tcW w:w="14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0" w:type="dxa"/>
            <w:vAlign w:val="bottom"/>
          </w:tcPr>
          <w:p>
            <w:pPr>
              <w:spacing w:after="0"/>
              <w:rPr>
                <w:sz w:val="1"/>
                <w:szCs w:val="1"/>
                <w:color w:val="auto"/>
              </w:rPr>
            </w:pPr>
          </w:p>
        </w:tc>
      </w:tr>
      <w:tr>
        <w:trPr>
          <w:trHeight w:val="19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36,789</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5,123,516</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50" w:lineRule="exact"/>
        <w:rPr>
          <w:sz w:val="20"/>
          <w:szCs w:val="20"/>
          <w:color w:val="auto"/>
        </w:rPr>
      </w:pPr>
    </w:p>
    <w:p>
      <w:pPr>
        <w:ind w:firstLine="8"/>
        <w:spacing w:after="0" w:line="253" w:lineRule="auto"/>
        <w:tabs>
          <w:tab w:leader="none" w:pos="132"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both Bread Rewards</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American Express</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Proprietary accounts converted from Comenity</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Mastercard</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Proprietary accounts and non-converted Comenity</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Mastercard</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Proprietary accounts.</w:t>
      </w:r>
    </w:p>
    <w:p>
      <w:pPr>
        <w:ind w:left="160" w:hanging="152"/>
        <w:spacing w:after="0"/>
        <w:tabs>
          <w:tab w:leader="none" w:pos="16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Retailers individually representing a lesser percentage of principal receivables balances in the trust portfolio as of October 31, 2025.</w:t>
      </w:r>
    </w:p>
    <w:p>
      <w:pPr>
        <w:spacing w:after="0" w:line="1"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Sterling Jewelers Private Label, Ann Taylor Private Label, Ann Taylor Mastercard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Co-Brand, and Lane Bryant Private Label programs are included in Other Retailers.</w:t>
      </w:r>
    </w:p>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Composition by Account Balance</w:t>
      </w:r>
    </w:p>
    <w:p>
      <w:pPr>
        <w:spacing w:after="0" w:line="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the Trust Portfolio</w:t>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in Thousands; Accounts in Thousands)</w:t>
      </w:r>
    </w:p>
    <w:p>
      <w:pPr>
        <w:spacing w:after="0" w:line="1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6"/>
        </w:trPr>
        <w:tc>
          <w:tcPr>
            <w:tcW w:w="378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Account Balance Range</w:t>
            </w:r>
          </w:p>
        </w:tc>
        <w:tc>
          <w:tcPr>
            <w:tcW w:w="14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5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of Total Number</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0" w:type="dxa"/>
            <w:vAlign w:val="bottom"/>
          </w:tcPr>
          <w:p>
            <w:pPr>
              <w:jc w:val="right"/>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Total Principal</w:t>
            </w:r>
          </w:p>
        </w:tc>
        <w:tc>
          <w:tcPr>
            <w:tcW w:w="0" w:type="dxa"/>
            <w:vAlign w:val="bottom"/>
          </w:tcPr>
          <w:p>
            <w:pPr>
              <w:spacing w:after="0"/>
              <w:rPr>
                <w:sz w:val="1"/>
                <w:szCs w:val="1"/>
                <w:color w:val="auto"/>
              </w:rPr>
            </w:pPr>
          </w:p>
        </w:tc>
      </w:tr>
      <w:tr>
        <w:trPr>
          <w:trHeight w:val="198"/>
        </w:trPr>
        <w:tc>
          <w:tcPr>
            <w:tcW w:w="378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of Accounts</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9"/>
              </w:rPr>
              <w:t>Receivables</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191"/>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Balance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1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(8,331)</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 Balance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31,454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$0.01 - $500.00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501,806</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$500.01 - $1,000.00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562,477</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$1,000.01 - $2,000.00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990,207</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$2,000.01 - $3,000.00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731,654</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$3,000.01 - $4,000.00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520,760</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$4,000.01 - $5,000.00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384,405</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$5,000.01 - $6,000.00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288,245</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$6,000.01 - $7,000.00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213,766</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$7,000.01 - $8,000.00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166,937</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$8,000.01 - $9,000.00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134,861</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$9,000.01 - $10,000.00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110,413</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$10,000.01 or more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526,316</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36,789</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5,123,516</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1440" w:right="479" w:bottom="1440" w:gutter="0" w:footer="0" w:header="0"/>
        </w:sectPr>
      </w:pPr>
    </w:p>
    <w:bookmarkStart w:id="3" w:name="page4"/>
    <w:bookmarkEnd w:id="3"/>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Composition by Credit Limit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Trust Portfolio</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Accounts in Thousands)</w:t>
      </w:r>
    </w:p>
    <w:p>
      <w:pPr>
        <w:spacing w:after="0" w:line="1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6"/>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Credit Limit Range</w:t>
            </w:r>
          </w:p>
        </w:tc>
        <w:tc>
          <w:tcPr>
            <w:tcW w:w="14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5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of Total Number</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Total Principal</w:t>
            </w:r>
          </w:p>
        </w:tc>
        <w:tc>
          <w:tcPr>
            <w:tcW w:w="0" w:type="dxa"/>
            <w:vAlign w:val="bottom"/>
          </w:tcPr>
          <w:p>
            <w:pPr>
              <w:spacing w:after="0"/>
              <w:rPr>
                <w:sz w:val="1"/>
                <w:szCs w:val="1"/>
                <w:color w:val="auto"/>
              </w:rPr>
            </w:pPr>
          </w:p>
        </w:tc>
      </w:tr>
      <w:tr>
        <w:trPr>
          <w:trHeight w:val="198"/>
        </w:trPr>
        <w:tc>
          <w:tcPr>
            <w:tcW w:w="378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Accounts</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9"/>
              </w:rPr>
              <w:t>Receivables</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191"/>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 Credit Limit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1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$0.01 - $500.00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100,812</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$500.01 - $1,000.00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256,547</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$1,000.01 - $2,000.00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538,291</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$2,000.01 - $3,000.00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685,496</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$3,000.01 - $4,000.00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489,833</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$4,000.01 - $5,000.00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452,166</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$5,000.01 - $6,000.00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359,615</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$6,000.01 - $7,000.00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327,912</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$7,000.01 - $8,000.00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307,967</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$8,000.01 - $9,000.00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292,366</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$9,000.01 - $10,000.00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228,591</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$10,000.01 or more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1,081,993</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0" w:type="dxa"/>
            <w:vAlign w:val="bottom"/>
          </w:tcPr>
          <w:p>
            <w:pPr>
              <w:spacing w:after="0"/>
              <w:rPr>
                <w:sz w:val="1"/>
                <w:szCs w:val="1"/>
                <w:color w:val="auto"/>
              </w:rPr>
            </w:pPr>
          </w:p>
        </w:tc>
      </w:tr>
      <w:tr>
        <w:trPr>
          <w:trHeight w:val="23"/>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20" w:type="dxa"/>
            <w:vAlign w:val="bottom"/>
            <w:gridSpan w:val="2"/>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36,789</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5,123,516</w:t>
            </w: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Composition by Account Age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Trust Portfolio</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Accounts in Thousands)</w:t>
      </w:r>
    </w:p>
    <w:tbl>
      <w:tblPr>
        <w:tblLayout w:type="fixed"/>
        <w:tblInd w:w="1120" w:type="dxa"/>
        <w:tblCellMar>
          <w:top w:w="0" w:type="dxa"/>
          <w:left w:w="0" w:type="dxa"/>
          <w:bottom w:w="0" w:type="dxa"/>
          <w:right w:w="0" w:type="dxa"/>
        </w:tblCellMar>
      </w:tblPr>
      <w:tr>
        <w:trPr>
          <w:trHeight w:val="158"/>
        </w:trPr>
        <w:tc>
          <w:tcPr>
            <w:tcW w:w="5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0" w:type="dxa"/>
            <w:vAlign w:val="bottom"/>
          </w:tcPr>
          <w:p>
            <w:pPr>
              <w:jc w:val="right"/>
              <w:ind w:right="128"/>
              <w:spacing w:after="0" w:line="158"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Account Age Range</w:t>
            </w:r>
          </w:p>
        </w:tc>
        <w:tc>
          <w:tcPr>
            <w:tcW w:w="14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Total Principal</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Accounts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191"/>
        </w:trPr>
        <w:tc>
          <w:tcPr>
            <w:tcW w:w="3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Not More than 12 Months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741,032</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216"/>
        </w:trPr>
        <w:tc>
          <w:tcPr>
            <w:tcW w:w="3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Over 12 Months to 24 Months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424,182</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216"/>
        </w:trPr>
        <w:tc>
          <w:tcPr>
            <w:tcW w:w="3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Over 24 Months to 36 Months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387,413</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216"/>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 36</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Months to 48 Months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340,600</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216"/>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 48</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Months to 60 Months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249,041</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16"/>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 60</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Months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26,353</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2,981,248</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58.19%</w:t>
            </w:r>
          </w:p>
        </w:tc>
        <w:tc>
          <w:tcPr>
            <w:tcW w:w="0" w:type="dxa"/>
            <w:vAlign w:val="bottom"/>
          </w:tcPr>
          <w:p>
            <w:pPr>
              <w:spacing w:after="0"/>
              <w:rPr>
                <w:sz w:val="1"/>
                <w:szCs w:val="1"/>
                <w:color w:val="auto"/>
              </w:rPr>
            </w:pPr>
          </w:p>
        </w:tc>
      </w:tr>
      <w:tr>
        <w:trPr>
          <w:trHeight w:val="23"/>
        </w:trPr>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 w:type="dxa"/>
            <w:vAlign w:val="bottom"/>
            <w:vMerge w:val="continue"/>
          </w:tcPr>
          <w:p>
            <w:pPr>
              <w:spacing w:after="0"/>
              <w:rPr>
                <w:sz w:val="16"/>
                <w:szCs w:val="16"/>
                <w:color w:val="auto"/>
              </w:rPr>
            </w:pPr>
          </w:p>
        </w:tc>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36,789</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5,123,516</w:t>
            </w: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Cardholders whose accounts are designated for the trust portfolio had billing addresses in all 50 states, the District of Columbia and other U.S. territories, except for approximately 0.01% of the principal receivables balance for the trust for which cardholders had billing addresses located outside of the United States, the District of Columbia, other U.S. territories, or military addresses. Except for the five states listed below, no state accounted for more than 5% of the number of accounts or 5% of the total principal receivables balances as of October 31, 2025.</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Composition by Billing Address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Trust Portfolio</w:t>
      </w:r>
    </w:p>
    <w:p>
      <w:pPr>
        <w:spacing w:after="0" w:line="8" w:lineRule="exact"/>
        <w:rPr>
          <w:sz w:val="20"/>
          <w:szCs w:val="20"/>
          <w:color w:val="auto"/>
        </w:rPr>
      </w:pPr>
    </w:p>
    <w:tbl>
      <w:tblPr>
        <w:tblLayout w:type="fixed"/>
        <w:tblInd w:w="240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10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Total Principal</w:t>
            </w:r>
          </w:p>
        </w:tc>
        <w:tc>
          <w:tcPr>
            <w:tcW w:w="0" w:type="dxa"/>
            <w:vAlign w:val="bottom"/>
          </w:tcPr>
          <w:p>
            <w:pPr>
              <w:spacing w:after="0"/>
              <w:rPr>
                <w:sz w:val="1"/>
                <w:szCs w:val="1"/>
                <w:color w:val="auto"/>
              </w:rPr>
            </w:pPr>
          </w:p>
        </w:tc>
      </w:tr>
      <w:tr>
        <w:trPr>
          <w:trHeight w:val="190"/>
        </w:trPr>
        <w:tc>
          <w:tcPr>
            <w:tcW w:w="3960" w:type="dxa"/>
            <w:vAlign w:val="bottom"/>
            <w:gridSpan w:val="2"/>
            <w:vMerge w:val="continue"/>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The bank uses credit bureau scoring and a proprietary scoring model developed for the bank as tools in the underwriting process and for making credit decisions. The bank uses credit bureau scoring and a proprietary scoring model also for purposes of monitoring obligor credit quality. The bank’s proprietary scoring model is based on historical data and requires the bank to make various assumptions about future performance. As a result, the bank’s proprietary model is not intended, and should not be relied upon, to forecast actual future performance.</w:t>
      </w:r>
    </w:p>
    <w:p>
      <w:pPr>
        <w:sectPr>
          <w:pgSz w:w="11900" w:h="16838" w:orient="portrait"/>
          <w:cols w:equalWidth="0" w:num="1">
            <w:col w:w="11240"/>
          </w:cols>
          <w:pgMar w:left="320" w:top="1440" w:right="339" w:bottom="1440" w:gutter="0" w:footer="0" w:header="0"/>
        </w:sectPr>
      </w:pPr>
    </w:p>
    <w:bookmarkStart w:id="4" w:name="page5"/>
    <w:bookmarkEnd w:id="4"/>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With respect to credit bureau scoring, the bank utilizes VantageScore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credit scores to assist in its assessment of credit quality. Credit scores are obtained at origination of the account and are refreshed monthly thereafter to assist in predicting obligor behavior. The bank categorizes these credit scores into the following three credit score categories: (i) 661 or higher, which are considered the strongest credits and therefore have the lowest credit risk; (ii) 601 to 660, considered to have moderate credit risk; and (iii) 600 or less, which are considered weaker credits and therefore have the highest credit risk. In certain limited circumstances there are obligor accounts for which a credit score is not available and the bank uses alternative sources to assess credit risk and predict behavior.</w:t>
      </w:r>
    </w:p>
    <w:p>
      <w:pPr>
        <w:spacing w:after="0" w:line="209"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8"/>
          <w:szCs w:val="18"/>
          <w:color w:val="auto"/>
        </w:rPr>
        <w:t>The below table reflects the distribution of the accounts designated to the trust portfolio by obligor VantageScore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 of October 31, 2025. Because the future composition of the trust portfolio will change over time, obligor credit quality as shown in the table below is not indicative of obligor credit quality for the trust portfolio at any subsequent time. In addition, the bank’s assessment of obligor credit quality may change over time depending on the conduct of the cardholder and changes in the proprietary scoring models used by the bank.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Composition by Obligor Credit Bureau Score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Trust Portfolio</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r>
        <w:rPr>
          <w:rFonts w:ascii="Times New Roman" w:cs="Times New Roman" w:eastAsia="Times New Roman" w:hAnsi="Times New Roman"/>
          <w:sz w:val="18"/>
          <w:szCs w:val="18"/>
          <w:color w:val="auto"/>
        </w:rPr>
        <w:t>)</w:t>
      </w:r>
    </w:p>
    <w:p>
      <w:pPr>
        <w:spacing w:after="0" w:line="11"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0" w:type="dxa"/>
            <w:vAlign w:val="bottom"/>
          </w:tcPr>
          <w:p>
            <w:pPr>
              <w:spacing w:after="0"/>
              <w:rPr>
                <w:sz w:val="1"/>
                <w:szCs w:val="1"/>
                <w:color w:val="auto"/>
              </w:rPr>
            </w:pPr>
          </w:p>
        </w:tc>
      </w:tr>
      <w:tr>
        <w:trPr>
          <w:trHeight w:val="14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Obligor Credit Bureau Score Range</w:t>
            </w:r>
          </w:p>
        </w:tc>
        <w:tc>
          <w:tcPr>
            <w:tcW w:w="140" w:type="dxa"/>
            <w:vAlign w:val="bottom"/>
            <w:vMerge w:val="restart"/>
          </w:tcPr>
          <w:p>
            <w:pPr>
              <w:spacing w:after="0"/>
              <w:rPr>
                <w:sz w:val="12"/>
                <w:szCs w:val="12"/>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 Receivables</w:t>
            </w:r>
          </w:p>
        </w:tc>
        <w:tc>
          <w:tcPr>
            <w:tcW w:w="140" w:type="dxa"/>
            <w:vAlign w:val="bottom"/>
            <w:vMerge w:val="restart"/>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191"/>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 Score</w:t>
            </w:r>
          </w:p>
        </w:tc>
        <w:tc>
          <w:tcPr>
            <w:tcW w:w="4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600 or Less</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647,609</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601–660</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1,365,728</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661 or Greater</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3,109,080</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60.68%</w:t>
            </w:r>
          </w:p>
        </w:tc>
        <w:tc>
          <w:tcPr>
            <w:tcW w:w="0" w:type="dxa"/>
            <w:vAlign w:val="bottom"/>
          </w:tcPr>
          <w:p>
            <w:pPr>
              <w:spacing w:after="0"/>
              <w:rPr>
                <w:sz w:val="1"/>
                <w:szCs w:val="1"/>
                <w:color w:val="auto"/>
              </w:rPr>
            </w:pPr>
          </w:p>
        </w:tc>
      </w:tr>
      <w:tr>
        <w:trPr>
          <w:trHeight w:val="23"/>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gridSpan w:val="2"/>
            <w:vMerge w:val="continue"/>
          </w:tcPr>
          <w:p>
            <w:pPr>
              <w:spacing w:after="0"/>
              <w:rPr>
                <w:sz w:val="16"/>
                <w:szCs w:val="16"/>
                <w:color w:val="auto"/>
              </w:rPr>
            </w:pPr>
          </w:p>
        </w:tc>
        <w:tc>
          <w:tcPr>
            <w:tcW w:w="4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5,123,516</w:t>
            </w:r>
          </w:p>
        </w:tc>
        <w:tc>
          <w:tcPr>
            <w:tcW w:w="14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Receivables Performance</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tables below contain performance information for the receivables in the trust portfolio for the ten months ended October 31, 2025.</w:t>
      </w:r>
    </w:p>
    <w:p>
      <w:pPr>
        <w:spacing w:after="0" w:line="23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composition of the trust portfolio is expected to change over time, including as a result of the addition of new accounts and as a result of the removal of accounts under certain circumstances. The future performance of the receivables in the trust portfolio may be different from the historical performance set forth below.</w:t>
      </w:r>
    </w:p>
    <w:p>
      <w:pPr>
        <w:spacing w:after="0" w:line="204"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All data set forth in the tables below is reported on a collected basis. Average principal receivables outstanding is the average of the principal receivables balances at the beginning of each month in the period indicated. Fees include late fees, returned check fees, cash advance fees, paper statement fees, promotional plan fees, and foreign transaction fees.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Delinquency and Loss Experience</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aggregate delinquency and loss experience for cardholder payments on the credit card accounts in the trust portfolio for each of the dates or periods shown.</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generally expect that net losses and delinquencies in the trust portfolio will correlate with the general economy and unemployment rates. Global economic volatility and cyclicality of the lending/credit markets may have an adverse effect on the trust portfolio. More specifically, increases in delinquencies and charge-offs could occur, particularly if conditions in the general economy deteriorate.</w:t>
      </w:r>
    </w:p>
    <w:p>
      <w:pPr>
        <w:spacing w:after="0" w:line="217"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auto"/>
        </w:rPr>
        <w:t>As a result of hurricanes Helene and Milton we froze delinquency progression for cardholders in Federal Emergency Management Agency identified impact zones for one billing cycle, which resulted in modestly lower Net principal losses and Net loss rate in the fourth quarter of 2024, and consequently these actions negatively impacted Net principal losses and Net loss rate in the second quarter of 2025.</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cannot assure you that the future delinquency and loss experience for the receivables will be similar to the historical experience set forth below.</w:t>
      </w:r>
    </w:p>
    <w:p>
      <w:pPr>
        <w:sectPr>
          <w:pgSz w:w="11900" w:h="16838" w:orient="portrait"/>
          <w:cols w:equalWidth="0" w:num="1">
            <w:col w:w="11240"/>
          </w:cols>
          <w:pgMar w:left="320" w:top="1228" w:right="339" w:bottom="1440" w:gutter="0" w:footer="0" w:header="0"/>
        </w:sectPr>
      </w:pPr>
    </w:p>
    <w:bookmarkStart w:id="5" w:name="page6"/>
    <w:bookmarkEnd w:id="5"/>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Receivables Delinquency Experience</w:t>
      </w:r>
    </w:p>
    <w:p>
      <w:pPr>
        <w:spacing w:after="0" w:line="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 the Trust Portfolio</w:t>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 w:lineRule="exact"/>
        <w:rPr>
          <w:sz w:val="20"/>
          <w:szCs w:val="20"/>
          <w:color w:val="auto"/>
        </w:rPr>
      </w:pPr>
    </w:p>
    <w:tbl>
      <w:tblPr>
        <w:tblLayout w:type="fixed"/>
        <w:tblInd w:w="314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 of October 31,</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23"/>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Principal Receivables</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480" w:type="dxa"/>
            <w:vAlign w:val="bottom"/>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5,123,516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Principal Receivables Delinquent:</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31-60 Days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61-90 Days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91-120 Days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121-150 Days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151 or More Days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0" w:type="dxa"/>
            <w:vAlign w:val="bottom"/>
          </w:tcPr>
          <w:p>
            <w:pPr>
              <w:spacing w:after="0"/>
              <w:rPr>
                <w:sz w:val="1"/>
                <w:szCs w:val="1"/>
                <w:color w:val="auto"/>
              </w:rPr>
            </w:pPr>
          </w:p>
        </w:tc>
      </w:tr>
      <w:tr>
        <w:trPr>
          <w:trHeight w:val="23"/>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8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278,620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5.44%</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Account Delinquency Experience</w:t>
      </w:r>
    </w:p>
    <w:p>
      <w:pPr>
        <w:spacing w:after="0" w:line="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 the Trust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364490</wp:posOffset>
            </wp:positionV>
            <wp:extent cx="1586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623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193040</wp:posOffset>
            </wp:positionV>
            <wp:extent cx="1586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316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Active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Active</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0" w:type="dxa"/>
            <w:vAlign w:val="bottom"/>
          </w:tcPr>
          <w:p>
            <w:pPr>
              <w:spacing w:after="0"/>
              <w:rPr>
                <w:sz w:val="1"/>
                <w:szCs w:val="1"/>
                <w:color w:val="auto"/>
              </w:rPr>
            </w:pPr>
          </w:p>
        </w:tc>
      </w:tr>
      <w:tr>
        <w:trPr>
          <w:trHeight w:val="37"/>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Active Accounts</w:t>
            </w:r>
          </w:p>
        </w:tc>
        <w:tc>
          <w:tcPr>
            <w:tcW w:w="11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460" w:type="dxa"/>
            <w:vAlign w:val="bottom"/>
            <w:vMerge w:val="continue"/>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5,334,946</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Active Accounts Delinquent: </w:t>
            </w:r>
            <w:r>
              <w:rPr>
                <w:rFonts w:ascii="Times New Roman" w:cs="Times New Roman" w:eastAsia="Times New Roman" w:hAnsi="Times New Roman"/>
                <w:sz w:val="18"/>
                <w:szCs w:val="18"/>
                <w:color w:val="auto"/>
                <w:vertAlign w:val="superscript"/>
              </w:rPr>
              <w:t>(1)</w:t>
            </w: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31-60 Days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75,371</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61-90 Days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54,312</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91-120 Days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43,470</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121-150 Days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36,012</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151 or More Days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29,908</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239,073</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50"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Zero Balance Accounts.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7100" w:type="dxa"/>
            <w:vAlign w:val="bottom"/>
          </w:tcPr>
          <w:p>
            <w:pPr>
              <w:jc w:val="center"/>
              <w:ind w:left="1761"/>
              <w:spacing w:after="0"/>
              <w:rPr>
                <w:sz w:val="20"/>
                <w:szCs w:val="20"/>
                <w:color w:val="auto"/>
              </w:rPr>
            </w:pPr>
            <w:r>
              <w:rPr>
                <w:rFonts w:ascii="Times New Roman" w:cs="Times New Roman" w:eastAsia="Times New Roman" w:hAnsi="Times New Roman"/>
                <w:sz w:val="18"/>
                <w:szCs w:val="18"/>
                <w:b w:val="1"/>
                <w:bCs w:val="1"/>
                <w:color w:val="auto"/>
              </w:rPr>
              <w:t>Loss Experience</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7100" w:type="dxa"/>
            <w:vAlign w:val="bottom"/>
          </w:tcPr>
          <w:p>
            <w:pPr>
              <w:jc w:val="center"/>
              <w:ind w:left="1761"/>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 the Trust Portfolio</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8"/>
        </w:trPr>
        <w:tc>
          <w:tcPr>
            <w:tcW w:w="7100" w:type="dxa"/>
            <w:vAlign w:val="bottom"/>
          </w:tcPr>
          <w:p>
            <w:pPr>
              <w:jc w:val="center"/>
              <w:ind w:left="1741"/>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62"/>
        </w:trPr>
        <w:tc>
          <w:tcPr>
            <w:tcW w:w="7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Ten Months Ended</w:t>
            </w:r>
          </w:p>
        </w:tc>
      </w:tr>
      <w:tr>
        <w:trPr>
          <w:trHeight w:val="196"/>
        </w:trPr>
        <w:tc>
          <w:tcPr>
            <w:tcW w:w="7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6"/>
        </w:trPr>
        <w:tc>
          <w:tcPr>
            <w:tcW w:w="7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3"/>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Average Receivables Outstanding</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5,097,008</w:t>
            </w:r>
          </w:p>
        </w:tc>
      </w:tr>
      <w:tr>
        <w:trPr>
          <w:trHeight w:val="241"/>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Gross Charge-Offs </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399,430</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Recoveries </w:t>
            </w:r>
            <w:r>
              <w:rPr>
                <w:rFonts w:ascii="Times New Roman" w:cs="Times New Roman" w:eastAsia="Times New Roman" w:hAnsi="Times New Roman"/>
                <w:sz w:val="18"/>
                <w:szCs w:val="18"/>
                <w:color w:val="auto"/>
                <w:vertAlign w:val="superscript"/>
              </w:rPr>
              <w:t>(2)</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84,938</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Charge-Offs </w:t>
            </w:r>
            <w:r>
              <w:rPr>
                <w:rFonts w:ascii="Times New Roman" w:cs="Times New Roman" w:eastAsia="Times New Roman" w:hAnsi="Times New Roman"/>
                <w:sz w:val="18"/>
                <w:szCs w:val="18"/>
                <w:color w:val="auto"/>
                <w:vertAlign w:val="superscript"/>
              </w:rPr>
              <w:t>(3)</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314,491</w:t>
            </w:r>
          </w:p>
        </w:tc>
      </w:tr>
      <w:tr>
        <w:trPr>
          <w:trHeight w:val="232"/>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Charge-Offs as a percentage of Average Receivables Outstanding (annualized) </w:t>
            </w:r>
            <w:r>
              <w:rPr>
                <w:rFonts w:ascii="Times New Roman" w:cs="Times New Roman" w:eastAsia="Times New Roman" w:hAnsi="Times New Roman"/>
                <w:sz w:val="18"/>
                <w:szCs w:val="18"/>
                <w:color w:val="auto"/>
                <w:vertAlign w:val="superscript"/>
              </w:rPr>
              <w:t>(4)</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r>
    </w:tbl>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32" w:lineRule="exact"/>
        <w:rPr>
          <w:sz w:val="20"/>
          <w:szCs w:val="20"/>
          <w:color w:val="auto"/>
        </w:rPr>
      </w:pPr>
    </w:p>
    <w:p>
      <w:pPr>
        <w:ind w:left="140" w:hanging="132"/>
        <w:spacing w:after="0"/>
        <w:tabs>
          <w:tab w:leader="none" w:pos="14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Gross Charge-Offs includes gross charge-offs of principal receivables.</w:t>
      </w:r>
    </w:p>
    <w:p>
      <w:pPr>
        <w:ind w:left="160" w:hanging="152"/>
        <w:spacing w:after="0" w:line="187" w:lineRule="auto"/>
        <w:tabs>
          <w:tab w:leader="none" w:pos="16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Recoveries includes recoveries of principal and finance charge receivables and fees.</w:t>
      </w:r>
    </w:p>
    <w:p>
      <w:pPr>
        <w:ind w:left="160" w:hanging="152"/>
        <w:spacing w:after="0" w:line="187" w:lineRule="auto"/>
        <w:tabs>
          <w:tab w:leader="none" w:pos="16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Charge-Offs equal Gross Charge-Offs minus Recoveries.</w:t>
      </w:r>
    </w:p>
    <w:p>
      <w:pPr>
        <w:ind w:left="140" w:hanging="132"/>
        <w:spacing w:after="0" w:line="224" w:lineRule="auto"/>
        <w:tabs>
          <w:tab w:leader="none" w:pos="14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Figure for period ended October 31, 2025 are annualized and not necessarily indicative of actual results for the entire year.</w:t>
      </w:r>
    </w:p>
    <w:p>
      <w:pPr>
        <w:sectPr>
          <w:pgSz w:w="11900" w:h="16838" w:orient="portrait"/>
          <w:cols w:equalWidth="0" w:num="1">
            <w:col w:w="10139"/>
          </w:cols>
          <w:pgMar w:left="320" w:top="1224"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Revenue Experience</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gross revenues from finance charges and fees related to accounts in the trust portfolio for each of the periods shown are set forth in the following table. The figures reflected in the following table represent balances before deductions for charge-offs, returned merchandise, and customer disputes or other expenses and reductions due to fraud.</w:t>
      </w: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Revenue Experience</w:t>
      </w:r>
    </w:p>
    <w:tbl>
      <w:tblPr>
        <w:tblLayout w:type="fixed"/>
        <w:tblInd w:w="800" w:type="dxa"/>
        <w:tblCellMar>
          <w:top w:w="0" w:type="dxa"/>
          <w:left w:w="0" w:type="dxa"/>
          <w:bottom w:w="0" w:type="dxa"/>
          <w:right w:w="0" w:type="dxa"/>
        </w:tblCellMar>
      </w:tblPr>
      <w:tr>
        <w:trPr>
          <w:trHeight w:val="198"/>
        </w:trPr>
        <w:tc>
          <w:tcPr>
            <w:tcW w:w="7820" w:type="dxa"/>
            <w:vAlign w:val="bottom"/>
          </w:tcPr>
          <w:p>
            <w:pPr>
              <w:jc w:val="center"/>
              <w:ind w:left="1761"/>
              <w:spacing w:after="0" w:line="198" w:lineRule="exact"/>
              <w:rPr>
                <w:sz w:val="20"/>
                <w:szCs w:val="20"/>
                <w:color w:val="auto"/>
              </w:rPr>
            </w:pPr>
            <w:r>
              <w:rPr>
                <w:rFonts w:ascii="Times New Roman" w:cs="Times New Roman" w:eastAsia="Times New Roman" w:hAnsi="Times New Roman"/>
                <w:sz w:val="18"/>
                <w:szCs w:val="18"/>
                <w:b w:val="1"/>
                <w:bCs w:val="1"/>
                <w:color w:val="auto"/>
                <w:w w:val="99"/>
              </w:rPr>
              <w:t>in the Trust Portfolio</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8"/>
        </w:trPr>
        <w:tc>
          <w:tcPr>
            <w:tcW w:w="7820" w:type="dxa"/>
            <w:vAlign w:val="bottom"/>
          </w:tcPr>
          <w:p>
            <w:pPr>
              <w:jc w:val="center"/>
              <w:ind w:left="1741"/>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162"/>
        </w:trPr>
        <w:tc>
          <w:tcPr>
            <w:tcW w:w="7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Ten Months</w:t>
            </w:r>
          </w:p>
        </w:tc>
      </w:tr>
      <w:tr>
        <w:trPr>
          <w:trHeight w:val="196"/>
        </w:trPr>
        <w:tc>
          <w:tcPr>
            <w:tcW w:w="7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Ended October 31,</w:t>
            </w:r>
          </w:p>
        </w:tc>
      </w:tr>
      <w:tr>
        <w:trPr>
          <w:trHeight w:val="196"/>
        </w:trPr>
        <w:tc>
          <w:tcPr>
            <w:tcW w:w="7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3"/>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Average Receivables Outstanding</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5,097,008</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Total Finance Charges and Fees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1,403,307</w:t>
            </w:r>
          </w:p>
        </w:tc>
      </w:tr>
      <w:tr>
        <w:trPr>
          <w:trHeight w:val="257"/>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Finance Charges and Fees as a percentage of Average Receivables Outstanding (annualized) </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w:t>
            </w:r>
          </w:p>
        </w:tc>
      </w:tr>
    </w:tbl>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ind w:left="180" w:hanging="172"/>
        <w:spacing w:after="0" w:line="214" w:lineRule="auto"/>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Figure for period ended October 31, 2025 are annualized and not necessarily indicative of actual results for the entire year.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Compliance with Underwriting Criteria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Pool Asset Disclosure</w:t>
      </w:r>
    </w:p>
    <w:p>
      <w:pPr>
        <w:spacing w:after="0" w:line="229"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In connection with this Form 10-D, the depositor has performed a review of the transferred receivables and the disclosure required to be included in this Form 10-D relating to the transferred receivables by Item 1111 of Regulation AB (such disclosure, the “</w:t>
      </w:r>
      <w:r>
        <w:rPr>
          <w:rFonts w:ascii="Times New Roman" w:cs="Times New Roman" w:eastAsia="Times New Roman" w:hAnsi="Times New Roman"/>
          <w:sz w:val="18"/>
          <w:szCs w:val="18"/>
          <w:b w:val="1"/>
          <w:bCs w:val="1"/>
          <w:color w:val="auto"/>
        </w:rPr>
        <w:t>Rule 193 Information</w:t>
      </w:r>
      <w:r>
        <w:rPr>
          <w:rFonts w:ascii="Times New Roman" w:cs="Times New Roman" w:eastAsia="Times New Roman" w:hAnsi="Times New Roman"/>
          <w:sz w:val="18"/>
          <w:szCs w:val="18"/>
          <w:color w:val="auto"/>
        </w:rPr>
        <w:t>”). This review was designed and effected to provide reasonable assurance that the Rule 193 Information is accurate in all material respects.</w:t>
      </w:r>
    </w:p>
    <w:p>
      <w:pPr>
        <w:spacing w:after="0" w:line="204"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The Rule 193 Information consisting of factual information was reviewed and approved by those officers and employees of the depositor, the bank and their affiliates who are knowledgeable about such factual information. Counsel to the depositor and its affiliates reviewed the Rule 193 Information consisting of descriptions of portions of the transaction documents and compared that Rule 193 Information to the related transaction documents. Officers of the depositor and its affiliates also consulted with internal regulatory personnel and counsel with respect to the description of the legal and regulatory provisions that may materially and adversely affect the performance of the transferred receivables or payments on the notes.</w:t>
      </w:r>
    </w:p>
    <w:p>
      <w:pPr>
        <w:spacing w:after="0" w:line="212"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8"/>
          <w:szCs w:val="18"/>
          <w:color w:val="auto"/>
        </w:rPr>
        <w:t>Employees of the depositor and its affiliates populated the statistical information in this Form 10-D with respect to the transferred receivables using information derived from the bank’s database. The statistical information in this Form 10-D relating to the transferred receivables was compared to information contained in the bank’s database regarding the attributes of such transferred receivables. As a result of such population and comparisons, the depositor determined that the statistical information relating to the transferred receivables is consistent with the bank’s database.</w:t>
      </w:r>
    </w:p>
    <w:p>
      <w:pPr>
        <w:spacing w:after="0" w:line="21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The depositor’s review of the receivables is supported by the control processes routinely used by the bank’s parent, Bread Financial Holdings, Inc. (“Bread Financial”), in the operation of its business. Bread Financial achieves appropriate internal and external assurance work on its internal controls over financial reporting to maintain compliance with regulatory reporting requirements, including The Sarbanes-Oxley Act of 2002. Such assurance work is designed to provide reasonable assurance regarding the reliability of financial reporting. The nature, timing and extent of such assurance work are driven by risk-based assessments of the parent’s consolidated operations. The assurance work includes a review of the financial information from which the disclosure required by Item 1111 of Regulation AB regarding the trust portfolio is derived.</w:t>
      </w:r>
    </w:p>
    <w:p>
      <w:pPr>
        <w:spacing w:after="0" w:line="209"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 xml:space="preserve">With respect to the disclosure under </w:t>
      </w:r>
      <w:r>
        <w:rPr>
          <w:rFonts w:ascii="Times New Roman" w:cs="Times New Roman" w:eastAsia="Times New Roman" w:hAnsi="Times New Roman"/>
          <w:sz w:val="18"/>
          <w:szCs w:val="18"/>
          <w:i w:val="1"/>
          <w:iCs w:val="1"/>
          <w:color w:val="auto"/>
        </w:rPr>
        <w:t>“Compliance with Underwriting Criteria</w:t>
      </w:r>
      <w:r>
        <w:rPr>
          <w:rFonts w:ascii="Times New Roman" w:cs="Times New Roman" w:eastAsia="Times New Roman" w:hAnsi="Times New Roman"/>
          <w:sz w:val="18"/>
          <w:szCs w:val="18"/>
          <w:color w:val="auto"/>
        </w:rPr>
        <w:t>” below, the bank periodically engages in activities that are designed to monitor and measure compliance with its credit policies, including testing of automated approval systems and monthly monitoring and compliance checks with respect to credit line decisions that are ultimately made outside of the automated system, as more specifically described below.</w:t>
      </w:r>
    </w:p>
    <w:p>
      <w:pPr>
        <w:spacing w:after="0" w:line="203"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Portions of the review of the legal, regulatory and statistical information were performed with the assistance of third parties engaged by the depositor. The depositor determined the nature, extent and timing of the review and the level of assistance provided by the third parties. The depositor had ultimate authority and control over, and assumes all responsibility for, the review and the findings and conclusions of the review. The depositor attributes all findings and conclusions of the review to itself.</w:t>
      </w:r>
    </w:p>
    <w:p>
      <w:pPr>
        <w:sectPr>
          <w:pgSz w:w="11900" w:h="16838" w:orient="portrait"/>
          <w:cols w:equalWidth="0" w:num="1">
            <w:col w:w="11240"/>
          </w:cols>
          <w:pgMar w:left="320" w:top="1224" w:right="339" w:bottom="1440" w:gutter="0" w:footer="0" w:header="0"/>
        </w:sectPr>
      </w:pPr>
    </w:p>
    <w:bookmarkStart w:id="7" w:name="page8"/>
    <w:bookmarkEnd w:id="7"/>
    <w:p>
      <w:pPr>
        <w:ind w:right="100"/>
        <w:spacing w:after="0" w:line="266" w:lineRule="auto"/>
        <w:rPr>
          <w:sz w:val="20"/>
          <w:szCs w:val="20"/>
          <w:color w:val="auto"/>
        </w:rPr>
      </w:pPr>
      <w:r>
        <w:rPr>
          <w:rFonts w:ascii="Times New Roman" w:cs="Times New Roman" w:eastAsia="Times New Roman" w:hAnsi="Times New Roman"/>
          <w:sz w:val="18"/>
          <w:szCs w:val="18"/>
          <w:color w:val="auto"/>
        </w:rPr>
        <w:t>After undertaking the review described above, the depositor has concluded, with reasonable assurance, that the Rule 193 Information in this Form 10-D is accurate in all material respects.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Compliance with Underwriting Criteria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makes virtually all underwriting and authorization decisions using an automated system that uses credit bureau scoring and a proprietary scoring model to determine an applicant’s risk. This automated system determines whether to approve or decline a customer’s request for credit based on this risk and also sets a maximum initial credit line on each approved customer’s account, in each case without any underwriter discretion. In certain cases, the bank may further manually review applications that were initially declined through the automated process, either at the applicant’s request or in connection with the bank’s internal review process. In such cases, the bank verifies relevant customer data, makes any necessary corrections to the customer data and re-evaluates such applications using the bank’s underwriting criteria. The bank applies the same underwriting criteria in both the automated process, and during any manual reviews of applications initially declined through the automated process.</w:t>
      </w:r>
    </w:p>
    <w:p>
      <w:pPr>
        <w:spacing w:after="0" w:line="19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bank’s credit risk group performs monthly testing on applications to ensure that the automated system is processing applications as intended. The bank’s credit risk group validates through population and sample testing to ensure adherence to bank’s underwriting criteria. Testing is performed across all portfolios to identify divergences from the bank’s underwriting criteria in applications approved through the automated process.</w:t>
      </w:r>
    </w:p>
    <w:p>
      <w:pPr>
        <w:spacing w:after="0" w:line="20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In addition, the credit risk group monitored manual approvals during the period from November 2024 through November 2025 for all applications that were initially declined by the automated system. Such monitoring determined that manually approved applications represented less than 0.01% of new applications during such period, which is consistent with the results of prior reviews. Accounts that are approved through the manual review process rather than the automated process, and are therefore considered exceptions, did not meet the bank’s initial underwriting policies for the following reasons: applicants with no or low credit score; missing or invalid applicant information or duplicate applications. The bank determined to include the receivables for which exceptions were identified in the trust portfolio because the fact that the accounts did not meet the bank’s initial underwriting policies would not have a material adverse effect on the trust, and therefore the exceptions do not cause the receivables to be ineligible for sale to the trust. Another compensating factor with respect to these exceptions is that the bank engages in ongoing monitoring of the files and adjusts the credit limits on accounts as necessary based on an updated measure of risk as determined by the behavioral scoring model that is calculated for active accounts.</w:t>
      </w:r>
    </w:p>
    <w:p>
      <w:pPr>
        <w:spacing w:after="0" w:line="2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The bank’s internal audit department also performs annual evaluations and testing of compliance with the bank’s credit card underwriting policy and process guidelines. Such evaluations and testing are designed to provide reasonable assurance that the application process produces credit accounts that comply with the bank’s underwriting policies. The internal audit department’s review of the credit line origination process completed in November 2024 consisted of independent reviews and testing of the automated execution of the credit risk management policies and standards, review of the credit risk group’s monthly testing and monitoring of credit application overrides, and an assessment of the design and operating effectiveness of change management controls for the credit risk management policies and standards. The audit validated that change management controls were functioning as designed. These audits produced no significant observations relating to the bank’s credit underwriting, manual approvals or credit line management processes.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24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 assets securitized by the depositor and held by World Financial Network Credit Card Master Note Trust were the subject of a demand to repurchase or replace for breach of the representations and warranties during the distribution period from November 1, 2025 to November 30,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depositor filed its most recent Form ABS-15G on February 7, 2025. The CIK number of the depositor is 0001139552.</w:t>
      </w:r>
    </w:p>
    <w:p>
      <w:pPr>
        <w:spacing w:after="0" w:line="225" w:lineRule="exact"/>
        <w:rPr>
          <w:sz w:val="20"/>
          <w:szCs w:val="20"/>
          <w:color w:val="auto"/>
        </w:rPr>
      </w:pPr>
    </w:p>
    <w:p>
      <w:pPr>
        <w:ind w:right="420"/>
        <w:spacing w:after="0" w:line="219" w:lineRule="exact"/>
        <w:rPr>
          <w:sz w:val="20"/>
          <w:szCs w:val="20"/>
          <w:color w:val="auto"/>
        </w:rPr>
      </w:pPr>
      <w:r>
        <w:rPr>
          <w:rFonts w:ascii="Times New Roman" w:cs="Times New Roman" w:eastAsia="Times New Roman" w:hAnsi="Times New Roman"/>
          <w:sz w:val="18"/>
          <w:szCs w:val="18"/>
          <w:color w:val="auto"/>
        </w:rPr>
        <w:t xml:space="preserve">Are there any material modifications, extensions or waivers to pool asset terms, fees, penalties or payments during the distribution period or that have cumulatively become material over time?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Are there any material breaches of pool asset representations and warranties or transaction covenants?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Are there any material changes in the solicitation, credit-granting, underwriting, origination or pool selection criteria or procedures?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ind w:right="180"/>
        <w:spacing w:after="0" w:line="219" w:lineRule="exact"/>
        <w:rPr>
          <w:sz w:val="20"/>
          <w:szCs w:val="20"/>
          <w:color w:val="auto"/>
        </w:rPr>
      </w:pPr>
      <w:r>
        <w:rPr>
          <w:rFonts w:ascii="Times New Roman" w:cs="Times New Roman" w:eastAsia="Times New Roman" w:hAnsi="Times New Roman"/>
          <w:sz w:val="18"/>
          <w:szCs w:val="18"/>
          <w:color w:val="auto"/>
        </w:rPr>
        <w:t xml:space="preserve">For each of Series 2023-A, Series 2024-A, and Series 2024-B is the applicable Portfolio Yield averaged over any three consecutive Monthly Periods less than the applicable Base Rate averaged over such period?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180"/>
        <w:spacing w:after="0" w:line="205" w:lineRule="exact"/>
        <w:rPr>
          <w:sz w:val="20"/>
          <w:szCs w:val="20"/>
          <w:color w:val="auto"/>
        </w:rPr>
      </w:pPr>
      <w:r>
        <w:rPr>
          <w:rFonts w:ascii="Times New Roman" w:cs="Times New Roman" w:eastAsia="Times New Roman" w:hAnsi="Times New Roman"/>
          <w:sz w:val="18"/>
          <w:szCs w:val="18"/>
          <w:color w:val="auto"/>
        </w:rPr>
        <w:t xml:space="preserve">Was the depositor required to designate additional accounts during the distribution period because: (i) the average Transferor Amount was less than the average Minimum Transferor Amount during any period of 30 consecutive days or (ii) the aggregate amount of principal receivables plus amounts in the Excess Funding Account was less than the Required Principal Balance on any business day during the distribution period?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00"/>
          </w:cols>
          <w:pgMar w:left="320" w:top="985"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1A. Asset-Level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Asset Representations Reviewer and Investor Communication.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Sales of Securities and Use of Proceeds.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Change in Sponsor Interest in the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3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9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300" w:type="dxa"/>
            <w:vAlign w:val="bottom"/>
          </w:tcPr>
          <w:p>
            <w:pPr>
              <w:spacing w:after="0"/>
              <w:rPr>
                <w:sz w:val="16"/>
                <w:szCs w:val="16"/>
                <w:color w:val="auto"/>
              </w:rPr>
            </w:pPr>
          </w:p>
        </w:tc>
        <w:tc>
          <w:tcPr>
            <w:tcW w:w="9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Monthly Noteholder’s Statement for World Financial Network Credit Card Master Note Trust, Series 2023-A, Series 2024-A,</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Series 2024-B for the December 15, 2025 Payment Date.</w:t>
            </w:r>
          </w:p>
        </w:tc>
        <w:tc>
          <w:tcPr>
            <w:tcW w:w="0" w:type="dxa"/>
            <w:vAlign w:val="bottom"/>
          </w:tcPr>
          <w:p>
            <w:pPr>
              <w:spacing w:after="0"/>
              <w:rPr>
                <w:sz w:val="1"/>
                <w:szCs w:val="1"/>
                <w:color w:val="auto"/>
              </w:rPr>
            </w:pPr>
          </w:p>
        </w:tc>
      </w:tr>
    </w:tbl>
    <w:p>
      <w:pPr>
        <w:sectPr>
          <w:pgSz w:w="11900" w:h="16838" w:orient="portrait"/>
          <w:cols w:equalWidth="0" w:num="1">
            <w:col w:w="10420"/>
          </w:cols>
          <w:pgMar w:left="320" w:top="1224" w:right="11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474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w w:val="98"/>
              </w:rPr>
              <w:t>WFN Credit Company, LLC, as depositor</w:t>
            </w:r>
          </w:p>
        </w:tc>
      </w:tr>
      <w:tr>
        <w:trPr>
          <w:trHeight w:val="62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15, 2025</w:t>
            </w:r>
          </w:p>
        </w:tc>
        <w:tc>
          <w:tcPr>
            <w:tcW w:w="23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 Wai Chung</w:t>
            </w:r>
          </w:p>
        </w:tc>
        <w:tc>
          <w:tcPr>
            <w:tcW w:w="1400" w:type="dxa"/>
            <w:vAlign w:val="bottom"/>
          </w:tcPr>
          <w:p>
            <w:pPr>
              <w:spacing w:after="0"/>
              <w:rPr>
                <w:sz w:val="24"/>
                <w:szCs w:val="24"/>
                <w:color w:val="auto"/>
              </w:rPr>
            </w:pPr>
          </w:p>
        </w:tc>
      </w:tr>
      <w:tr>
        <w:trPr>
          <w:trHeight w:val="245"/>
        </w:trPr>
        <w:tc>
          <w:tcPr>
            <w:tcW w:w="3440" w:type="dxa"/>
            <w:vAlign w:val="bottom"/>
          </w:tcPr>
          <w:p>
            <w:pPr>
              <w:spacing w:after="0"/>
              <w:rPr>
                <w:sz w:val="21"/>
                <w:szCs w:val="21"/>
                <w:color w:val="auto"/>
              </w:rPr>
            </w:pPr>
          </w:p>
        </w:tc>
        <w:tc>
          <w:tcPr>
            <w:tcW w:w="23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Name: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 Chung</w:t>
            </w:r>
          </w:p>
        </w:tc>
      </w:tr>
      <w:tr>
        <w:trPr>
          <w:trHeight w:val="234"/>
        </w:trPr>
        <w:tc>
          <w:tcPr>
            <w:tcW w:w="3440" w:type="dxa"/>
            <w:vAlign w:val="bottom"/>
          </w:tcPr>
          <w:p>
            <w:pPr>
              <w:spacing w:after="0"/>
              <w:rPr>
                <w:sz w:val="20"/>
                <w:szCs w:val="20"/>
                <w:color w:val="auto"/>
              </w:rPr>
            </w:pPr>
          </w:p>
        </w:tc>
        <w:tc>
          <w:tcPr>
            <w:tcW w:w="23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Title: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w:t>
            </w:r>
          </w:p>
        </w:tc>
      </w:tr>
    </w:tbl>
    <w:p>
      <w:pPr>
        <w:sectPr>
          <w:pgSz w:w="11900" w:h="16838" w:orient="portrait"/>
          <w:cols w:equalWidth="0" w:num="1">
            <w:col w:w="11240"/>
          </w:cols>
          <w:pgMar w:left="320" w:top="98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437"/>
        </w:trPr>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3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9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300" w:type="dxa"/>
            <w:vAlign w:val="bottom"/>
          </w:tcPr>
          <w:p>
            <w:pPr>
              <w:spacing w:after="0"/>
              <w:rPr>
                <w:sz w:val="16"/>
                <w:szCs w:val="16"/>
                <w:color w:val="auto"/>
              </w:rPr>
            </w:pPr>
          </w:p>
        </w:tc>
        <w:tc>
          <w:tcPr>
            <w:tcW w:w="9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Monthly Noteholder’s Statement for World Financial Network Credit Card Master Note Trust, Series 2023-A, Series 2024-A,</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Series 2024-B for the December 15, 2025 Payment Date.</w:t>
            </w:r>
          </w:p>
        </w:tc>
        <w:tc>
          <w:tcPr>
            <w:tcW w:w="0" w:type="dxa"/>
            <w:vAlign w:val="bottom"/>
          </w:tcPr>
          <w:p>
            <w:pPr>
              <w:spacing w:after="0"/>
              <w:rPr>
                <w:sz w:val="1"/>
                <w:szCs w:val="1"/>
                <w:color w:val="auto"/>
              </w:rPr>
            </w:pPr>
          </w:p>
        </w:tc>
      </w:tr>
    </w:tbl>
    <w:p>
      <w:pPr>
        <w:sectPr>
          <w:pgSz w:w="11900" w:h="16838" w:orient="portrait"/>
          <w:cols w:equalWidth="0" w:num="1">
            <w:col w:w="10420"/>
          </w:cols>
          <w:pgMar w:left="320" w:top="981" w:right="115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Pursuant to the Master Indenture, dated as of August 1, 2001 (as amended and supplemented, the "Indenture"), between World Financial Network Credit Card Master Note Trust (the "Issuer") and U.S. Bank National Association, as indenture trustee (the "Indenture Trustee"), as supplemented by the Series 2023-A Indenture Supplement, dated as of May 16, 2023, the Series 2024-A Indenture Supplement dated as of May 15, 2024, and the Series 2024-B Indenture Supplement dated as of August 13, 2024 (each an "Indenture Supplement"), Comenity Bank, as Servicer (the "Servicer") under the Transfer and Servicing Agreement, dated as of August 1, 2001 (as amended, the "Transferor and Servicing Agreement"), among the Servicer, WFN Credit Company, LLC, as Transferor, and the Issuer, is required to prepare certain information each month regarding current distributions to the Noteholders and the performance of the Trust during the previous month.</w:t>
      </w:r>
    </w:p>
    <w:p>
      <w:pPr>
        <w:spacing w:after="0" w:line="215"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4"/>
          <w:szCs w:val="14"/>
          <w:color w:val="auto"/>
        </w:rPr>
        <w:t>The information required to be prepared with respect to the Distribution Date of December 15, 2025 and with respect to the performance of the Trust during the month of November 2025 is set forth below. Capitalized terms herein are defined in the Indenture and the Indenture Supplements.</w:t>
      </w:r>
    </w:p>
    <w:p>
      <w:pPr>
        <w:spacing w:after="0" w:line="200" w:lineRule="exact"/>
        <w:rPr>
          <w:sz w:val="20"/>
          <w:szCs w:val="20"/>
          <w:color w:val="auto"/>
        </w:rPr>
      </w:pP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61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Monthly Period:</w:t>
            </w: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Nov-25</w:t>
            </w:r>
          </w:p>
        </w:tc>
        <w:tc>
          <w:tcPr>
            <w:tcW w:w="220" w:type="dxa"/>
            <w:vAlign w:val="bottom"/>
          </w:tcPr>
          <w:p>
            <w:pPr>
              <w:spacing w:after="0"/>
              <w:rPr>
                <w:sz w:val="18"/>
                <w:szCs w:val="18"/>
                <w:color w:val="auto"/>
              </w:rPr>
            </w:pPr>
          </w:p>
        </w:tc>
        <w:tc>
          <w:tcPr>
            <w:tcW w:w="14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No. of Days in Period:</w:t>
            </w:r>
          </w:p>
        </w:tc>
        <w:tc>
          <w:tcPr>
            <w:tcW w:w="1680" w:type="dxa"/>
            <w:vAlign w:val="bottom"/>
            <w:tcBorders>
              <w:top w:val="single" w:sz="8" w:color="auto"/>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r>
      <w:tr>
        <w:trPr>
          <w:trHeight w:val="195"/>
        </w:trPr>
        <w:tc>
          <w:tcPr>
            <w:tcW w:w="61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Determination Date:</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12/11/2025</w:t>
            </w:r>
          </w:p>
        </w:tc>
        <w:tc>
          <w:tcPr>
            <w:tcW w:w="22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No. of Days in Month:</w:t>
            </w:r>
          </w:p>
        </w:tc>
        <w:tc>
          <w:tcPr>
            <w:tcW w:w="168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r>
      <w:tr>
        <w:trPr>
          <w:trHeight w:val="196"/>
        </w:trPr>
        <w:tc>
          <w:tcPr>
            <w:tcW w:w="61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12/15/2025</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8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11/30/2025</w:t>
            </w:r>
          </w:p>
        </w:tc>
      </w:tr>
      <w:tr>
        <w:trPr>
          <w:trHeight w:val="270"/>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 DEAL PARAMETERS</w:t>
            </w:r>
          </w:p>
        </w:tc>
        <w:tc>
          <w:tcPr>
            <w:tcW w:w="168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220" w:type="dxa"/>
            <w:vAlign w:val="bottom"/>
          </w:tcPr>
          <w:p>
            <w:pPr>
              <w:spacing w:after="0"/>
              <w:rPr>
                <w:sz w:val="23"/>
                <w:szCs w:val="23"/>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360" w:type="dxa"/>
            <w:vAlign w:val="bottom"/>
          </w:tcPr>
          <w:p>
            <w:pPr>
              <w:spacing w:after="0"/>
              <w:rPr>
                <w:sz w:val="23"/>
                <w:szCs w:val="23"/>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8"/>
              </w:rPr>
              <w:t>Series 2024-B</w:t>
            </w:r>
          </w:p>
        </w:tc>
      </w:tr>
      <w:tr>
        <w:trPr>
          <w:trHeight w:val="28"/>
        </w:trPr>
        <w:tc>
          <w:tcPr>
            <w:tcW w:w="5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5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0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Class A Initial Note Principal Balance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$350,000,000.00</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$500,000,000.00</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$500,000,000.00</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 Class M Initial Note Principal Balance</w:t>
            </w:r>
          </w:p>
        </w:tc>
        <w:tc>
          <w:tcPr>
            <w:tcW w:w="16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$31,165,000.00</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$44,521,000.00</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Class B Initial Note Principal Balance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$17,980,000.00</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$25,685,000.00</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$0.00</w:t>
            </w:r>
          </w:p>
        </w:tc>
      </w:tr>
      <w:tr>
        <w:trPr>
          <w:trHeight w:val="196"/>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 Class C Initial Note Principal Balance</w:t>
            </w:r>
          </w:p>
        </w:tc>
        <w:tc>
          <w:tcPr>
            <w:tcW w:w="16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5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 Total Initial Note Principal Balance</w:t>
            </w:r>
          </w:p>
        </w:tc>
        <w:tc>
          <w:tcPr>
            <w:tcW w:w="340" w:type="dxa"/>
            <w:vAlign w:val="bottom"/>
            <w:tcBorders>
              <w:top w:val="single" w:sz="8" w:color="auto"/>
              <w:right w:val="single" w:sz="8" w:color="CCEEFF"/>
            </w:tcBorders>
            <w:shd w:val="clear" w:color="auto" w:fill="CCEEFF"/>
          </w:tcPr>
          <w:p>
            <w:pPr>
              <w:spacing w:after="0"/>
              <w:rPr>
                <w:sz w:val="17"/>
                <w:szCs w:val="17"/>
                <w:color w:val="auto"/>
              </w:rPr>
            </w:pPr>
          </w:p>
        </w:tc>
        <w:tc>
          <w:tcPr>
            <w:tcW w:w="1680" w:type="dxa"/>
            <w:vAlign w:val="bottom"/>
            <w:tcBorders>
              <w:top w:val="single" w:sz="8" w:color="auto"/>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$399,145,000.00</w:t>
            </w:r>
          </w:p>
        </w:tc>
        <w:tc>
          <w:tcPr>
            <w:tcW w:w="1660" w:type="dxa"/>
            <w:vAlign w:val="bottom"/>
            <w:tcBorders>
              <w:top w:val="single" w:sz="8" w:color="auto"/>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$570,206,000.00</w:t>
            </w:r>
          </w:p>
        </w:tc>
        <w:tc>
          <w:tcPr>
            <w:tcW w:w="1680" w:type="dxa"/>
            <w:vAlign w:val="bottom"/>
            <w:tcBorders>
              <w:top w:val="single" w:sz="8" w:color="auto"/>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$500,000,000.00</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 Initial Excess Collateral Amount</w:t>
            </w:r>
          </w:p>
        </w:tc>
        <w:tc>
          <w:tcPr>
            <w:tcW w:w="16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$80,309,000.00</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$114,727,000.00</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$184,932,000.00</w:t>
            </w:r>
          </w:p>
        </w:tc>
      </w:tr>
      <w:tr>
        <w:trPr>
          <w:trHeight w:val="277"/>
        </w:trPr>
        <w:tc>
          <w:tcPr>
            <w:tcW w:w="5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 Class A Initial Note Principal Balance %</w:t>
            </w:r>
          </w:p>
        </w:tc>
        <w:tc>
          <w:tcPr>
            <w:tcW w:w="16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73.00 %</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73.00 %</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73.00 %</w:t>
            </w: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 Class M Initial Note Principal Balance %</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6.50 %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6.50 %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 Class B Initial Note Principal Balance %</w:t>
            </w:r>
          </w:p>
        </w:tc>
        <w:tc>
          <w:tcPr>
            <w:tcW w:w="16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3.75 %</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3.75 %</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0.00 %</w:t>
            </w: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Class C Initial Note Principal Balance %, if applicable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0.00 %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0.00 %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(k) Excess Collateral Amount %</w:t>
            </w:r>
          </w:p>
        </w:tc>
        <w:tc>
          <w:tcPr>
            <w:tcW w:w="16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16.75 %</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16.75 %</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27.00 %</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spacing w:after="0"/>
              <w:rPr>
                <w:sz w:val="19"/>
                <w:szCs w:val="19"/>
                <w:color w:val="auto"/>
              </w:rPr>
            </w:pP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 Required Retained Transferor Percentage</w:t>
            </w:r>
          </w:p>
        </w:tc>
        <w:tc>
          <w:tcPr>
            <w:tcW w:w="16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4.00 %</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4.00 %</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4.00 %</w:t>
            </w: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 Additional Minimum Transferor % (2% Nov-Jan; 0% otherwise)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2.00 %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2.00 %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2.00 %</w:t>
            </w: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2"/>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 Class A Note Interest Rate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5.02 %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5.47 %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4.62 %</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 Class A Swap Rate, if applicable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 Class A Swap Rate plus Spread, if applicable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(q) Class A Margin, if applicable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77"/>
        </w:trPr>
        <w:tc>
          <w:tcPr>
            <w:tcW w:w="5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 Class M Note Interest Rate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5.27 %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0.00 %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 Class M Swap Rate, if applicable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 Class M Swap Rate plus Spread, if applicable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 Class B Note Interest Rate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0.00 %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0.00 %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 Class B Swap Rate, if applicable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 Class B Swap Rate plus Spread, if applicable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 Class C Note Interest Rate, if applicable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0.00 %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0.00 %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(y) Class C Swap Rate, if applicable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 Class C Swap Rate plus Spread, if applicable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 Servicing Fee Percentage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2.00 %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2.00 %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2.00 %</w:t>
            </w:r>
          </w:p>
        </w:tc>
      </w:tr>
    </w:tbl>
    <w:p>
      <w:pPr>
        <w:sectPr>
          <w:pgSz w:w="11900" w:h="16838" w:orient="portrait"/>
          <w:cols w:equalWidth="0" w:num="1">
            <w:col w:w="11260"/>
          </w:cols>
          <w:pgMar w:left="320" w:top="117"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II. COLLATERAL AMOUNTS AND ALLOCATION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6175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7595" cy="17145"/>
                    </a:xfrm>
                    <a:prstGeom prst="rect">
                      <a:avLst/>
                    </a:prstGeom>
                    <a:noFill/>
                  </pic:spPr>
                </pic:pic>
              </a:graphicData>
            </a:graphic>
          </wp:anchor>
        </w:drawing>
      </w:r>
    </w:p>
    <w:p>
      <w:pPr>
        <w:spacing w:after="0" w:line="253" w:lineRule="exact"/>
        <w:rPr>
          <w:sz w:val="20"/>
          <w:szCs w:val="20"/>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Collateral Amount</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Excess Collateral Amount</w:t>
      </w:r>
    </w:p>
    <w:p>
      <w:pPr>
        <w:spacing w:after="0" w:line="257"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Payments made to Noteholders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Accumulation Account Balances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Unreimbursed Investor Charge-offs and Reallocated Principal Collections</w:t>
      </w:r>
    </w:p>
    <w:p>
      <w:pPr>
        <w:spacing w:after="0" w:line="257"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Amount - End of Current Monthly Period</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Excess Collateral Amount - End of Current Monthly Period</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Excess Collateral Amount</w:t>
      </w:r>
    </w:p>
    <w:p>
      <w:pPr>
        <w:spacing w:after="0" w:line="257"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Class A Note Principal Balance</w:t>
      </w:r>
    </w:p>
    <w:p>
      <w:pPr>
        <w:spacing w:after="0" w:line="41"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Class M Note Principal Balance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Class B Note Principal Balance</w:t>
      </w:r>
    </w:p>
    <w:p>
      <w:pPr>
        <w:spacing w:after="0" w:line="41"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Class C Note Principal Balance, if applicable</w:t>
      </w:r>
    </w:p>
    <w:p>
      <w:pPr>
        <w:spacing w:after="0" w:line="55" w:lineRule="exact"/>
        <w:rPr>
          <w:rFonts w:ascii="Times New Roman" w:cs="Times New Roman" w:eastAsia="Times New Roman" w:hAnsi="Times New Roman"/>
          <w:sz w:val="14"/>
          <w:szCs w:val="14"/>
          <w:color w:val="auto"/>
        </w:rPr>
      </w:pPr>
    </w:p>
    <w:p>
      <w:pPr>
        <w:ind w:left="260" w:hanging="23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Beginning Note Principal Balance</w:t>
      </w:r>
    </w:p>
    <w:p>
      <w:pPr>
        <w:spacing w:after="0" w:line="244"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Class A Note Principal Balance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Class M Note Principal Balance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Class B Note Principal Balance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Class C Note Principal Balance, if applicable</w:t>
      </w:r>
    </w:p>
    <w:p>
      <w:pPr>
        <w:spacing w:after="0" w:line="55"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Ending Note Principal Balance</w:t>
      </w:r>
    </w:p>
    <w:p>
      <w:pPr>
        <w:spacing w:after="0" w:line="257"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Percentage- Finance Charges Collections and Default Amounts</w:t>
      </w:r>
    </w:p>
    <w:p>
      <w:pPr>
        <w:spacing w:after="0" w:line="257"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Percentage- Principal Collections</w:t>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III. RECEIVABLES IN THE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9747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747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5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0"/>
        </w:trPr>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9"/>
        </w:trPr>
        <w:tc>
          <w:tcPr>
            <w:tcW w:w="460" w:type="dxa"/>
            <w:vAlign w:val="bottom"/>
          </w:tcPr>
          <w:p>
            <w:pPr>
              <w:spacing w:after="0"/>
              <w:rPr>
                <w:sz w:val="24"/>
                <w:szCs w:val="24"/>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$479,454,000.00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$684,933,000.00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$684,932,000.00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$80,309,000.00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$114,727,000.00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418"/>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419"/>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$479,454,000.00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$684,933,000.00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$684,932,000.00</w:t>
            </w:r>
          </w:p>
        </w:tc>
      </w:tr>
      <w:tr>
        <w:trPr>
          <w:trHeight w:val="202"/>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$80,309,000.00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$114,727,000.00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$80,309,000.00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$114,727,000.00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419"/>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$350,000,000.00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$500,000,000.00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$31,165,000.00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$44,521,000.00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$17,980,000.00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$25,685,000.00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2"/>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$399,145,000.00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$570,206,000.00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396"/>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$350,000,000.00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$500,000,000.00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$31,165,000.00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$44,521,000.00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$17,980,000.00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$25,685,000.00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2"/>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$399,145,000.00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$570,206,000.00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409"/>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9.39 %</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13.41 %</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13.41 %</w:t>
            </w:r>
          </w:p>
        </w:tc>
      </w:tr>
      <w:tr>
        <w:trPr>
          <w:trHeight w:val="418"/>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9.38 %</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13.41 %</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-3387725</wp:posOffset>
            </wp:positionV>
            <wp:extent cx="705485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-3130550</wp:posOffset>
            </wp:positionV>
            <wp:extent cx="705485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-2865120</wp:posOffset>
            </wp:positionV>
            <wp:extent cx="705485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-2607945</wp:posOffset>
            </wp:positionV>
            <wp:extent cx="705485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-2341880</wp:posOffset>
            </wp:positionV>
            <wp:extent cx="7054850"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12827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-2084705</wp:posOffset>
            </wp:positionV>
            <wp:extent cx="70548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-1818640</wp:posOffset>
            </wp:positionV>
            <wp:extent cx="705485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-1561465</wp:posOffset>
            </wp:positionV>
            <wp:extent cx="705485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-1296035</wp:posOffset>
            </wp:positionV>
            <wp:extent cx="705485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-1038860</wp:posOffset>
            </wp:positionV>
            <wp:extent cx="705485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-781685</wp:posOffset>
            </wp:positionV>
            <wp:extent cx="705485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-515620</wp:posOffset>
            </wp:positionV>
            <wp:extent cx="70548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-250190</wp:posOffset>
            </wp:positionV>
            <wp:extent cx="70548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spacing w:after="0" w:line="737" w:lineRule="exact"/>
        <w:rPr>
          <w:sz w:val="20"/>
          <w:szCs w:val="20"/>
          <w:color w:val="auto"/>
        </w:rPr>
      </w:pPr>
    </w:p>
    <w:p>
      <w:pPr>
        <w:sectPr>
          <w:pgSz w:w="11900" w:h="16838" w:orient="portrait"/>
          <w:cols w:equalWidth="0" w:num="2">
            <w:col w:w="5060" w:space="720"/>
            <w:col w:w="5460"/>
          </w:cols>
          <w:pgMar w:left="320" w:top="117" w:right="339" w:bottom="1440" w:gutter="0" w:footer="0" w:header="0"/>
          <w:type w:val="continuous"/>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Beginning of the Month Principal Receivables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$5,123,516,442.22</w:t>
            </w: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 Collection of Principal Receivables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$644,626,349.18</w:t>
            </w:r>
          </w:p>
        </w:tc>
      </w:tr>
      <w:tr>
        <w:trPr>
          <w:trHeight w:val="195"/>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 Defaulted Receivables (principal charge-offs):</w:t>
            </w:r>
          </w:p>
        </w:tc>
        <w:tc>
          <w:tcPr>
            <w:tcW w:w="4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$38,392,307.54</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Dilution (Principal net of Debit Adjustments):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$62,952,486.65</w:t>
            </w:r>
          </w:p>
        </w:tc>
      </w:tr>
      <w:tr>
        <w:trPr>
          <w:trHeight w:val="195"/>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 Sales (principal receivables generated):</w:t>
            </w:r>
          </w:p>
        </w:tc>
        <w:tc>
          <w:tcPr>
            <w:tcW w:w="4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$834,179,674.97</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Net (Removal)/Addition of Principal Receivables: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End of Month Principal Receivables (a - b - c - d + e + f)</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$5,211,724,973.82</w:t>
            </w: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 Recoveries of previously Charged-off Receivables: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$8,021,929.26</w:t>
            </w: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 Beginning of the Month Finance Charge Receivables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$554,664,152.47</w:t>
            </w:r>
          </w:p>
        </w:tc>
      </w:tr>
      <w:tr>
        <w:trPr>
          <w:trHeight w:val="188"/>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 End of the Month Finance Charge Receivables</w:t>
            </w:r>
          </w:p>
        </w:tc>
        <w:tc>
          <w:tcPr>
            <w:tcW w:w="4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$584,799,832.76</w:t>
            </w:r>
          </w:p>
        </w:tc>
      </w:tr>
    </w:tbl>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MONTHLY NOTEHOLDER'S STATEMENT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WORLD FINANCIAL NETWORK CREDIT CARD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854"/>
        </w:trPr>
        <w:tc>
          <w:tcPr>
            <w:tcW w:w="20" w:type="dxa"/>
            <w:vAlign w:val="bottom"/>
          </w:tcPr>
          <w:p>
            <w:pPr>
              <w:spacing w:after="0"/>
              <w:rPr>
                <w:sz w:val="24"/>
                <w:szCs w:val="24"/>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IV.RECEIVABLES PERFORMANCE SUMMARY</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351"/>
        </w:trPr>
        <w:tc>
          <w:tcPr>
            <w:tcW w:w="20" w:type="dxa"/>
            <w:vAlign w:val="bottom"/>
          </w:tcPr>
          <w:p>
            <w:pPr>
              <w:spacing w:after="0"/>
              <w:rPr>
                <w:sz w:val="24"/>
                <w:szCs w:val="24"/>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COLLECTIONS: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 Collections of Principal Receivables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80" w:type="dxa"/>
            <w:vAlign w:val="bottom"/>
            <w:gridSpan w:val="5"/>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$644,626,349.18</w:t>
            </w: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 Collections of Finance Charge Receivables</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$135,898,898.56</w:t>
            </w: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 Total Collections (a+b).</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$780,525,247.74</w:t>
            </w:r>
          </w:p>
        </w:tc>
      </w:tr>
      <w:tr>
        <w:trPr>
          <w:trHeight w:val="188"/>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Monthly Payment Rate (% of Beginning Principal Receivables)</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15.23 %</w:t>
            </w:r>
          </w:p>
        </w:tc>
      </w:tr>
      <w:tr>
        <w:trPr>
          <w:trHeight w:val="284"/>
        </w:trPr>
        <w:tc>
          <w:tcPr>
            <w:tcW w:w="20" w:type="dxa"/>
            <w:vAlign w:val="bottom"/>
          </w:tcPr>
          <w:p>
            <w:pPr>
              <w:spacing w:after="0"/>
              <w:rPr>
                <w:sz w:val="24"/>
                <w:szCs w:val="24"/>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DELINQUENCIES AND LOSSES:</w:t>
            </w:r>
          </w:p>
        </w:tc>
        <w:tc>
          <w:tcPr>
            <w:tcW w:w="4500" w:type="dxa"/>
            <w:vAlign w:val="bottom"/>
          </w:tcPr>
          <w:p>
            <w:pPr>
              <w:spacing w:after="0"/>
              <w:rPr>
                <w:sz w:val="24"/>
                <w:szCs w:val="24"/>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PRINCIPAL</w:t>
            </w:r>
          </w:p>
        </w:tc>
        <w:tc>
          <w:tcPr>
            <w:tcW w:w="17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color w:val="auto"/>
              </w:rPr>
              <w:t>% OF PRINCIPAL</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End of the month delinquencies:</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w w:val="96"/>
              </w:rPr>
              <w:t>RECEIVABLES</w:t>
            </w:r>
          </w:p>
        </w:tc>
        <w:tc>
          <w:tcPr>
            <w:tcW w:w="174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color w:val="auto"/>
              </w:rPr>
              <w:t>RECEIVABLES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ACCOUNTS</w:t>
            </w:r>
          </w:p>
        </w:tc>
        <w:tc>
          <w:tcPr>
            <w:tcW w:w="10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OF</w:t>
            </w:r>
          </w:p>
        </w:tc>
      </w:tr>
      <w:tr>
        <w:trPr>
          <w:trHeight w:val="34"/>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 1-30 days delinquent (CA1)</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$186,355,133.83</w:t>
            </w:r>
          </w:p>
        </w:tc>
        <w:tc>
          <w:tcPr>
            <w:tcW w:w="114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3.58%</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214,583</w:t>
            </w:r>
          </w:p>
        </w:tc>
        <w:tc>
          <w:tcPr>
            <w:tcW w:w="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0.58%</w:t>
            </w: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 31-60 days delinquent (CA2)</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$79,448,122.04</w:t>
            </w:r>
          </w:p>
        </w:tc>
        <w:tc>
          <w:tcPr>
            <w:tcW w:w="1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1.52%</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79,068</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0.21%</w:t>
            </w: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 61-90 days delinquent (CA3)</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$63,329,918.68</w:t>
            </w:r>
          </w:p>
        </w:tc>
        <w:tc>
          <w:tcPr>
            <w:tcW w:w="114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1.22%</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56,916</w:t>
            </w:r>
          </w:p>
        </w:tc>
        <w:tc>
          <w:tcPr>
            <w:tcW w:w="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0.15%</w:t>
            </w: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 91-120 days delinquent (CA4)</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$55,819,063.68</w:t>
            </w:r>
          </w:p>
        </w:tc>
        <w:tc>
          <w:tcPr>
            <w:tcW w:w="1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1.07%</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47,212</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0.13%</w:t>
            </w: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 121-150 days delinquent (CA5)</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$42,961,883.41</w:t>
            </w:r>
          </w:p>
        </w:tc>
        <w:tc>
          <w:tcPr>
            <w:tcW w:w="114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0.82%</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37,175</w:t>
            </w:r>
          </w:p>
        </w:tc>
        <w:tc>
          <w:tcPr>
            <w:tcW w:w="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0.10%</w:t>
            </w: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 151+ days delinquent (CA6)</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$37,502,056.83</w:t>
            </w:r>
          </w:p>
        </w:tc>
        <w:tc>
          <w:tcPr>
            <w:tcW w:w="1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0.72%</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32,580</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0.09%</w:t>
            </w: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(k) Total delinquencies (e +f + g + h + i + j)</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$465,416,178.47</w:t>
            </w:r>
          </w:p>
        </w:tc>
        <w:tc>
          <w:tcPr>
            <w:tcW w:w="1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8.93%</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467,534</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1.27%</w:t>
            </w: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 Total 60+ days delinquent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$199,612,922.60</w:t>
            </w:r>
          </w:p>
        </w:tc>
        <w:tc>
          <w:tcPr>
            <w:tcW w:w="1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3.83%</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 Lowest Delinquency Trigger (all series)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9.50%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 Investor Requests for Communications</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color w:val="auto"/>
              </w:rPr>
              <w:t>None</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6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 Number of Charged-Off Accounts</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33,625</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 Gross Charge-Offs (principal charge-offs):</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$38,392,307.54</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(q) Number of Charged-Off Accounts with Recoveries</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31,246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 Recoveries (includes principal, finance charges and fees)</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$8,021,929.26</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42"/>
        </w:trPr>
        <w:tc>
          <w:tcPr>
            <w:tcW w:w="20" w:type="dxa"/>
            <w:vAlign w:val="bottom"/>
            <w:shd w:val="clear" w:color="auto" w:fill="CCEEFF"/>
          </w:tcPr>
          <w:p>
            <w:pPr>
              <w:spacing w:after="0"/>
              <w:rPr>
                <w:sz w:val="12"/>
                <w:szCs w:val="12"/>
                <w:color w:val="auto"/>
              </w:rPr>
            </w:pPr>
          </w:p>
        </w:tc>
        <w:tc>
          <w:tcPr>
            <w:tcW w:w="66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 Gross Principal Charge-Off Rate</w:t>
            </w: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Total Principal Receivables - End of Monthly Period) - annualized</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 Current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8.84 %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(ii) Prior Monthly Period</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8.95 %</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(iii) Two Months Prior Monthly Period</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8.22 %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(iv) Three Months Prior Monthly Period</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9.10 %</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 Three -Month Average</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8.67 %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(vi) Four-Month Average</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8.78 %</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 Net Principal Charge-Offs (Gross Charge-Offs - recoveries)</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$30,370,378.28</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42"/>
        </w:trPr>
        <w:tc>
          <w:tcPr>
            <w:tcW w:w="20" w:type="dxa"/>
            <w:vAlign w:val="bottom"/>
            <w:shd w:val="clear" w:color="auto" w:fill="CCEEFF"/>
          </w:tcPr>
          <w:p>
            <w:pPr>
              <w:spacing w:after="0"/>
              <w:rPr>
                <w:sz w:val="12"/>
                <w:szCs w:val="12"/>
                <w:color w:val="auto"/>
              </w:rPr>
            </w:pPr>
          </w:p>
        </w:tc>
        <w:tc>
          <w:tcPr>
            <w:tcW w:w="66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(u) Net Principal Charge-Off Rate</w:t>
            </w: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Total Principal Receivables - End of Monthly Period) - annualized</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 Current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6.99 %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(ii) Prior Monthly Period</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7.20 %</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(iii) Two Months Prior Monthly Period</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6.42 %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(iv) Three Months Prior Monthly Period</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7.27 %</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 Three -Month Average</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6.87 %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(vi) Four-Month Average</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6.97 %</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 Average Net Charge Off (net principal charge-offs/number of charged-off accounts)</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$903.21</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V. TRANSFEROR INTEREST AND SELLER'S INTEREST</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(a) Required Retained Transferor Percentage</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4.00 %</w:t>
            </w: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(b) Additional Minimum Transferor Percentage (2% Nov-Jan; 0% otherwise)</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2.00 %</w:t>
            </w:r>
          </w:p>
        </w:tc>
      </w:tr>
      <w:tr>
        <w:trPr>
          <w:trHeight w:val="223"/>
        </w:trPr>
        <w:tc>
          <w:tcPr>
            <w:tcW w:w="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 Beginning Transferor's Amount</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$1,867,252,997.78</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 Ending Transferor's Amount (including Excess Funding/Principal Accounts)</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$1,851,294,862.71</w:t>
            </w: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 Minimum Transferor's Amount</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$312,703,498.43</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(f) Excess Funding Account Balance at end of Monthly Period</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(g) Collections and Principal Accounts Balance at end of Monthly Period</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(h) Sum of Principal Receivables, Excess Funding, Collections and Principal Accounts</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$5,211,724,973.82</w:t>
            </w: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 Required Seller's Interest (as of the most recent RR measurement date)</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$123,458,250.00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(j) Seller's Interest (as of the most recent RR measurement date)</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$2,654,373,973.82</w:t>
            </w:r>
          </w:p>
        </w:tc>
      </w:tr>
      <w:tr>
        <w:trPr>
          <w:trHeight w:val="770"/>
        </w:trPr>
        <w:tc>
          <w:tcPr>
            <w:tcW w:w="20" w:type="dxa"/>
            <w:vAlign w:val="bottom"/>
          </w:tcPr>
          <w:p>
            <w:pPr>
              <w:spacing w:after="0"/>
              <w:rPr>
                <w:sz w:val="24"/>
                <w:szCs w:val="24"/>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VI. TRUST ACCOUNT BALANCES AND EARNINGS</w:t>
            </w:r>
          </w:p>
        </w:tc>
        <w:tc>
          <w:tcPr>
            <w:tcW w:w="218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0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3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8"/>
        </w:trPr>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48"/>
        </w:trPr>
        <w:tc>
          <w:tcPr>
            <w:tcW w:w="20" w:type="dxa"/>
            <w:vAlign w:val="bottom"/>
          </w:tcPr>
          <w:p>
            <w:pPr>
              <w:spacing w:after="0"/>
              <w:rPr>
                <w:sz w:val="12"/>
                <w:szCs w:val="12"/>
                <w:color w:val="auto"/>
              </w:rPr>
            </w:pPr>
          </w:p>
        </w:tc>
        <w:tc>
          <w:tcPr>
            <w:tcW w:w="5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BEGINNING ACCOUNT BALANCES:</w:t>
            </w: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50"/>
        </w:trPr>
        <w:tc>
          <w:tcPr>
            <w:tcW w:w="20" w:type="dxa"/>
            <w:vAlign w:val="bottom"/>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(a) Finance Charge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$6,387,183.39</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$9,312,034.50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$8,957,857.57</w:t>
            </w:r>
          </w:p>
        </w:tc>
        <w:tc>
          <w:tcPr>
            <w:tcW w:w="1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(b) Cash Collateral Account, if applicable</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 Spread Account, if applicable</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 Reserve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 Principal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 Principal Accumulation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5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ENDING ACCOUNT BALANCES:</w:t>
            </w: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(g) Finance Charge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$8,787,419.07</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$9,889,905.81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$9,535,728.03</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(h) Cash Collateral Account, if applicable</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 Spread Account, if applicable</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(j) Reserve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(k) Principal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(l) Principal Accumulation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83"/>
        </w:trPr>
        <w:tc>
          <w:tcPr>
            <w:tcW w:w="20" w:type="dxa"/>
            <w:vAlign w:val="bottom"/>
            <w:shd w:val="clear" w:color="auto" w:fill="CCEEFF"/>
          </w:tcPr>
          <w:p>
            <w:pPr>
              <w:spacing w:after="0"/>
              <w:rPr>
                <w:sz w:val="15"/>
                <w:szCs w:val="15"/>
                <w:color w:val="auto"/>
              </w:rPr>
            </w:pPr>
          </w:p>
        </w:tc>
        <w:tc>
          <w:tcPr>
            <w:tcW w:w="596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AND EARNINGS:</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(m) Interest and Earnings on Finance Charge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$23,743.63</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$31,945.14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$31,045.25</w:t>
            </w:r>
          </w:p>
        </w:tc>
        <w:tc>
          <w:tcPr>
            <w:tcW w:w="1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 Interest and Earnings on Cash Collateral Account, if applicable</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 Interest and Earnings on Spread Account, if applicable</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 Interest and Earnings on Reserve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(q) Interest and Earnings on Principal Accumulation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 Interest and Earnings on Principal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(s) Interest and Earnings on Collection Account (allocated)</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$7.57</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$10.82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$10.82</w:t>
            </w:r>
          </w:p>
        </w:tc>
        <w:tc>
          <w:tcPr>
            <w:tcW w:w="120" w:type="dxa"/>
            <w:vAlign w:val="bottom"/>
          </w:tcPr>
          <w:p>
            <w:pPr>
              <w:spacing w:after="0"/>
              <w:rPr>
                <w:sz w:val="18"/>
                <w:szCs w:val="18"/>
                <w:color w:val="auto"/>
              </w:rPr>
            </w:pPr>
          </w:p>
        </w:tc>
      </w:tr>
    </w:tbl>
    <w:p>
      <w:pPr>
        <w:sectPr>
          <w:pgSz w:w="11900" w:h="16838" w:orient="portrait"/>
          <w:cols w:equalWidth="0" w:num="1">
            <w:col w:w="11240"/>
          </w:cols>
          <w:pgMar w:left="320" w:top="117" w:right="339" w:bottom="1440" w:gutter="0" w:footer="0" w:header="0"/>
        </w:sectPr>
      </w:pPr>
    </w:p>
    <w:bookmarkStart w:id="15" w:name="page16"/>
    <w:bookmarkEnd w:id="1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VII. ALLOCATION and APPLICATION of COLLECTIONS</w:t>
            </w:r>
          </w:p>
        </w:tc>
        <w:tc>
          <w:tcPr>
            <w:tcW w:w="218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8"/>
        </w:trPr>
        <w:tc>
          <w:tcPr>
            <w:tcW w:w="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r>
      <w:tr>
        <w:trPr>
          <w:trHeight w:val="351"/>
        </w:trPr>
        <w:tc>
          <w:tcPr>
            <w:tcW w:w="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APPLICATIONS OF FINANCE CHARGE COLLECTIONS:</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2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 Floating Allocation of Finance Charges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$12,778,426.79</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$18,252,886.88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$18,251,960.39</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 Class A Monthly Interest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$1,464,166.67</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$2,279,166.67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$1,925,000.00</w:t>
            </w: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 Class A Swap Payment Due to (from) Swap Provider, if applicable</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 Class M Monthly Interest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$136,866.29</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 Class M Swap Payment Due to (from) Swap Provider, if applicable</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 Class B Monthly Interest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 Class B Swap Payment Due to (from) Swap Provider, if applicable</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 Servicing Fee (Collateral Amount*2%/12)</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$799,090.00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$1,141,555.00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$1,141,553.33</w:t>
            </w: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 Class C Monthly Interest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 Class C Swap Payment Due to (from) Swap Provider, if applicable</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 Investor Default Amounts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$3,607,620.29</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$5,153,733.60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$5,153,726.07</w:t>
            </w: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 Uncovered Dilution Amounts</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 Unreimbursed Investor Chargeoffs &amp; Reallocated Principal Collections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 Required to be Deposited into Cash Collateral Account, if applicable</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 Required Reserve Account Amount, if applicable</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$1,995,725.00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 Required to be Deposited into the Spread Account, if applicable</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(q) Required Payments and Deposits Relating to Interest Rate Swaps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 Other Payments Required to be made</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Excess Finance Charge Collections (a-b-c-d-e-f-g-h-i-j-k-l-m-n-o-p-q-r)</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$4,774,958.54</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$9,678,431.61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$10,031,680.99</w:t>
            </w:r>
          </w:p>
        </w:tc>
      </w:tr>
    </w:tbl>
    <w:p>
      <w:pPr>
        <w:sectPr>
          <w:pgSz w:w="11900" w:h="16838" w:orient="portrait"/>
          <w:cols w:equalWidth="0" w:num="1">
            <w:col w:w="11120"/>
          </w:cols>
          <w:pgMar w:left="320" w:top="117" w:right="459" w:bottom="1440" w:gutter="0" w:footer="0" w:header="0"/>
        </w:sectPr>
      </w:pPr>
    </w:p>
    <w:bookmarkStart w:id="16" w:name="page17"/>
    <w:bookmarkEnd w:id="1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APPLICATION OF PRINCIPAL COLLECTIONS:</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Borders>
              <w:top w:val="single" w:sz="8" w:color="auto"/>
            </w:tcBorders>
          </w:tcPr>
          <w:p>
            <w:pPr>
              <w:spacing w:after="0"/>
              <w:rPr>
                <w:sz w:val="15"/>
                <w:szCs w:val="15"/>
                <w:color w:val="auto"/>
              </w:rPr>
            </w:pPr>
          </w:p>
        </w:tc>
        <w:tc>
          <w:tcPr>
            <w:tcW w:w="2980" w:type="dxa"/>
            <w:vAlign w:val="bottom"/>
          </w:tcPr>
          <w:p>
            <w:pPr>
              <w:spacing w:after="0"/>
              <w:rPr>
                <w:sz w:val="15"/>
                <w:szCs w:val="15"/>
                <w:color w:val="auto"/>
              </w:rPr>
            </w:pPr>
          </w:p>
        </w:tc>
        <w:tc>
          <w:tcPr>
            <w:tcW w:w="218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 Investor Principal Collections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$60,496,059.32</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$86,422,779.65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$86,422,653.48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 Less Reallocated Principal Collections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 Plus Shared Principal Collections from other Principal Sharing Series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596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(w) Plus Aggregate amount of Finance Charge Collections applied to cover Defaults and Uncovered</w:t>
            </w:r>
          </w:p>
        </w:tc>
        <w:tc>
          <w:tcPr>
            <w:tcW w:w="2180" w:type="dxa"/>
            <w:vAlign w:val="bottom"/>
            <w:gridSpan w:val="3"/>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$3,607,620.29</w:t>
            </w:r>
          </w:p>
        </w:tc>
        <w:tc>
          <w:tcPr>
            <w:tcW w:w="17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$5,153,733.60</w:t>
            </w:r>
          </w:p>
        </w:tc>
        <w:tc>
          <w:tcPr>
            <w:tcW w:w="1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$5,153,726.07</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and to be treated as Available Principal Collections</w:t>
            </w:r>
          </w:p>
        </w:tc>
        <w:tc>
          <w:tcPr>
            <w:tcW w:w="2180" w:type="dxa"/>
            <w:vAlign w:val="bottom"/>
            <w:gridSpan w:val="3"/>
            <w:vMerge w:val="continue"/>
            <w:shd w:val="clear" w:color="auto" w:fill="CCEEFF"/>
          </w:tcPr>
          <w:p>
            <w:pPr>
              <w:spacing w:after="0"/>
              <w:rPr>
                <w:sz w:val="17"/>
                <w:szCs w:val="17"/>
                <w:color w:val="auto"/>
              </w:rPr>
            </w:pPr>
          </w:p>
        </w:tc>
        <w:tc>
          <w:tcPr>
            <w:tcW w:w="1700" w:type="dxa"/>
            <w:vAlign w:val="bottom"/>
            <w:gridSpan w:val="2"/>
            <w:vMerge w:val="continue"/>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(x) Available Principal Collections (t+u+v+w)</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$64,103,679.61</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$91,576,513.25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$91,576,379.55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(y) Deposits to Principal Accumulation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 Monthly Principal applied for payments to the Class A Noteholders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(aa) Monthly Principal applied for payments to the Class M Noteholders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(ab) Monthly Principal applied for payments to the Class B Noteholders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 Monthly Principal applied for payments to the Class C Noteholders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 Shared Principal Collections applied to other Principal Sharing</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813"/>
        </w:trPr>
        <w:tc>
          <w:tcPr>
            <w:tcW w:w="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VIII. INVESTOR CHARGE-OFFS</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180" w:type="dxa"/>
            <w:vAlign w:val="bottom"/>
            <w:gridSpan w:val="3"/>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0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 Investor Defaults and Uncovered Dilution</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$3,607,620.29</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$5,153,733.60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$5,153,726.07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 Reimbursed from Available Funds</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$3,607,620.29</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$5,153,733.60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$5,153,726.07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 Reimbursed from Excess Funding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 Total reimbursed in respect of Investor Defaults and Dilution</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$3,607,620.29</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$5,153,733.60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$5,153,726.07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 Investor Charge-off (a - d)</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bl>
    <w:p>
      <w:pPr>
        <w:sectPr>
          <w:pgSz w:w="11900" w:h="16838" w:orient="portrait"/>
          <w:cols w:equalWidth="0" w:num="1">
            <w:col w:w="11120"/>
          </w:cols>
          <w:pgMar w:left="320" w:top="117" w:right="459" w:bottom="1440" w:gutter="0" w:footer="0" w:header="0"/>
        </w:sectPr>
      </w:pPr>
    </w:p>
    <w:bookmarkStart w:id="17" w:name="page18"/>
    <w:bookmarkEnd w:id="1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IX. YIELD and BASE RATE</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6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3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Base Rate</w:t>
            </w:r>
          </w:p>
        </w:tc>
        <w:tc>
          <w:tcPr>
            <w:tcW w:w="5140" w:type="dxa"/>
            <w:vAlign w:val="bottom"/>
            <w:gridSpan w:val="4"/>
            <w:vMerge w:val="restart"/>
          </w:tcPr>
          <w:p>
            <w:pPr>
              <w:spacing w:after="0"/>
              <w:rPr>
                <w:sz w:val="11"/>
                <w:szCs w:val="11"/>
                <w:color w:val="auto"/>
              </w:rPr>
            </w:pPr>
          </w:p>
        </w:tc>
        <w:tc>
          <w:tcPr>
            <w:tcW w:w="52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5140" w:type="dxa"/>
            <w:vAlign w:val="bottom"/>
            <w:gridSpan w:val="4"/>
            <w:vMerge w:val="continue"/>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(Monthly interest, any net swap payments and monthly servicing fees divided by collateral</w:t>
            </w: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amounts plus amounts on deposit in the principal accumulation account)</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 Base Rate (current month)</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6.01 %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5.99 %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5.37 %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 Base Rate (prior month)</w:t>
            </w:r>
          </w:p>
        </w:tc>
        <w:tc>
          <w:tcPr>
            <w:tcW w:w="22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6.01 %</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5.99 %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5.37 %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 Base Rate (2 months prior)</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6.01 %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5.99 %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 3 Month Average Base Rate</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6.01 %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5.99 %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5.37 %</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Gross Portfolio Yield</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(Finance charge collections allocable to each series divided by the collateral amount)</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(e) Gross Portfolio Yield (current month)</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31.98 %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31.98 %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31.98 %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 Gross Portfolio Yield (prior month)</w:t>
            </w:r>
          </w:p>
        </w:tc>
        <w:tc>
          <w:tcPr>
            <w:tcW w:w="22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31.80 %</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31.80 %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31.80 %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 Gross Portfolio Yield (2 months prior)</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30.86 %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30.87 %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30.86 %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(h) 3 Month Average Gross Portfolio Yield</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31.55 %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31.55 %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31.55 %</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Net Portfolio Yield</w:t>
            </w:r>
          </w:p>
        </w:tc>
        <w:tc>
          <w:tcPr>
            <w:tcW w:w="460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(Finance charge collections less defaults allocable to each series divided by the collateral amount)</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(i) Net Portfolio Yield (current month)</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22.95 %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22.95 %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22.95 %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(j) Net Portfolio Yield (prior month)</w:t>
            </w:r>
          </w:p>
        </w:tc>
        <w:tc>
          <w:tcPr>
            <w:tcW w:w="22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22.91 %</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22.91 %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22.91 %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(k) Net Portfolio Yield (2 months prior)</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22.65 %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22.65 %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22.65 %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(l) 3 Month Average Net Portfolio Yield</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22.84 %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22.84 %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22.84 %</w:t>
            </w: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Excess Spread Percentage</w:t>
            </w:r>
          </w:p>
        </w:tc>
        <w:tc>
          <w:tcPr>
            <w:tcW w:w="4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Portfolio Yield less Base Rate)</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(m) Net Portfolio Adjusted Yield (current month)</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16.95 %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16.96 %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17.58 %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 Net Portfolio Adjusted Yield (prior month)</w:t>
            </w:r>
          </w:p>
        </w:tc>
        <w:tc>
          <w:tcPr>
            <w:tcW w:w="22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16.90 %</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16.92 %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17.54 %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(o) Net Portfolio Adjusted Yield (2 months prior)</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16.64 %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16.66 %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17.28 %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(p) Net Portfolio Adjusted Yield (3 month average)</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16.83 %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16.84 %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17.46 %</w:t>
            </w:r>
          </w:p>
        </w:tc>
        <w:tc>
          <w:tcPr>
            <w:tcW w:w="0" w:type="dxa"/>
            <w:vAlign w:val="bottom"/>
          </w:tcPr>
          <w:p>
            <w:pPr>
              <w:spacing w:after="0"/>
              <w:rPr>
                <w:sz w:val="1"/>
                <w:szCs w:val="1"/>
                <w:color w:val="auto"/>
              </w:rPr>
            </w:pPr>
          </w:p>
        </w:tc>
      </w:tr>
    </w:tbl>
    <w:p>
      <w:pPr>
        <w:sectPr>
          <w:pgSz w:w="11900" w:h="16838" w:orient="portrait"/>
          <w:cols w:equalWidth="0" w:num="1">
            <w:col w:w="11120"/>
          </w:cols>
          <w:pgMar w:left="320" w:top="117" w:right="45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ectPr>
          <w:pgSz w:w="11900" w:h="16838" w:orient="portrait"/>
          <w:cols w:equalWidth="0" w:num="1">
            <w:col w:w="11160"/>
          </w:cols>
          <w:pgMar w:left="340" w:top="11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X. PRINCIPAL ACCUMULATION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37890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8904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Class A principal distributed to PAA (as of prior distribution date)</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Principal deposited in the Principal Accumulation Account (PAA)</w:t>
      </w:r>
    </w:p>
    <w:p>
      <w:pPr>
        <w:spacing w:after="0" w:line="55"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A Principal deposited in the PAA (a + b)</w:t>
      </w:r>
    </w:p>
    <w:p>
      <w:pPr>
        <w:spacing w:after="0" w:line="31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Class M principal distributed to PAA (as of prior distribution date)</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M Principal deposited in the Principal Accumulation Account (PAA)</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M Principal deposited in the PAA (d +e)</w:t>
      </w:r>
    </w:p>
    <w:p>
      <w:pPr>
        <w:spacing w:after="0" w:line="31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Class B principal distributed to PAA (as of prior distribution date)</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Principal deposited in the Principal Accumulation Account (PAA)</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B Principal deposited in the PAA (g + h)</w:t>
      </w:r>
    </w:p>
    <w:p>
      <w:pPr>
        <w:spacing w:after="0" w:line="311"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Class C principal distributed to PAA (as of prior distribution date)</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C Principal deposited in the Principal Accumulation Account (PAA)</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C Principal deposited in the PAA (j + k)</w:t>
      </w:r>
    </w:p>
    <w:p>
      <w:pPr>
        <w:spacing w:after="0" w:line="311"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PAA balance (c + f + i + 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XI. PRINCIPAL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3789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8904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Principal Paid (as of prior distribution dates)</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Principal Payments (to be paid on current distribution date)</w:t>
      </w:r>
    </w:p>
    <w:p>
      <w:pPr>
        <w:spacing w:after="0" w:line="55"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A Principal Paid (a + b)</w:t>
      </w:r>
    </w:p>
    <w:p>
      <w:pPr>
        <w:spacing w:after="0" w:line="257"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M Principal Paid (as of prior distribution dates)</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M Principal Payments (to be paid on current distribution date)</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M Principal Paid (d + e)</w:t>
      </w:r>
    </w:p>
    <w:p>
      <w:pPr>
        <w:spacing w:after="0" w:line="257"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Principal Paid (as of prior distribution dates)</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Principal Payments (to be made on current distribution date)</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B Principal Paid (g + h)</w:t>
      </w:r>
    </w:p>
    <w:p>
      <w:pPr>
        <w:spacing w:after="0" w:line="257"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C Principal Paid (as of prior distribution dates)</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C Principal Payments (to be made on current distribution date)</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C Principal Paid (j + k)</w:t>
      </w:r>
    </w:p>
    <w:p>
      <w:pPr>
        <w:spacing w:after="0" w:line="257"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Principal Paid (c + f + i + 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132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99"/>
              </w:rPr>
              <w:t>Series 2023-A</w:t>
            </w:r>
          </w:p>
        </w:tc>
        <w:tc>
          <w:tcPr>
            <w:tcW w:w="400" w:type="dxa"/>
            <w:vAlign w:val="bottom"/>
          </w:tcPr>
          <w:p>
            <w:pPr>
              <w:spacing w:after="0"/>
              <w:rPr>
                <w:sz w:val="13"/>
                <w:szCs w:val="13"/>
                <w:color w:val="auto"/>
              </w:rPr>
            </w:pPr>
          </w:p>
        </w:tc>
        <w:tc>
          <w:tcPr>
            <w:tcW w:w="128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420" w:type="dxa"/>
            <w:vAlign w:val="bottom"/>
          </w:tcPr>
          <w:p>
            <w:pPr>
              <w:spacing w:after="0"/>
              <w:rPr>
                <w:sz w:val="13"/>
                <w:szCs w:val="13"/>
                <w:color w:val="auto"/>
              </w:rPr>
            </w:pP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98"/>
              </w:rPr>
              <w:t>Series 2024-B</w:t>
            </w:r>
          </w:p>
        </w:tc>
      </w:tr>
      <w:tr>
        <w:trPr>
          <w:trHeight w:val="429"/>
        </w:trPr>
        <w:tc>
          <w:tcPr>
            <w:tcW w:w="4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176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436"/>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9"/>
        </w:trPr>
        <w:tc>
          <w:tcPr>
            <w:tcW w:w="176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436"/>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9"/>
        </w:trPr>
        <w:tc>
          <w:tcPr>
            <w:tcW w:w="176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436"/>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9"/>
        </w:trPr>
        <w:tc>
          <w:tcPr>
            <w:tcW w:w="176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436"/>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-2376170</wp:posOffset>
            </wp:positionV>
            <wp:extent cx="708914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-2118995</wp:posOffset>
            </wp:positionV>
            <wp:extent cx="70891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-1810385</wp:posOffset>
            </wp:positionV>
            <wp:extent cx="708914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-1553210</wp:posOffset>
            </wp:positionV>
            <wp:extent cx="70891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-1244600</wp:posOffset>
            </wp:positionV>
            <wp:extent cx="708914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-987425</wp:posOffset>
            </wp:positionV>
            <wp:extent cx="70891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-678815</wp:posOffset>
            </wp:positionV>
            <wp:extent cx="708914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-421640</wp:posOffset>
            </wp:positionV>
            <wp:extent cx="708914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-113030</wp:posOffset>
            </wp:positionV>
            <wp:extent cx="708914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9140" cy="12890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70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400" w:type="dxa"/>
            <w:vAlign w:val="bottom"/>
          </w:tcPr>
          <w:p>
            <w:pPr>
              <w:spacing w:after="0"/>
              <w:rPr>
                <w:sz w:val="13"/>
                <w:szCs w:val="13"/>
                <w:color w:val="auto"/>
              </w:rPr>
            </w:pPr>
          </w:p>
        </w:tc>
        <w:tc>
          <w:tcPr>
            <w:tcW w:w="130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400" w:type="dxa"/>
            <w:vAlign w:val="bottom"/>
          </w:tcPr>
          <w:p>
            <w:pPr>
              <w:spacing w:after="0"/>
              <w:rPr>
                <w:sz w:val="13"/>
                <w:szCs w:val="13"/>
                <w:color w:val="auto"/>
              </w:rPr>
            </w:pPr>
          </w:p>
        </w:tc>
        <w:tc>
          <w:tcPr>
            <w:tcW w:w="126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429"/>
        </w:trPr>
        <w:tc>
          <w:tcPr>
            <w:tcW w:w="4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170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382"/>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170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381"/>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170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382"/>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170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382"/>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-2239010</wp:posOffset>
            </wp:positionV>
            <wp:extent cx="705485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-1981835</wp:posOffset>
            </wp:positionV>
            <wp:extent cx="70548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-1707515</wp:posOffset>
            </wp:positionV>
            <wp:extent cx="705485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-1450340</wp:posOffset>
            </wp:positionV>
            <wp:extent cx="705485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-1176020</wp:posOffset>
            </wp:positionV>
            <wp:extent cx="7054850"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4850" cy="12827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-918845</wp:posOffset>
            </wp:positionV>
            <wp:extent cx="705485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-644525</wp:posOffset>
            </wp:positionV>
            <wp:extent cx="705485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-387350</wp:posOffset>
            </wp:positionV>
            <wp:extent cx="70548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-113030</wp:posOffset>
            </wp:positionV>
            <wp:extent cx="705485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54850" cy="128905"/>
                    </a:xfrm>
                    <a:prstGeom prst="rect">
                      <a:avLst/>
                    </a:prstGeom>
                    <a:noFill/>
                  </pic:spPr>
                </pic:pic>
              </a:graphicData>
            </a:graphic>
          </wp:anchor>
        </w:drawing>
      </w:r>
    </w:p>
    <w:p>
      <w:pPr>
        <w:sectPr>
          <w:pgSz w:w="11900" w:h="16838" w:orient="portrait"/>
          <w:cols w:equalWidth="0" w:num="2">
            <w:col w:w="5320" w:space="720"/>
            <w:col w:w="5120"/>
          </w:cols>
          <w:pgMar w:left="340" w:top="117" w:right="399"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XII.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9747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74715" cy="1714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Solely with respect to the Series 2023-A, Series 2024-A, and Series 2024-B Notes: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Comenity Bank (the “Bank”) hereby confirms that, with reference to the EU Securitization Rules and the UK Securitization Rules, in each case as in effect on the Closing Date:</w:t>
      </w:r>
    </w:p>
    <w:p>
      <w:pPr>
        <w:spacing w:after="0" w:line="244" w:lineRule="exact"/>
        <w:rPr>
          <w:sz w:val="20"/>
          <w:szCs w:val="20"/>
          <w:color w:val="auto"/>
        </w:rPr>
      </w:pPr>
    </w:p>
    <w:p>
      <w:pPr>
        <w:ind w:right="60" w:firstLine="8"/>
        <w:spacing w:after="0" w:line="251" w:lineRule="auto"/>
        <w:tabs>
          <w:tab w:leader="none" w:pos="17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“originator” for purposes of the EU Securitization Rules and UK Securitization Rules, the Bank continues and will continue to retain on an ongoing basis a material net economic interest in the transaction constituted by the issuance of the Series 2023-A Notes, Series 2024-A Notes, and Series 2024-B Notes, in the form of a first loss tranche in accordance with option (d) of Article 6(3) of each of the EU Securitization Regulation and the UK Securitization Regulation in an amount equal to not less than 5% of the nominal value of the securitized exposures (such nominal value as measured at the date of origination (being, with respect to each such securitized exposure, the date on which the Issuer acquires an interest therein)), by holding, through the Transferor (its wholly-owned subsidiary), the right to receive distributions in respect of the Excess Collateral Amount (the “Retained Interest”).</w:t>
      </w:r>
    </w:p>
    <w:p>
      <w:pPr>
        <w:spacing w:after="0" w:line="211" w:lineRule="exact"/>
        <w:rPr>
          <w:rFonts w:ascii="Times New Roman" w:cs="Times New Roman" w:eastAsia="Times New Roman" w:hAnsi="Times New Roman"/>
          <w:sz w:val="14"/>
          <w:szCs w:val="14"/>
          <w:color w:val="auto"/>
        </w:rPr>
      </w:pPr>
    </w:p>
    <w:p>
      <w:pPr>
        <w:ind w:right="80" w:firstLine="8"/>
        <w:spacing w:after="0" w:line="261" w:lineRule="auto"/>
        <w:tabs>
          <w:tab w:leader="none" w:pos="21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has not allowed (and has not permitted the Transferor or any of its Affiliates to allow) and the Bank will not (and will not permit the Transferor or any of its Affiliates to) allow the Retained Interest to be subject to any credit risk mitigation or hedging or to be sold, transferred, or otherwise surrendered, except to the extent permitted in accordance with the EU Securitization Rules and the UK Securitization Rules; and</w:t>
      </w:r>
    </w:p>
    <w:p>
      <w:pPr>
        <w:spacing w:after="0" w:line="203" w:lineRule="exact"/>
        <w:rPr>
          <w:rFonts w:ascii="Times New Roman" w:cs="Times New Roman" w:eastAsia="Times New Roman" w:hAnsi="Times New Roman"/>
          <w:sz w:val="14"/>
          <w:szCs w:val="14"/>
          <w:color w:val="auto"/>
        </w:rPr>
      </w:pPr>
    </w:p>
    <w:p>
      <w:pPr>
        <w:ind w:right="640" w:firstLine="8"/>
        <w:spacing w:after="0" w:line="282" w:lineRule="auto"/>
        <w:tabs>
          <w:tab w:leader="none" w:pos="2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has not changed and will not change the retention option or method of calculation of the material net economic interest referred to in (i), except as permitted under the EU Securitization Rules and the UK Securitization Rules.</w:t>
      </w:r>
    </w:p>
    <w:p>
      <w:pPr>
        <w:spacing w:after="0" w:line="18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For purposes of the foregoing: (i) “EU Securitization Regulation” means the European Union’s Regulation (EU) 2017/2402, as amended; (ii) “EU Securitization Rules” means the EU Securitization Regulation, together with any relevant guidance published in relation thereto by the European Banking Authority, the European Securities and Markets Authority, the European Insurance and Occupational Pensions Authority or the European Commission and any relevant regulatory and/or implementing technical standards adopted by the European Commission in relation thereto; (iii) “UK Securitization Regulation” means Regulation (EU) 2017/2402 as it forms part of United Kingdom domestic law by virtue of the European Union (Withdrawal) Act 2018</w:t>
      </w:r>
    </w:p>
    <w:p>
      <w:pPr>
        <w:spacing w:after="0" w:line="1"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4"/>
          <w:szCs w:val="14"/>
          <w:color w:val="auto"/>
        </w:rPr>
        <w:t>(as amended, the “EUWA”), as amended by the Securitisation (Amendment) (EU Exit) Regulations 2019, and as further amended, supplemented or replaced; and (iv) “UK Securitization Rules” means the UK Securitization Regulation, together with (a) all applicable binding technical standards made under the UK Securitization Regulation, (b) any European Union regulatory technical</w:t>
      </w:r>
    </w:p>
    <w:p>
      <w:pPr>
        <w:spacing w:after="0" w:line="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4"/>
          <w:szCs w:val="14"/>
          <w:color w:val="auto"/>
        </w:rPr>
        <w:t>standards or implementing technical standards relating to the EU Securitization Regulation or applicable in relation thereto pursuant to any transitional provisions of the EU Securitization Regulation, in each case forming part of United Kingdom domestic law by virtue of the EUWA, (c) all relevant guidance, policy statements or directions relating to the application of the UK Securitization Regulation (or any binding technical standards) published by the Financial Conduct Authority and/or the Prudential Regulation Authority (or their successors), (d) any guidelines relating to the application of the EU Securitization Regulation which are applicable in the United Kingdom, (e) any other transitional, saving or other provision relevant to the UK Securitization Regulation by virtue of the operation of the EUWA and (f) any other applicable laws, acts, statutory instruments, rules, guidance or policy statements published or enacted relating to the UK Securitization Regulation, in each case as amended, supplemented or replaced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803265" cy="711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03265" cy="7112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Comenity Bank, as Servicer</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Wai Chung</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Wai Chung</w:t>
            </w:r>
          </w:p>
        </w:tc>
        <w:tc>
          <w:tcPr>
            <w:tcW w:w="0" w:type="dxa"/>
            <w:vAlign w:val="bottom"/>
          </w:tcPr>
          <w:p>
            <w:pPr>
              <w:spacing w:after="0"/>
              <w:rPr>
                <w:sz w:val="1"/>
                <w:szCs w:val="1"/>
                <w:color w:val="auto"/>
              </w:rPr>
            </w:pPr>
          </w:p>
        </w:tc>
      </w:tr>
      <w:tr>
        <w:trPr>
          <w:trHeight w:val="19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2025-12-15T08:36:36Z</dcterms:created>
  <dcterms:modified xsi:type="dcterms:W3CDTF">2025-12-15T08:36:36Z</dcterms:modified>
</cp:coreProperties>
</file>