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2"/>
          <w:szCs w:val="22"/>
          <w:color w:val="auto"/>
        </w:rPr>
        <w:t>Use these links to rapidly review the document</w:t>
      </w:r>
    </w:p>
    <w:p>
      <w:pPr>
        <w:spacing w:after="0" w:line="4" w:lineRule="exact"/>
        <w:rPr>
          <w:sz w:val="24"/>
          <w:szCs w:val="24"/>
          <w:color w:val="auto"/>
        </w:rPr>
      </w:pPr>
    </w:p>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ALLIANCE DATA SYSTEMS CORPORATION</w:t>
        </w:r>
      </w:hyperlink>
    </w:p>
    <w:p>
      <w:pPr>
        <w:spacing w:after="0"/>
        <w:rPr>
          <w:rFonts w:ascii="Times New Roman" w:cs="Times New Roman" w:eastAsia="Times New Roman" w:hAnsi="Times New Roman"/>
          <w:sz w:val="22"/>
          <w:szCs w:val="22"/>
          <w:u w:val="single" w:color="auto"/>
          <w:color w:val="0000EE"/>
        </w:rPr>
      </w:pPr>
      <w:hyperlink w:anchor="page29">
        <w:r>
          <w:rPr>
            <w:rFonts w:ascii="Times New Roman" w:cs="Times New Roman" w:eastAsia="Times New Roman" w:hAnsi="Times New Roman"/>
            <w:sz w:val="22"/>
            <w:szCs w:val="22"/>
            <w:u w:val="single" w:color="auto"/>
            <w:color w:val="0000EE"/>
          </w:rPr>
          <w:t>INDEX TO CONSOLIDATED FINANCIAL STATEMENTS ALLIANCE DATA SYSTEMS CORPORATION</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130810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216535</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4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137160</wp:posOffset>
            </wp:positionV>
            <wp:extent cx="105029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395"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244" w:lineRule="exact"/>
        <w:rPr>
          <w:sz w:val="24"/>
          <w:szCs w:val="24"/>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37" w:lineRule="exact"/>
        <w:rPr>
          <w:sz w:val="24"/>
          <w:szCs w:val="24"/>
          <w:color w:val="auto"/>
        </w:rPr>
      </w:pPr>
    </w:p>
    <w:p>
      <w:pPr>
        <w:ind w:left="1500" w:right="40" w:hanging="844"/>
        <w:spacing w:after="0" w:line="262" w:lineRule="auto"/>
        <w:tabs>
          <w:tab w:leader="none" w:pos="150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ANNUAL REPORT PURSUANT TO SECTION 13 OR 15(d) OF THE SECURITIES EXCHANGE ACT OF 1934</w:t>
      </w:r>
    </w:p>
    <w:p>
      <w:pPr>
        <w:spacing w:after="0" w:line="19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2002</w:t>
      </w:r>
    </w:p>
    <w:p>
      <w:pPr>
        <w:spacing w:after="0" w:line="225"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37" w:lineRule="exact"/>
        <w:rPr>
          <w:sz w:val="24"/>
          <w:szCs w:val="24"/>
          <w:color w:val="auto"/>
        </w:rPr>
      </w:pPr>
    </w:p>
    <w:p>
      <w:pPr>
        <w:ind w:left="1500" w:right="100" w:hanging="803"/>
        <w:spacing w:after="0" w:line="262" w:lineRule="auto"/>
        <w:tabs>
          <w:tab w:leader="none" w:pos="150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92" w:lineRule="exact"/>
        <w:rPr>
          <w:sz w:val="24"/>
          <w:szCs w:val="24"/>
          <w:color w:val="auto"/>
        </w:rPr>
      </w:pPr>
    </w:p>
    <w:p>
      <w:pPr>
        <w:ind w:left="2900"/>
        <w:spacing w:after="0"/>
        <w:tabs>
          <w:tab w:leader="none" w:pos="674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25"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Commission file number 001-15749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151130</wp:posOffset>
            </wp:positionV>
            <wp:extent cx="105029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21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ALLIANCE DATA SYSTEMS CORPORATION</w:t>
      </w:r>
    </w:p>
    <w:p>
      <w:pPr>
        <w:spacing w:after="0" w:line="4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4"/>
          <w:szCs w:val="24"/>
          <w:color w:val="auto"/>
        </w:rPr>
      </w:pPr>
    </w:p>
    <w:tbl>
      <w:tblPr>
        <w:tblLayout w:type="fixed"/>
        <w:tblInd w:w="660" w:type="dxa"/>
        <w:tblCellMar>
          <w:top w:w="0" w:type="dxa"/>
          <w:left w:w="0" w:type="dxa"/>
          <w:bottom w:w="0" w:type="dxa"/>
          <w:right w:w="0" w:type="dxa"/>
        </w:tblCellMar>
      </w:tblPr>
      <w:tr>
        <w:trPr>
          <w:trHeight w:val="218"/>
        </w:trPr>
        <w:tc>
          <w:tcPr>
            <w:tcW w:w="5500" w:type="dxa"/>
            <w:vAlign w:val="bottom"/>
          </w:tcPr>
          <w:p>
            <w:pPr>
              <w:jc w:val="center"/>
              <w:ind w:right="1112"/>
              <w:spacing w:after="0"/>
              <w:rPr>
                <w:sz w:val="20"/>
                <w:szCs w:val="20"/>
                <w:color w:val="auto"/>
              </w:rPr>
            </w:pPr>
            <w:r>
              <w:rPr>
                <w:rFonts w:ascii="Times New Roman" w:cs="Times New Roman" w:eastAsia="Times New Roman" w:hAnsi="Times New Roman"/>
                <w:sz w:val="18"/>
                <w:szCs w:val="18"/>
                <w:b w:val="1"/>
                <w:bCs w:val="1"/>
                <w:color w:val="auto"/>
                <w:w w:val="95"/>
              </w:rPr>
              <w:t>Delaware</w:t>
            </w:r>
          </w:p>
        </w:tc>
        <w:tc>
          <w:tcPr>
            <w:tcW w:w="3740" w:type="dxa"/>
            <w:vAlign w:val="bottom"/>
          </w:tcPr>
          <w:p>
            <w:pPr>
              <w:jc w:val="right"/>
              <w:ind w:right="772"/>
              <w:spacing w:after="0"/>
              <w:rPr>
                <w:sz w:val="20"/>
                <w:szCs w:val="20"/>
                <w:color w:val="auto"/>
              </w:rPr>
            </w:pPr>
            <w:r>
              <w:rPr>
                <w:rFonts w:ascii="Times New Roman" w:cs="Times New Roman" w:eastAsia="Times New Roman" w:hAnsi="Times New Roman"/>
                <w:sz w:val="18"/>
                <w:szCs w:val="18"/>
                <w:b w:val="1"/>
                <w:bCs w:val="1"/>
                <w:color w:val="auto"/>
              </w:rPr>
              <w:t>31-1429215</w:t>
            </w:r>
          </w:p>
        </w:tc>
      </w:tr>
      <w:tr>
        <w:trPr>
          <w:trHeight w:val="228"/>
        </w:trPr>
        <w:tc>
          <w:tcPr>
            <w:tcW w:w="5500" w:type="dxa"/>
            <w:vAlign w:val="bottom"/>
          </w:tcPr>
          <w:p>
            <w:pPr>
              <w:jc w:val="center"/>
              <w:ind w:right="1112"/>
              <w:spacing w:after="0"/>
              <w:rPr>
                <w:sz w:val="20"/>
                <w:szCs w:val="20"/>
                <w:color w:val="auto"/>
              </w:rPr>
            </w:pPr>
            <w:r>
              <w:rPr>
                <w:rFonts w:ascii="Times New Roman" w:cs="Times New Roman" w:eastAsia="Times New Roman" w:hAnsi="Times New Roman"/>
                <w:sz w:val="18"/>
                <w:szCs w:val="18"/>
                <w:color w:val="auto"/>
                <w:w w:val="97"/>
              </w:rPr>
              <w:t>(State or Other Jurisdiction of Incorporation or Organization)</w:t>
            </w:r>
          </w:p>
        </w:tc>
        <w:tc>
          <w:tcPr>
            <w:tcW w:w="3740" w:type="dxa"/>
            <w:vAlign w:val="bottom"/>
          </w:tcPr>
          <w:p>
            <w:pPr>
              <w:jc w:val="center"/>
              <w:ind w:left="1092"/>
              <w:spacing w:after="0"/>
              <w:rPr>
                <w:sz w:val="20"/>
                <w:szCs w:val="20"/>
                <w:color w:val="auto"/>
              </w:rPr>
            </w:pPr>
            <w:r>
              <w:rPr>
                <w:rFonts w:ascii="Times New Roman" w:cs="Times New Roman" w:eastAsia="Times New Roman" w:hAnsi="Times New Roman"/>
                <w:sz w:val="18"/>
                <w:szCs w:val="18"/>
                <w:color w:val="auto"/>
                <w:w w:val="97"/>
              </w:rPr>
              <w:t>(I.R.S. Employer Identification No.)</w:t>
            </w:r>
          </w:p>
        </w:tc>
      </w:tr>
      <w:tr>
        <w:trPr>
          <w:trHeight w:val="447"/>
        </w:trPr>
        <w:tc>
          <w:tcPr>
            <w:tcW w:w="5500" w:type="dxa"/>
            <w:vAlign w:val="bottom"/>
          </w:tcPr>
          <w:p>
            <w:pPr>
              <w:jc w:val="center"/>
              <w:ind w:right="1112"/>
              <w:spacing w:after="0"/>
              <w:rPr>
                <w:sz w:val="20"/>
                <w:szCs w:val="20"/>
                <w:color w:val="auto"/>
              </w:rPr>
            </w:pPr>
            <w:r>
              <w:rPr>
                <w:rFonts w:ascii="Times New Roman" w:cs="Times New Roman" w:eastAsia="Times New Roman" w:hAnsi="Times New Roman"/>
                <w:sz w:val="18"/>
                <w:szCs w:val="18"/>
                <w:b w:val="1"/>
                <w:bCs w:val="1"/>
                <w:color w:val="auto"/>
                <w:w w:val="96"/>
              </w:rPr>
              <w:t>17655 Waterview Parkway, Dallas, Texas</w:t>
            </w:r>
          </w:p>
        </w:tc>
        <w:tc>
          <w:tcPr>
            <w:tcW w:w="3740" w:type="dxa"/>
            <w:vAlign w:val="bottom"/>
          </w:tcPr>
          <w:p>
            <w:pPr>
              <w:jc w:val="right"/>
              <w:ind w:right="972"/>
              <w:spacing w:after="0"/>
              <w:rPr>
                <w:sz w:val="20"/>
                <w:szCs w:val="20"/>
                <w:color w:val="auto"/>
              </w:rPr>
            </w:pPr>
            <w:r>
              <w:rPr>
                <w:rFonts w:ascii="Times New Roman" w:cs="Times New Roman" w:eastAsia="Times New Roman" w:hAnsi="Times New Roman"/>
                <w:sz w:val="18"/>
                <w:szCs w:val="18"/>
                <w:b w:val="1"/>
                <w:bCs w:val="1"/>
                <w:color w:val="auto"/>
              </w:rPr>
              <w:t>75252</w:t>
            </w:r>
          </w:p>
        </w:tc>
      </w:tr>
      <w:tr>
        <w:trPr>
          <w:trHeight w:val="228"/>
        </w:trPr>
        <w:tc>
          <w:tcPr>
            <w:tcW w:w="5500" w:type="dxa"/>
            <w:vAlign w:val="bottom"/>
          </w:tcPr>
          <w:p>
            <w:pPr>
              <w:jc w:val="center"/>
              <w:ind w:right="1112"/>
              <w:spacing w:after="0"/>
              <w:rPr>
                <w:sz w:val="20"/>
                <w:szCs w:val="20"/>
                <w:color w:val="auto"/>
              </w:rPr>
            </w:pPr>
            <w:r>
              <w:rPr>
                <w:rFonts w:ascii="Times New Roman" w:cs="Times New Roman" w:eastAsia="Times New Roman" w:hAnsi="Times New Roman"/>
                <w:sz w:val="18"/>
                <w:szCs w:val="18"/>
                <w:color w:val="auto"/>
                <w:w w:val="97"/>
              </w:rPr>
              <w:t>(Address of Registrant's Principal Executive Offices)</w:t>
            </w:r>
          </w:p>
        </w:tc>
        <w:tc>
          <w:tcPr>
            <w:tcW w:w="3740" w:type="dxa"/>
            <w:vAlign w:val="bottom"/>
          </w:tcPr>
          <w:p>
            <w:pPr>
              <w:jc w:val="center"/>
              <w:ind w:left="1112"/>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20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(972) 348-5100</w:t>
      </w:r>
    </w:p>
    <w:p>
      <w:pPr>
        <w:spacing w:after="0" w:line="2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ectPr>
          <w:pgSz w:w="11900" w:h="16838" w:orient="portrait"/>
          <w:cols w:equalWidth="0" w:num="1">
            <w:col w:w="11240"/>
          </w:cols>
          <w:pgMar w:left="240" w:top="679" w:right="419" w:bottom="0" w:gutter="0" w:footer="0" w:header="0"/>
        </w:sectPr>
      </w:pPr>
    </w:p>
    <w:p>
      <w:pPr>
        <w:spacing w:after="0" w:line="223" w:lineRule="exact"/>
        <w:rPr>
          <w:sz w:val="24"/>
          <w:szCs w:val="24"/>
          <w:color w:val="auto"/>
        </w:rPr>
      </w:pPr>
    </w:p>
    <w:p>
      <w:pPr>
        <w:jc w:val="center"/>
        <w:ind w:left="40"/>
        <w:spacing w:after="0"/>
        <w:rPr>
          <w:sz w:val="20"/>
          <w:szCs w:val="20"/>
          <w:color w:val="auto"/>
        </w:rPr>
      </w:pPr>
      <w:r>
        <w:rPr>
          <w:rFonts w:ascii="Times New Roman" w:cs="Times New Roman" w:eastAsia="Times New Roman" w:hAnsi="Times New Roman"/>
          <w:sz w:val="18"/>
          <w:szCs w:val="18"/>
          <w:b w:val="1"/>
          <w:bCs w:val="1"/>
          <w:color w:val="auto"/>
        </w:rPr>
        <w:t>Title of Each Class</w:t>
      </w:r>
    </w:p>
    <w:p>
      <w:pPr>
        <w:spacing w:after="0" w:line="23" w:lineRule="exact"/>
        <w:rPr>
          <w:sz w:val="24"/>
          <w:szCs w:val="24"/>
          <w:color w:val="auto"/>
        </w:rPr>
      </w:pPr>
    </w:p>
    <w:p>
      <w:pPr>
        <w:jc w:val="center"/>
        <w:ind w:left="40"/>
        <w:spacing w:after="0"/>
        <w:rPr>
          <w:sz w:val="20"/>
          <w:szCs w:val="20"/>
          <w:color w:val="auto"/>
        </w:rPr>
      </w:pPr>
      <w:r>
        <w:rPr>
          <w:rFonts w:ascii="Times New Roman" w:cs="Times New Roman" w:eastAsia="Times New Roman" w:hAnsi="Times New Roman"/>
          <w:sz w:val="16"/>
          <w:szCs w:val="16"/>
          <w:color w:val="auto"/>
        </w:rPr>
        <w:t>Common Stock, par value $0.01 per share</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jc w:val="center"/>
        <w:ind w:right="2620"/>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p>
      <w:pPr>
        <w:spacing w:after="0" w:line="46" w:lineRule="exact"/>
        <w:rPr>
          <w:sz w:val="24"/>
          <w:szCs w:val="24"/>
          <w:color w:val="auto"/>
        </w:rPr>
      </w:pPr>
    </w:p>
    <w:p>
      <w:pPr>
        <w:jc w:val="center"/>
        <w:ind w:right="2620"/>
        <w:spacing w:after="0"/>
        <w:rPr>
          <w:sz w:val="20"/>
          <w:szCs w:val="20"/>
          <w:color w:val="auto"/>
        </w:rPr>
      </w:pPr>
      <w:r>
        <w:rPr>
          <w:rFonts w:ascii="Times New Roman" w:cs="Times New Roman" w:eastAsia="Times New Roman" w:hAnsi="Times New Roman"/>
          <w:sz w:val="18"/>
          <w:szCs w:val="18"/>
          <w:color w:val="auto"/>
        </w:rPr>
        <w:t>New York Stock Exchange</w:t>
      </w:r>
    </w:p>
    <w:p>
      <w:pPr>
        <w:spacing w:after="0" w:line="200" w:lineRule="exact"/>
        <w:rPr>
          <w:sz w:val="24"/>
          <w:szCs w:val="24"/>
          <w:color w:val="auto"/>
        </w:rPr>
      </w:pPr>
    </w:p>
    <w:p>
      <w:pPr>
        <w:sectPr>
          <w:pgSz w:w="11900" w:h="16838" w:orient="portrait"/>
          <w:cols w:equalWidth="0" w:num="2">
            <w:col w:w="4460" w:space="720"/>
            <w:col w:w="6060"/>
          </w:cols>
          <w:pgMar w:left="240" w:top="679" w:right="419" w:bottom="0" w:gutter="0" w:footer="0" w:header="0"/>
          <w:type w:val="continuous"/>
        </w:sectPr>
      </w:pPr>
    </w:p>
    <w:p>
      <w:pPr>
        <w:spacing w:after="0" w:line="1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12(g) of the Act:</w:t>
      </w:r>
    </w:p>
    <w:p>
      <w:pPr>
        <w:spacing w:after="0" w:line="22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2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6"/>
          <w:szCs w:val="16"/>
          <w:color w:val="auto"/>
        </w:rPr>
        <w:t>(Title of Class)</w:t>
      </w:r>
    </w:p>
    <w:p>
      <w:pPr>
        <w:sectPr>
          <w:pgSz w:w="11900" w:h="16838" w:orient="portrait"/>
          <w:cols w:equalWidth="0" w:num="1">
            <w:col w:w="11240"/>
          </w:cols>
          <w:pgMar w:left="240" w:top="679" w:right="419" w:bottom="0" w:gutter="0" w:footer="0" w:header="0"/>
          <w:type w:val="continuous"/>
        </w:sectPr>
      </w:pPr>
    </w:p>
    <w:p>
      <w:pPr>
        <w:spacing w:after="0" w:line="236" w:lineRule="exact"/>
        <w:rPr>
          <w:sz w:val="24"/>
          <w:szCs w:val="24"/>
          <w:color w:val="auto"/>
        </w:rPr>
      </w:pPr>
    </w:p>
    <w:p>
      <w:pPr>
        <w:ind w:right="20" w:firstLine="351"/>
        <w:spacing w:after="0" w:line="22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o</w:t>
      </w:r>
    </w:p>
    <w:p>
      <w:pPr>
        <w:spacing w:after="0" w:line="184" w:lineRule="exact"/>
        <w:rPr>
          <w:sz w:val="24"/>
          <w:szCs w:val="24"/>
          <w:color w:val="auto"/>
        </w:rPr>
      </w:pPr>
    </w:p>
    <w:p>
      <w:pPr>
        <w:jc w:val="both"/>
        <w:ind w:right="100" w:firstLine="351"/>
        <w:spacing w:after="0" w:line="227" w:lineRule="exact"/>
        <w:rPr>
          <w:sz w:val="20"/>
          <w:szCs w:val="20"/>
          <w:color w:val="auto"/>
        </w:rPr>
      </w:pPr>
      <w:r>
        <w:rPr>
          <w:rFonts w:ascii="Times New Roman" w:cs="Times New Roman" w:eastAsia="Times New Roman" w:hAnsi="Times New Roman"/>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amendments to this Form 10-K. </w:t>
      </w:r>
      <w:r>
        <w:rPr>
          <w:rFonts w:ascii="MS PGothic" w:cs="MS PGothic" w:eastAsia="MS PGothic" w:hAnsi="MS PGothic"/>
          <w:sz w:val="18"/>
          <w:szCs w:val="18"/>
          <w:color w:val="auto"/>
        </w:rPr>
        <w:t>☒</w:t>
      </w:r>
    </w:p>
    <w:p>
      <w:pPr>
        <w:spacing w:after="0" w:line="157" w:lineRule="exact"/>
        <w:rPr>
          <w:sz w:val="24"/>
          <w:szCs w:val="24"/>
          <w:color w:val="auto"/>
        </w:rPr>
      </w:pPr>
    </w:p>
    <w:p>
      <w:pPr>
        <w:ind w:left="360"/>
        <w:spacing w:after="0" w:line="207" w:lineRule="exact"/>
        <w:tabs>
          <w:tab w:leader="none" w:pos="8740" w:val="left"/>
        </w:tabs>
        <w:rPr>
          <w:sz w:val="20"/>
          <w:szCs w:val="20"/>
          <w:color w:val="auto"/>
        </w:rPr>
      </w:pPr>
      <w:r>
        <w:rPr>
          <w:rFonts w:ascii="Times New Roman" w:cs="Times New Roman" w:eastAsia="Times New Roman" w:hAnsi="Times New Roman"/>
          <w:sz w:val="18"/>
          <w:szCs w:val="18"/>
          <w:color w:val="auto"/>
        </w:rPr>
        <w:t xml:space="preserve">Indicate by check mark whether the registrant is an accelerated filer (as defined in Exchange Act Rule 12b-2). 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No o</w:t>
      </w:r>
    </w:p>
    <w:p>
      <w:pPr>
        <w:spacing w:after="0" w:line="252" w:lineRule="exact"/>
        <w:rPr>
          <w:sz w:val="24"/>
          <w:szCs w:val="24"/>
          <w:color w:val="auto"/>
        </w:rPr>
      </w:pPr>
    </w:p>
    <w:p>
      <w:pPr>
        <w:ind w:right="440" w:firstLine="341"/>
        <w:spacing w:after="0" w:line="339" w:lineRule="auto"/>
        <w:rPr>
          <w:sz w:val="20"/>
          <w:szCs w:val="20"/>
          <w:color w:val="auto"/>
        </w:rPr>
      </w:pPr>
      <w:r>
        <w:rPr>
          <w:rFonts w:ascii="Times New Roman" w:cs="Times New Roman" w:eastAsia="Times New Roman" w:hAnsi="Times New Roman"/>
          <w:sz w:val="16"/>
          <w:szCs w:val="16"/>
          <w:color w:val="auto"/>
        </w:rPr>
        <w:t>As of June 28, 2002, the last business day of the registrant's most recently completed second fiscal quarter, 74,691,912 shares of common stock were outstanding and the aggregate market value of the common stock held by non-affiliates of the registrant on that date was approximately $407.0 million.</w:t>
      </w:r>
    </w:p>
    <w:p>
      <w:pPr>
        <w:spacing w:after="0" w:line="128" w:lineRule="exact"/>
        <w:rPr>
          <w:sz w:val="24"/>
          <w:szCs w:val="24"/>
          <w:color w:val="auto"/>
        </w:rPr>
      </w:pPr>
    </w:p>
    <w:p>
      <w:pPr>
        <w:ind w:firstLine="341"/>
        <w:spacing w:after="0" w:line="262" w:lineRule="auto"/>
        <w:rPr>
          <w:sz w:val="20"/>
          <w:szCs w:val="20"/>
          <w:color w:val="auto"/>
        </w:rPr>
      </w:pPr>
      <w:r>
        <w:rPr>
          <w:rFonts w:ascii="Times New Roman" w:cs="Times New Roman" w:eastAsia="Times New Roman" w:hAnsi="Times New Roman"/>
          <w:sz w:val="18"/>
          <w:szCs w:val="18"/>
          <w:color w:val="auto"/>
        </w:rPr>
        <w:t>As of February 28, 2003, 74,993,346 shares of common stock were outstanding and the aggregate market value of the common stock held by non-affiliates of the registrant on that date was approximately $269.4 million. Aggregate market value is estimated solely for the purposes of this report. This shall not be construed as an admission for the purposes of determining affiliate status.</w:t>
      </w:r>
    </w:p>
    <w:p>
      <w:pPr>
        <w:spacing w:after="0" w:line="184"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ectPr>
          <w:pgSz w:w="11900" w:h="16838" w:orient="portrait"/>
          <w:cols w:equalWidth="0" w:num="1">
            <w:col w:w="11240"/>
          </w:cols>
          <w:pgMar w:left="240" w:top="679" w:right="419" w:bottom="0" w:gutter="0" w:footer="0" w:header="0"/>
          <w:type w:val="continuous"/>
        </w:sectPr>
      </w:pPr>
    </w:p>
    <w:bookmarkStart w:id="1" w:name="page2"/>
    <w:bookmarkEnd w:id="1"/>
    <w:p>
      <w:pPr>
        <w:ind w:right="20" w:firstLine="351"/>
        <w:spacing w:after="0" w:line="275" w:lineRule="auto"/>
        <w:rPr>
          <w:sz w:val="20"/>
          <w:szCs w:val="20"/>
          <w:color w:val="auto"/>
        </w:rPr>
      </w:pPr>
      <w:r>
        <w:rPr>
          <w:rFonts w:ascii="Times New Roman" w:cs="Times New Roman" w:eastAsia="Times New Roman" w:hAnsi="Times New Roman"/>
          <w:sz w:val="18"/>
          <w:szCs w:val="18"/>
          <w:color w:val="auto"/>
        </w:rPr>
        <w:t>Certain information called for by Part III is incorporated by reference to the Proxy Statement for the 2003 Annual Meeting of our stockholders which will be filed with the Securities and Exchange Commission not later than 120 days after December 31,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117475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203200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288925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ALLIANCE DATA SYSTEMS CORPORATION</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2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color w:val="auto"/>
        </w:rPr>
        <w:t>Item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69215</wp:posOffset>
            </wp:positionV>
            <wp:extent cx="587375"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87375" cy="21590"/>
                    </a:xfrm>
                    <a:prstGeom prst="rect">
                      <a:avLst/>
                    </a:prstGeom>
                    <a:noFill/>
                  </pic:spPr>
                </pic:pic>
              </a:graphicData>
            </a:graphic>
          </wp:anchor>
        </w:drawing>
      </w:r>
    </w:p>
    <w:p>
      <w:pPr>
        <w:spacing w:after="0" w:line="213" w:lineRule="exact"/>
        <w:rPr>
          <w:sz w:val="20"/>
          <w:szCs w:val="20"/>
          <w:color w:val="auto"/>
        </w:rPr>
      </w:pPr>
    </w:p>
    <w:p>
      <w:pPr>
        <w:ind w:left="12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Forward-Looking Statements</w:t>
        </w:r>
      </w:hyperlink>
    </w:p>
    <w:p>
      <w:pPr>
        <w:spacing w:after="0" w:line="250" w:lineRule="exact"/>
        <w:rPr>
          <w:sz w:val="20"/>
          <w:szCs w:val="20"/>
          <w:color w:val="auto"/>
        </w:rPr>
      </w:pPr>
    </w:p>
    <w:p>
      <w:pPr>
        <w:jc w:val="center"/>
        <w:ind w:right="-19"/>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PART I</w:t>
        </w:r>
      </w:hyperlink>
    </w:p>
    <w:p>
      <w:pPr>
        <w:spacing w:after="0" w:line="227" w:lineRule="exact"/>
        <w:rPr>
          <w:sz w:val="20"/>
          <w:szCs w:val="20"/>
          <w:color w:val="auto"/>
        </w:rPr>
      </w:pPr>
    </w:p>
    <w:p>
      <w:pPr>
        <w:ind w:left="1260" w:hanging="1252"/>
        <w:spacing w:after="0"/>
        <w:tabs>
          <w:tab w:leader="none" w:pos="1260" w:val="left"/>
        </w:tabs>
        <w:numPr>
          <w:ilvl w:val="0"/>
          <w:numId w:val="3"/>
        </w:numPr>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Business</w:t>
        </w:r>
      </w:hyperlink>
    </w:p>
    <w:p>
      <w:pPr>
        <w:spacing w:after="0" w:line="21" w:lineRule="exact"/>
        <w:rPr>
          <w:rFonts w:ascii="Times New Roman" w:cs="Times New Roman" w:eastAsia="Times New Roman" w:hAnsi="Times New Roman"/>
          <w:sz w:val="18"/>
          <w:szCs w:val="18"/>
          <w:u w:val="single" w:color="auto"/>
          <w:color w:val="0000EE"/>
        </w:rPr>
      </w:pPr>
    </w:p>
    <w:p>
      <w:pPr>
        <w:ind w:left="1260" w:hanging="1252"/>
        <w:spacing w:after="0"/>
        <w:tabs>
          <w:tab w:leader="none" w:pos="1260" w:val="left"/>
        </w:tabs>
        <w:numPr>
          <w:ilvl w:val="0"/>
          <w:numId w:val="3"/>
        </w:numPr>
        <w:rPr>
          <w:rFonts w:ascii="Times New Roman" w:cs="Times New Roman" w:eastAsia="Times New Roman" w:hAnsi="Times New Roman"/>
          <w:sz w:val="18"/>
          <w:szCs w:val="18"/>
          <w:u w:val="single" w:color="auto"/>
          <w:color w:val="0000EE"/>
        </w:rPr>
      </w:pPr>
      <w:hyperlink w:anchor="page13">
        <w:r>
          <w:rPr>
            <w:rFonts w:ascii="Times New Roman" w:cs="Times New Roman" w:eastAsia="Times New Roman" w:hAnsi="Times New Roman"/>
            <w:sz w:val="18"/>
            <w:szCs w:val="18"/>
            <w:u w:val="single" w:color="auto"/>
            <w:color w:val="0000EE"/>
          </w:rPr>
          <w:t>Properties</w:t>
        </w:r>
      </w:hyperlink>
    </w:p>
    <w:p>
      <w:pPr>
        <w:spacing w:after="0" w:line="9" w:lineRule="exact"/>
        <w:rPr>
          <w:rFonts w:ascii="Times New Roman" w:cs="Times New Roman" w:eastAsia="Times New Roman" w:hAnsi="Times New Roman"/>
          <w:sz w:val="18"/>
          <w:szCs w:val="18"/>
          <w:u w:val="single" w:color="auto"/>
          <w:color w:val="0000EE"/>
        </w:rPr>
      </w:pPr>
    </w:p>
    <w:p>
      <w:pPr>
        <w:ind w:left="1260" w:hanging="1252"/>
        <w:spacing w:after="0"/>
        <w:tabs>
          <w:tab w:leader="none" w:pos="1260" w:val="left"/>
        </w:tabs>
        <w:numPr>
          <w:ilvl w:val="0"/>
          <w:numId w:val="3"/>
        </w:numPr>
        <w:rPr>
          <w:rFonts w:ascii="Times New Roman" w:cs="Times New Roman" w:eastAsia="Times New Roman" w:hAnsi="Times New Roman"/>
          <w:sz w:val="18"/>
          <w:szCs w:val="18"/>
          <w:u w:val="single" w:color="auto"/>
          <w:color w:val="0000EE"/>
        </w:rPr>
      </w:pPr>
      <w:hyperlink w:anchor="page13">
        <w:r>
          <w:rPr>
            <w:rFonts w:ascii="Times New Roman" w:cs="Times New Roman" w:eastAsia="Times New Roman" w:hAnsi="Times New Roman"/>
            <w:sz w:val="18"/>
            <w:szCs w:val="18"/>
            <w:u w:val="single" w:color="auto"/>
            <w:color w:val="0000EE"/>
          </w:rPr>
          <w:t>Legal Proceedings</w:t>
        </w:r>
      </w:hyperlink>
    </w:p>
    <w:p>
      <w:pPr>
        <w:spacing w:after="0" w:line="9" w:lineRule="exact"/>
        <w:rPr>
          <w:rFonts w:ascii="Times New Roman" w:cs="Times New Roman" w:eastAsia="Times New Roman" w:hAnsi="Times New Roman"/>
          <w:sz w:val="18"/>
          <w:szCs w:val="18"/>
          <w:u w:val="single" w:color="auto"/>
          <w:color w:val="0000EE"/>
        </w:rPr>
      </w:pPr>
    </w:p>
    <w:p>
      <w:pPr>
        <w:ind w:left="1260" w:hanging="1252"/>
        <w:spacing w:after="0"/>
        <w:tabs>
          <w:tab w:leader="none" w:pos="1260" w:val="left"/>
        </w:tabs>
        <w:numPr>
          <w:ilvl w:val="0"/>
          <w:numId w:val="3"/>
        </w:numPr>
        <w:rPr>
          <w:rFonts w:ascii="Times New Roman" w:cs="Times New Roman" w:eastAsia="Times New Roman" w:hAnsi="Times New Roman"/>
          <w:sz w:val="18"/>
          <w:szCs w:val="18"/>
          <w:u w:val="single" w:color="auto"/>
          <w:color w:val="0000EE"/>
        </w:rPr>
      </w:pPr>
      <w:hyperlink w:anchor="page13">
        <w:r>
          <w:rPr>
            <w:rFonts w:ascii="Times New Roman" w:cs="Times New Roman" w:eastAsia="Times New Roman" w:hAnsi="Times New Roman"/>
            <w:sz w:val="18"/>
            <w:szCs w:val="18"/>
            <w:u w:val="single" w:color="auto"/>
            <w:color w:val="0000EE"/>
          </w:rPr>
          <w:t>Submission of Matters to a Vote of Security Holders</w:t>
        </w:r>
      </w:hyperlink>
    </w:p>
    <w:p>
      <w:pPr>
        <w:spacing w:after="0" w:line="238" w:lineRule="exact"/>
        <w:rPr>
          <w:rFonts w:ascii="Times New Roman" w:cs="Times New Roman" w:eastAsia="Times New Roman" w:hAnsi="Times New Roman"/>
          <w:sz w:val="18"/>
          <w:szCs w:val="18"/>
          <w:color w:val="auto"/>
        </w:rPr>
      </w:pPr>
    </w:p>
    <w:p>
      <w:pPr>
        <w:jc w:val="center"/>
        <w:ind w:right="-19"/>
        <w:spacing w:after="0"/>
        <w:rPr>
          <w:rFonts w:ascii="Times New Roman" w:cs="Times New Roman" w:eastAsia="Times New Roman" w:hAnsi="Times New Roman"/>
          <w:sz w:val="18"/>
          <w:szCs w:val="18"/>
          <w:b w:val="1"/>
          <w:bCs w:val="1"/>
          <w:u w:val="single" w:color="auto"/>
          <w:color w:val="0000EE"/>
        </w:rPr>
      </w:pPr>
      <w:hyperlink w:anchor="page13">
        <w:r>
          <w:rPr>
            <w:rFonts w:ascii="Times New Roman" w:cs="Times New Roman" w:eastAsia="Times New Roman" w:hAnsi="Times New Roman"/>
            <w:sz w:val="18"/>
            <w:szCs w:val="18"/>
            <w:b w:val="1"/>
            <w:bCs w:val="1"/>
            <w:u w:val="single" w:color="auto"/>
            <w:color w:val="0000EE"/>
          </w:rPr>
          <w:t>PART II</w:t>
        </w:r>
      </w:hyperlink>
    </w:p>
    <w:p>
      <w:pPr>
        <w:spacing w:after="0" w:line="227" w:lineRule="exact"/>
        <w:rPr>
          <w:rFonts w:ascii="Times New Roman" w:cs="Times New Roman" w:eastAsia="Times New Roman" w:hAnsi="Times New Roman"/>
          <w:sz w:val="18"/>
          <w:szCs w:val="18"/>
          <w:color w:val="auto"/>
        </w:rPr>
      </w:pPr>
    </w:p>
    <w:p>
      <w:pPr>
        <w:ind w:left="1260" w:hanging="1252"/>
        <w:spacing w:after="0"/>
        <w:tabs>
          <w:tab w:leader="none" w:pos="1260" w:val="left"/>
        </w:tabs>
        <w:numPr>
          <w:ilvl w:val="0"/>
          <w:numId w:val="4"/>
        </w:numPr>
        <w:rPr>
          <w:rFonts w:ascii="Times New Roman" w:cs="Times New Roman" w:eastAsia="Times New Roman" w:hAnsi="Times New Roman"/>
          <w:sz w:val="18"/>
          <w:szCs w:val="18"/>
          <w:u w:val="single" w:color="auto"/>
          <w:color w:val="0000EE"/>
        </w:rPr>
      </w:pPr>
      <w:hyperlink w:anchor="page13">
        <w:r>
          <w:rPr>
            <w:rFonts w:ascii="Times New Roman" w:cs="Times New Roman" w:eastAsia="Times New Roman" w:hAnsi="Times New Roman"/>
            <w:sz w:val="18"/>
            <w:szCs w:val="18"/>
            <w:u w:val="single" w:color="auto"/>
            <w:color w:val="0000EE"/>
          </w:rPr>
          <w:t>Market for Registrant's Common Equity and Related Stockholder Matters</w:t>
        </w:r>
      </w:hyperlink>
    </w:p>
    <w:p>
      <w:pPr>
        <w:spacing w:after="0" w:line="21" w:lineRule="exact"/>
        <w:rPr>
          <w:rFonts w:ascii="Times New Roman" w:cs="Times New Roman" w:eastAsia="Times New Roman" w:hAnsi="Times New Roman"/>
          <w:sz w:val="18"/>
          <w:szCs w:val="18"/>
          <w:u w:val="single" w:color="auto"/>
          <w:color w:val="0000EE"/>
        </w:rPr>
      </w:pPr>
    </w:p>
    <w:p>
      <w:pPr>
        <w:ind w:left="1260" w:hanging="1252"/>
        <w:spacing w:after="0"/>
        <w:tabs>
          <w:tab w:leader="none" w:pos="1260" w:val="left"/>
        </w:tabs>
        <w:numPr>
          <w:ilvl w:val="0"/>
          <w:numId w:val="4"/>
        </w:numPr>
        <w:rPr>
          <w:rFonts w:ascii="Times New Roman" w:cs="Times New Roman" w:eastAsia="Times New Roman" w:hAnsi="Times New Roman"/>
          <w:sz w:val="18"/>
          <w:szCs w:val="18"/>
          <w:u w:val="single" w:color="auto"/>
          <w:color w:val="0000EE"/>
        </w:rPr>
      </w:pPr>
      <w:hyperlink w:anchor="page14">
        <w:r>
          <w:rPr>
            <w:rFonts w:ascii="Times New Roman" w:cs="Times New Roman" w:eastAsia="Times New Roman" w:hAnsi="Times New Roman"/>
            <w:sz w:val="18"/>
            <w:szCs w:val="18"/>
            <w:u w:val="single" w:color="auto"/>
            <w:color w:val="0000EE"/>
          </w:rPr>
          <w:t>Selected Financial Data</w:t>
        </w:r>
      </w:hyperlink>
    </w:p>
    <w:p>
      <w:pPr>
        <w:spacing w:after="0" w:line="9" w:lineRule="exact"/>
        <w:rPr>
          <w:rFonts w:ascii="Times New Roman" w:cs="Times New Roman" w:eastAsia="Times New Roman" w:hAnsi="Times New Roman"/>
          <w:sz w:val="18"/>
          <w:szCs w:val="18"/>
          <w:u w:val="single" w:color="auto"/>
          <w:color w:val="0000EE"/>
        </w:rPr>
      </w:pPr>
    </w:p>
    <w:p>
      <w:pPr>
        <w:ind w:left="1260" w:hanging="1252"/>
        <w:spacing w:after="0"/>
        <w:tabs>
          <w:tab w:leader="none" w:pos="1260" w:val="left"/>
        </w:tabs>
        <w:numPr>
          <w:ilvl w:val="0"/>
          <w:numId w:val="4"/>
        </w:numPr>
        <w:rPr>
          <w:rFonts w:ascii="Times New Roman" w:cs="Times New Roman" w:eastAsia="Times New Roman" w:hAnsi="Times New Roman"/>
          <w:sz w:val="18"/>
          <w:szCs w:val="18"/>
          <w:u w:val="single" w:color="auto"/>
          <w:color w:val="0000EE"/>
        </w:rPr>
      </w:pPr>
      <w:hyperlink w:anchor="page16">
        <w:r>
          <w:rPr>
            <w:rFonts w:ascii="Times New Roman" w:cs="Times New Roman" w:eastAsia="Times New Roman" w:hAnsi="Times New Roman"/>
            <w:sz w:val="18"/>
            <w:szCs w:val="18"/>
            <w:u w:val="single" w:color="auto"/>
            <w:color w:val="0000EE"/>
          </w:rPr>
          <w:t>Management's Discussion and Analysis of Financial Condition and Results of Operations</w:t>
        </w:r>
      </w:hyperlink>
    </w:p>
    <w:p>
      <w:pPr>
        <w:spacing w:after="0" w:line="9" w:lineRule="exact"/>
        <w:rPr>
          <w:rFonts w:ascii="Times New Roman" w:cs="Times New Roman" w:eastAsia="Times New Roman" w:hAnsi="Times New Roman"/>
          <w:sz w:val="18"/>
          <w:szCs w:val="18"/>
          <w:u w:val="single" w:color="auto"/>
          <w:color w:val="0000EE"/>
        </w:rPr>
      </w:pPr>
    </w:p>
    <w:p>
      <w:pPr>
        <w:spacing w:after="0"/>
        <w:rPr>
          <w:rFonts w:ascii="Times New Roman" w:cs="Times New Roman" w:eastAsia="Times New Roman" w:hAnsi="Times New Roman"/>
          <w:sz w:val="16"/>
          <w:szCs w:val="16"/>
          <w:u w:val="single" w:color="auto"/>
          <w:color w:val="0000EE"/>
        </w:rPr>
      </w:pPr>
      <w:r>
        <w:rPr>
          <w:rFonts w:ascii="Times New Roman" w:cs="Times New Roman" w:eastAsia="Times New Roman" w:hAnsi="Times New Roman"/>
          <w:sz w:val="18"/>
          <w:szCs w:val="18"/>
          <w:color w:val="auto"/>
        </w:rPr>
        <w:t>7A.</w:t>
      </w:r>
      <w:hyperlink w:anchor="page24">
        <w:r>
          <w:rPr>
            <w:rFonts w:ascii="Times New Roman" w:cs="Times New Roman" w:eastAsia="Times New Roman" w:hAnsi="Times New Roman"/>
            <w:sz w:val="16"/>
            <w:szCs w:val="16"/>
            <w:u w:val="single" w:color="auto"/>
            <w:color w:val="0000EE"/>
          </w:rPr>
          <w:t>Quantitative and Qualitative Disclosures About Market Risk</w:t>
        </w:r>
      </w:hyperlink>
    </w:p>
    <w:p>
      <w:pPr>
        <w:spacing w:after="0" w:line="9" w:lineRule="exact"/>
        <w:rPr>
          <w:rFonts w:ascii="Times New Roman" w:cs="Times New Roman" w:eastAsia="Times New Roman" w:hAnsi="Times New Roman"/>
          <w:sz w:val="16"/>
          <w:szCs w:val="16"/>
          <w:u w:val="single" w:color="auto"/>
          <w:color w:val="0000EE"/>
        </w:rPr>
      </w:pPr>
    </w:p>
    <w:p>
      <w:pPr>
        <w:ind w:left="1260" w:hanging="1252"/>
        <w:spacing w:after="0"/>
        <w:tabs>
          <w:tab w:leader="none" w:pos="1260" w:val="left"/>
        </w:tabs>
        <w:numPr>
          <w:ilvl w:val="0"/>
          <w:numId w:val="4"/>
        </w:numPr>
        <w:rPr>
          <w:rFonts w:ascii="Times New Roman" w:cs="Times New Roman" w:eastAsia="Times New Roman" w:hAnsi="Times New Roman"/>
          <w:sz w:val="18"/>
          <w:szCs w:val="18"/>
          <w:u w:val="single" w:color="auto"/>
          <w:color w:val="0000EE"/>
        </w:rPr>
      </w:pPr>
      <w:hyperlink w:anchor="page25">
        <w:r>
          <w:rPr>
            <w:rFonts w:ascii="Times New Roman" w:cs="Times New Roman" w:eastAsia="Times New Roman" w:hAnsi="Times New Roman"/>
            <w:sz w:val="18"/>
            <w:szCs w:val="18"/>
            <w:u w:val="single" w:color="auto"/>
            <w:color w:val="0000EE"/>
          </w:rPr>
          <w:t>Financial Statements and Supplementary Data</w:t>
        </w:r>
      </w:hyperlink>
    </w:p>
    <w:p>
      <w:pPr>
        <w:spacing w:after="0" w:line="9" w:lineRule="exact"/>
        <w:rPr>
          <w:rFonts w:ascii="Times New Roman" w:cs="Times New Roman" w:eastAsia="Times New Roman" w:hAnsi="Times New Roman"/>
          <w:sz w:val="18"/>
          <w:szCs w:val="18"/>
          <w:u w:val="single" w:color="auto"/>
          <w:color w:val="0000EE"/>
        </w:rPr>
      </w:pPr>
    </w:p>
    <w:p>
      <w:pPr>
        <w:ind w:left="1260" w:hanging="1252"/>
        <w:spacing w:after="0"/>
        <w:tabs>
          <w:tab w:leader="none" w:pos="1260" w:val="left"/>
        </w:tabs>
        <w:numPr>
          <w:ilvl w:val="0"/>
          <w:numId w:val="4"/>
        </w:numPr>
        <w:rPr>
          <w:rFonts w:ascii="Times New Roman" w:cs="Times New Roman" w:eastAsia="Times New Roman" w:hAnsi="Times New Roman"/>
          <w:sz w:val="18"/>
          <w:szCs w:val="18"/>
          <w:u w:val="single" w:color="auto"/>
          <w:color w:val="0000EE"/>
        </w:rPr>
      </w:pPr>
      <w:hyperlink w:anchor="page25">
        <w:r>
          <w:rPr>
            <w:rFonts w:ascii="Times New Roman" w:cs="Times New Roman" w:eastAsia="Times New Roman" w:hAnsi="Times New Roman"/>
            <w:sz w:val="18"/>
            <w:szCs w:val="18"/>
            <w:u w:val="single" w:color="auto"/>
            <w:color w:val="0000EE"/>
          </w:rPr>
          <w:t>Changes in and Disagreements with Accountants on Accounting and Financial Disclosure</w:t>
        </w:r>
      </w:hyperlink>
    </w:p>
    <w:p>
      <w:pPr>
        <w:spacing w:after="0" w:line="238" w:lineRule="exact"/>
        <w:rPr>
          <w:rFonts w:ascii="Times New Roman" w:cs="Times New Roman" w:eastAsia="Times New Roman" w:hAnsi="Times New Roman"/>
          <w:sz w:val="18"/>
          <w:szCs w:val="18"/>
          <w:color w:val="auto"/>
        </w:rPr>
      </w:pPr>
    </w:p>
    <w:p>
      <w:pPr>
        <w:jc w:val="center"/>
        <w:ind w:right="-19"/>
        <w:spacing w:after="0"/>
        <w:rPr>
          <w:rFonts w:ascii="Times New Roman" w:cs="Times New Roman" w:eastAsia="Times New Roman" w:hAnsi="Times New Roman"/>
          <w:sz w:val="18"/>
          <w:szCs w:val="18"/>
          <w:b w:val="1"/>
          <w:bCs w:val="1"/>
          <w:u w:val="single" w:color="auto"/>
          <w:color w:val="0000EE"/>
        </w:rPr>
      </w:pPr>
      <w:hyperlink w:anchor="page25">
        <w:r>
          <w:rPr>
            <w:rFonts w:ascii="Times New Roman" w:cs="Times New Roman" w:eastAsia="Times New Roman" w:hAnsi="Times New Roman"/>
            <w:sz w:val="18"/>
            <w:szCs w:val="18"/>
            <w:b w:val="1"/>
            <w:bCs w:val="1"/>
            <w:u w:val="single" w:color="auto"/>
            <w:color w:val="0000EE"/>
          </w:rPr>
          <w:t>PART III</w:t>
        </w:r>
      </w:hyperlink>
    </w:p>
    <w:p>
      <w:pPr>
        <w:spacing w:after="0" w:line="227" w:lineRule="exact"/>
        <w:rPr>
          <w:rFonts w:ascii="Times New Roman" w:cs="Times New Roman" w:eastAsia="Times New Roman" w:hAnsi="Times New Roman"/>
          <w:sz w:val="18"/>
          <w:szCs w:val="18"/>
          <w:color w:val="auto"/>
        </w:rPr>
      </w:pPr>
    </w:p>
    <w:p>
      <w:pPr>
        <w:ind w:left="1260" w:hanging="1252"/>
        <w:spacing w:after="0"/>
        <w:tabs>
          <w:tab w:leader="none" w:pos="1260" w:val="left"/>
        </w:tabs>
        <w:numPr>
          <w:ilvl w:val="0"/>
          <w:numId w:val="5"/>
        </w:numPr>
        <w:rPr>
          <w:rFonts w:ascii="Times New Roman" w:cs="Times New Roman" w:eastAsia="Times New Roman" w:hAnsi="Times New Roman"/>
          <w:sz w:val="18"/>
          <w:szCs w:val="18"/>
          <w:u w:val="single" w:color="auto"/>
          <w:color w:val="0000EE"/>
        </w:rPr>
      </w:pPr>
      <w:hyperlink w:anchor="page25">
        <w:r>
          <w:rPr>
            <w:rFonts w:ascii="Times New Roman" w:cs="Times New Roman" w:eastAsia="Times New Roman" w:hAnsi="Times New Roman"/>
            <w:sz w:val="18"/>
            <w:szCs w:val="18"/>
            <w:u w:val="single" w:color="auto"/>
            <w:color w:val="0000EE"/>
          </w:rPr>
          <w:t>Directors and Executive Officers of the Company</w:t>
        </w:r>
      </w:hyperlink>
    </w:p>
    <w:p>
      <w:pPr>
        <w:spacing w:after="0" w:line="21" w:lineRule="exact"/>
        <w:rPr>
          <w:rFonts w:ascii="Times New Roman" w:cs="Times New Roman" w:eastAsia="Times New Roman" w:hAnsi="Times New Roman"/>
          <w:sz w:val="18"/>
          <w:szCs w:val="18"/>
          <w:u w:val="single" w:color="auto"/>
          <w:color w:val="0000EE"/>
        </w:rPr>
      </w:pPr>
    </w:p>
    <w:p>
      <w:pPr>
        <w:ind w:left="1260" w:hanging="1252"/>
        <w:spacing w:after="0"/>
        <w:tabs>
          <w:tab w:leader="none" w:pos="1260" w:val="left"/>
        </w:tabs>
        <w:numPr>
          <w:ilvl w:val="0"/>
          <w:numId w:val="5"/>
        </w:numPr>
        <w:rPr>
          <w:rFonts w:ascii="Times New Roman" w:cs="Times New Roman" w:eastAsia="Times New Roman" w:hAnsi="Times New Roman"/>
          <w:sz w:val="18"/>
          <w:szCs w:val="18"/>
          <w:u w:val="single" w:color="auto"/>
          <w:color w:val="0000EE"/>
        </w:rPr>
      </w:pPr>
      <w:hyperlink w:anchor="page25">
        <w:r>
          <w:rPr>
            <w:rFonts w:ascii="Times New Roman" w:cs="Times New Roman" w:eastAsia="Times New Roman" w:hAnsi="Times New Roman"/>
            <w:sz w:val="18"/>
            <w:szCs w:val="18"/>
            <w:u w:val="single" w:color="auto"/>
            <w:color w:val="0000EE"/>
          </w:rPr>
          <w:t>Executive Compensation</w:t>
        </w:r>
      </w:hyperlink>
    </w:p>
    <w:p>
      <w:pPr>
        <w:spacing w:after="0" w:line="9" w:lineRule="exact"/>
        <w:rPr>
          <w:rFonts w:ascii="Times New Roman" w:cs="Times New Roman" w:eastAsia="Times New Roman" w:hAnsi="Times New Roman"/>
          <w:sz w:val="18"/>
          <w:szCs w:val="18"/>
          <w:u w:val="single" w:color="auto"/>
          <w:color w:val="0000EE"/>
        </w:rPr>
      </w:pPr>
    </w:p>
    <w:p>
      <w:pPr>
        <w:ind w:left="1260" w:hanging="1252"/>
        <w:spacing w:after="0"/>
        <w:tabs>
          <w:tab w:leader="none" w:pos="1260" w:val="left"/>
        </w:tabs>
        <w:numPr>
          <w:ilvl w:val="0"/>
          <w:numId w:val="5"/>
        </w:numPr>
        <w:rPr>
          <w:rFonts w:ascii="Times New Roman" w:cs="Times New Roman" w:eastAsia="Times New Roman" w:hAnsi="Times New Roman"/>
          <w:sz w:val="18"/>
          <w:szCs w:val="18"/>
          <w:u w:val="single" w:color="auto"/>
          <w:color w:val="0000EE"/>
        </w:rPr>
      </w:pPr>
      <w:hyperlink w:anchor="page25">
        <w:r>
          <w:rPr>
            <w:rFonts w:ascii="Times New Roman" w:cs="Times New Roman" w:eastAsia="Times New Roman" w:hAnsi="Times New Roman"/>
            <w:sz w:val="18"/>
            <w:szCs w:val="18"/>
            <w:u w:val="single" w:color="auto"/>
            <w:color w:val="0000EE"/>
          </w:rPr>
          <w:t>Security Ownership of Certain Beneficial Owners and Management and Related Stockholder Matters</w:t>
        </w:r>
      </w:hyperlink>
    </w:p>
    <w:p>
      <w:pPr>
        <w:spacing w:after="0" w:line="9" w:lineRule="exact"/>
        <w:rPr>
          <w:rFonts w:ascii="Times New Roman" w:cs="Times New Roman" w:eastAsia="Times New Roman" w:hAnsi="Times New Roman"/>
          <w:sz w:val="18"/>
          <w:szCs w:val="18"/>
          <w:u w:val="single" w:color="auto"/>
          <w:color w:val="0000EE"/>
        </w:rPr>
      </w:pPr>
    </w:p>
    <w:p>
      <w:pPr>
        <w:ind w:left="1260" w:hanging="1252"/>
        <w:spacing w:after="0"/>
        <w:tabs>
          <w:tab w:leader="none" w:pos="1260" w:val="left"/>
        </w:tabs>
        <w:numPr>
          <w:ilvl w:val="0"/>
          <w:numId w:val="5"/>
        </w:numPr>
        <w:rPr>
          <w:rFonts w:ascii="Times New Roman" w:cs="Times New Roman" w:eastAsia="Times New Roman" w:hAnsi="Times New Roman"/>
          <w:sz w:val="18"/>
          <w:szCs w:val="18"/>
          <w:u w:val="single" w:color="auto"/>
          <w:color w:val="0000EE"/>
        </w:rPr>
      </w:pPr>
      <w:hyperlink w:anchor="page25">
        <w:r>
          <w:rPr>
            <w:rFonts w:ascii="Times New Roman" w:cs="Times New Roman" w:eastAsia="Times New Roman" w:hAnsi="Times New Roman"/>
            <w:sz w:val="18"/>
            <w:szCs w:val="18"/>
            <w:u w:val="single" w:color="auto"/>
            <w:color w:val="0000EE"/>
          </w:rPr>
          <w:t>Certain Relationships and Related Transactions</w:t>
        </w:r>
      </w:hyperlink>
    </w:p>
    <w:p>
      <w:pPr>
        <w:spacing w:after="0" w:line="9" w:lineRule="exact"/>
        <w:rPr>
          <w:rFonts w:ascii="Times New Roman" w:cs="Times New Roman" w:eastAsia="Times New Roman" w:hAnsi="Times New Roman"/>
          <w:sz w:val="18"/>
          <w:szCs w:val="18"/>
          <w:u w:val="single" w:color="auto"/>
          <w:color w:val="0000EE"/>
        </w:rPr>
      </w:pPr>
    </w:p>
    <w:p>
      <w:pPr>
        <w:ind w:left="1260" w:hanging="1252"/>
        <w:spacing w:after="0"/>
        <w:tabs>
          <w:tab w:leader="none" w:pos="1260" w:val="left"/>
        </w:tabs>
        <w:numPr>
          <w:ilvl w:val="0"/>
          <w:numId w:val="5"/>
        </w:numPr>
        <w:rPr>
          <w:rFonts w:ascii="Times New Roman" w:cs="Times New Roman" w:eastAsia="Times New Roman" w:hAnsi="Times New Roman"/>
          <w:sz w:val="18"/>
          <w:szCs w:val="18"/>
          <w:u w:val="single" w:color="auto"/>
          <w:color w:val="0000EE"/>
        </w:rPr>
      </w:pPr>
      <w:hyperlink w:anchor="page25">
        <w:r>
          <w:rPr>
            <w:rFonts w:ascii="Times New Roman" w:cs="Times New Roman" w:eastAsia="Times New Roman" w:hAnsi="Times New Roman"/>
            <w:sz w:val="18"/>
            <w:szCs w:val="18"/>
            <w:u w:val="single" w:color="auto"/>
            <w:color w:val="0000EE"/>
          </w:rPr>
          <w:t>Controls and Procedures</w:t>
        </w:r>
      </w:hyperlink>
    </w:p>
    <w:p>
      <w:pPr>
        <w:spacing w:after="0" w:line="238" w:lineRule="exact"/>
        <w:rPr>
          <w:rFonts w:ascii="Times New Roman" w:cs="Times New Roman" w:eastAsia="Times New Roman" w:hAnsi="Times New Roman"/>
          <w:sz w:val="18"/>
          <w:szCs w:val="18"/>
          <w:color w:val="auto"/>
        </w:rPr>
      </w:pPr>
    </w:p>
    <w:p>
      <w:pPr>
        <w:jc w:val="center"/>
        <w:ind w:right="-19"/>
        <w:spacing w:after="0"/>
        <w:rPr>
          <w:rFonts w:ascii="Times New Roman" w:cs="Times New Roman" w:eastAsia="Times New Roman" w:hAnsi="Times New Roman"/>
          <w:sz w:val="18"/>
          <w:szCs w:val="18"/>
          <w:b w:val="1"/>
          <w:bCs w:val="1"/>
          <w:u w:val="single" w:color="auto"/>
          <w:color w:val="0000EE"/>
        </w:rPr>
      </w:pPr>
      <w:hyperlink w:anchor="page26">
        <w:r>
          <w:rPr>
            <w:rFonts w:ascii="Times New Roman" w:cs="Times New Roman" w:eastAsia="Times New Roman" w:hAnsi="Times New Roman"/>
            <w:sz w:val="18"/>
            <w:szCs w:val="18"/>
            <w:b w:val="1"/>
            <w:bCs w:val="1"/>
            <w:u w:val="single" w:color="auto"/>
            <w:color w:val="0000EE"/>
          </w:rPr>
          <w:t>PART IV</w:t>
        </w:r>
      </w:hyperlink>
    </w:p>
    <w:p>
      <w:pPr>
        <w:spacing w:after="0" w:line="227" w:lineRule="exact"/>
        <w:rPr>
          <w:rFonts w:ascii="Times New Roman" w:cs="Times New Roman" w:eastAsia="Times New Roman" w:hAnsi="Times New Roman"/>
          <w:sz w:val="18"/>
          <w:szCs w:val="18"/>
          <w:color w:val="auto"/>
        </w:rPr>
      </w:pPr>
    </w:p>
    <w:p>
      <w:pPr>
        <w:ind w:left="5680" w:right="5420" w:hanging="5672"/>
        <w:spacing w:after="0" w:line="430" w:lineRule="auto"/>
        <w:tabs>
          <w:tab w:leader="none" w:pos="1274" w:val="left"/>
        </w:tabs>
        <w:numPr>
          <w:ilvl w:val="0"/>
          <w:numId w:val="6"/>
        </w:numPr>
        <w:rPr>
          <w:rFonts w:ascii="Times New Roman" w:cs="Times New Roman" w:eastAsia="Times New Roman" w:hAnsi="Times New Roman"/>
          <w:sz w:val="16"/>
          <w:szCs w:val="16"/>
          <w:u w:val="single" w:color="auto"/>
          <w:color w:val="0000EE"/>
        </w:rPr>
      </w:pPr>
      <w:hyperlink w:anchor="page26">
        <w:r>
          <w:rPr>
            <w:rFonts w:ascii="Times New Roman" w:cs="Times New Roman" w:eastAsia="Times New Roman" w:hAnsi="Times New Roman"/>
            <w:sz w:val="16"/>
            <w:szCs w:val="16"/>
            <w:u w:val="single" w:color="auto"/>
            <w:color w:val="0000EE"/>
          </w:rPr>
          <w:t>Exhibits, Financial Statement Schedules, and Reports on Form 8-K</w:t>
        </w:r>
      </w:hyperlink>
      <w:r>
        <w:rPr>
          <w:rFonts w:ascii="Times New Roman" w:cs="Times New Roman" w:eastAsia="Times New Roman" w:hAnsi="Times New Roman"/>
          <w:sz w:val="16"/>
          <w:szCs w:val="16"/>
          <w:u w:val="single" w:color="auto"/>
          <w:color w:val="0000EE"/>
        </w:rPr>
        <w:t xml:space="preserve"> </w:t>
      </w:r>
      <w:r>
        <w:rPr>
          <w:rFonts w:ascii="Times New Roman" w:cs="Times New Roman" w:eastAsia="Times New Roman" w:hAnsi="Times New Roman"/>
          <w:sz w:val="16"/>
          <w:szCs w:val="16"/>
          <w:color w:val="000000"/>
        </w:rPr>
        <w:t>2</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3175</wp:posOffset>
            </wp:positionH>
            <wp:positionV relativeFrom="paragraph">
              <wp:posOffset>346710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72" w:lineRule="exact"/>
        <w:rPr>
          <w:rFonts w:ascii="Times New Roman" w:cs="Times New Roman" w:eastAsia="Times New Roman" w:hAnsi="Times New Roman"/>
          <w:sz w:val="18"/>
          <w:szCs w:val="18"/>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Caution Regarding Forward-Looking Statements</w:t>
      </w:r>
    </w:p>
    <w:p>
      <w:pPr>
        <w:spacing w:after="0" w:line="227" w:lineRule="exact"/>
        <w:rPr>
          <w:rFonts w:ascii="Times New Roman" w:cs="Times New Roman" w:eastAsia="Times New Roman" w:hAnsi="Times New Roman"/>
          <w:sz w:val="18"/>
          <w:szCs w:val="18"/>
          <w:color w:val="auto"/>
        </w:rPr>
      </w:pPr>
    </w:p>
    <w:p>
      <w:pPr>
        <w:ind w:firstLine="348"/>
        <w:spacing w:after="0" w:line="253" w:lineRule="auto"/>
        <w:rPr>
          <w:sz w:val="20"/>
          <w:szCs w:val="20"/>
          <w:color w:val="auto"/>
        </w:rPr>
      </w:pPr>
      <w:r>
        <w:rPr>
          <w:rFonts w:ascii="Times New Roman" w:cs="Times New Roman" w:eastAsia="Times New Roman" w:hAnsi="Times New Roman"/>
          <w:sz w:val="18"/>
          <w:szCs w:val="18"/>
          <w:color w:val="auto"/>
        </w:rPr>
        <w:t>This Form 10-K and the documents incorporated by reference herein contain forward-looking statements within the meaning of Section 27A of the Securities Act of 1933, as amended, and Section 21E of the Securities Exchange Act of 1934, as amended. Such statements may use words such as "anticipate," "believe," "estimate," "expect," "intend," "predict," "project" and similar expressions as they relate to us or our management. When we make forward-looking statements, we are basing them on our management's beliefs and assumptions, using information currently available to us. Although we believe that the expectations reflected in the forward-looking statements are reasonable, these forward-looking statements are subject to risks, uncertainties and assumptions, including those discussed in the "Risk Factors" section in Item 1 of this Form 10-K. If one or more of these or other risks or uncertainties materialize, or if our underlying assumptions prove to be incorrect, actual results may vary materially from what we projected. Any forward-looking statements contained in this annual report reflect our current views with respect to future events and are subject to these and other risks, uncertainties and assumptions relating to our operations, results of operations, growth strategy and liquidity. We have no intention, and disclaim any obligation, to update or revise any forward-looking statements, whether as a result of new information, future results or otherwise.</w:t>
      </w:r>
    </w:p>
    <w:p>
      <w:pPr>
        <w:spacing w:after="0" w:line="200" w:lineRule="exact"/>
        <w:rPr>
          <w:rFonts w:ascii="Times New Roman" w:cs="Times New Roman" w:eastAsia="Times New Roman" w:hAnsi="Times New Roman"/>
          <w:sz w:val="18"/>
          <w:szCs w:val="18"/>
          <w:color w:val="auto"/>
        </w:rPr>
      </w:pPr>
    </w:p>
    <w:p>
      <w:pPr>
        <w:spacing w:after="0" w:line="209" w:lineRule="exact"/>
        <w:rPr>
          <w:rFonts w:ascii="Times New Roman" w:cs="Times New Roman" w:eastAsia="Times New Roman" w:hAnsi="Times New Roman"/>
          <w:sz w:val="18"/>
          <w:szCs w:val="18"/>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rFonts w:ascii="Times New Roman" w:cs="Times New Roman" w:eastAsia="Times New Roman" w:hAnsi="Times New Roman"/>
          <w:sz w:val="18"/>
          <w:szCs w:val="18"/>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6"/>
          <w:szCs w:val="16"/>
          <w:b w:val="1"/>
          <w:bCs w:val="1"/>
          <w:color w:val="auto"/>
        </w:rPr>
        <w:t>Business</w:t>
      </w:r>
    </w:p>
    <w:p>
      <w:pPr>
        <w:spacing w:after="0" w:line="225"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227" w:lineRule="exact"/>
        <w:rPr>
          <w:rFonts w:ascii="Times New Roman" w:cs="Times New Roman" w:eastAsia="Times New Roman" w:hAnsi="Times New Roman"/>
          <w:sz w:val="18"/>
          <w:szCs w:val="18"/>
          <w:color w:val="auto"/>
        </w:rPr>
      </w:pPr>
    </w:p>
    <w:p>
      <w:pPr>
        <w:ind w:right="40" w:firstLine="348"/>
        <w:spacing w:after="0" w:line="296" w:lineRule="auto"/>
        <w:rPr>
          <w:sz w:val="20"/>
          <w:szCs w:val="20"/>
          <w:color w:val="auto"/>
        </w:rPr>
      </w:pPr>
      <w:r>
        <w:rPr>
          <w:rFonts w:ascii="Times New Roman" w:cs="Times New Roman" w:eastAsia="Times New Roman" w:hAnsi="Times New Roman"/>
          <w:sz w:val="16"/>
          <w:szCs w:val="16"/>
          <w:color w:val="auto"/>
        </w:rPr>
        <w:t>We are a leading provider of transaction services, credit services and marketing services in North America. We focus on facilitating and managing electronic transactions between our clients and their customers through multiple distribution channels including in-store, catalog and the Internet. Our credit and marketing services assist our clients in identifying and acquiring new customers, as well as helping to increase the loyalty and profitability of their existing customers. We have a client base in excess of 300 companies, consisting mostly of specialty retailers, petroleum retailers, supermarkets, financial services companies and utilities. We generally have long-term relationships with our clients, with contracts typically ranging from three to five years in duration.</w:t>
      </w:r>
    </w:p>
    <w:p>
      <w:pPr>
        <w:spacing w:after="0" w:line="162" w:lineRule="exact"/>
        <w:rPr>
          <w:rFonts w:ascii="Times New Roman" w:cs="Times New Roman" w:eastAsia="Times New Roman" w:hAnsi="Times New Roman"/>
          <w:sz w:val="18"/>
          <w:szCs w:val="18"/>
          <w:color w:val="auto"/>
        </w:rPr>
      </w:pPr>
    </w:p>
    <w:p>
      <w:pPr>
        <w:ind w:right="40" w:firstLine="348"/>
        <w:spacing w:after="0" w:line="339" w:lineRule="auto"/>
        <w:rPr>
          <w:sz w:val="20"/>
          <w:szCs w:val="20"/>
          <w:color w:val="auto"/>
        </w:rPr>
      </w:pPr>
      <w:r>
        <w:rPr>
          <w:rFonts w:ascii="Times New Roman" w:cs="Times New Roman" w:eastAsia="Times New Roman" w:hAnsi="Times New Roman"/>
          <w:sz w:val="16"/>
          <w:szCs w:val="16"/>
          <w:color w:val="auto"/>
        </w:rPr>
        <w:t>We are the result of the 1996 merger of two entities acquired by Welsh Carson Anderson &amp; Stowe: J.C. Penney's transaction services business, BSI Business Services, Inc., and Limited Brands, Inc.'s credit card bank operation, World Financial Network National Bank. In June 2001, we concluded the initial public</w:t>
      </w:r>
    </w:p>
    <w:p>
      <w:pPr>
        <w:sectPr>
          <w:pgSz w:w="11900" w:h="16838" w:orient="portrait"/>
          <w:cols w:equalWidth="0" w:num="1">
            <w:col w:w="11400"/>
          </w:cols>
          <w:pgMar w:left="240" w:top="125" w:right="259" w:bottom="0" w:gutter="0" w:footer="0" w:header="0"/>
        </w:sectPr>
      </w:pPr>
    </w:p>
    <w:bookmarkStart w:id="2" w:name="page3"/>
    <w:bookmarkEnd w:id="2"/>
    <w:p>
      <w:pPr>
        <w:ind w:right="20"/>
        <w:spacing w:after="0" w:line="275" w:lineRule="auto"/>
        <w:rPr>
          <w:sz w:val="20"/>
          <w:szCs w:val="20"/>
          <w:color w:val="auto"/>
        </w:rPr>
      </w:pPr>
      <w:r>
        <w:rPr>
          <w:rFonts w:ascii="Times New Roman" w:cs="Times New Roman" w:eastAsia="Times New Roman" w:hAnsi="Times New Roman"/>
          <w:sz w:val="18"/>
          <w:szCs w:val="18"/>
          <w:color w:val="auto"/>
        </w:rPr>
        <w:t>offering of our common stock, which is listed on the New York Stock Exchange. We continue to execute on our growth strategy through a combination of internal growth and acquisitions.</w:t>
      </w:r>
    </w:p>
    <w:p>
      <w:pPr>
        <w:spacing w:after="0" w:line="174" w:lineRule="exact"/>
        <w:rPr>
          <w:sz w:val="20"/>
          <w:szCs w:val="20"/>
          <w:color w:val="auto"/>
        </w:rPr>
      </w:pPr>
    </w:p>
    <w:p>
      <w:pPr>
        <w:ind w:right="80" w:firstLine="351"/>
        <w:spacing w:after="0" w:line="254" w:lineRule="auto"/>
        <w:rPr>
          <w:sz w:val="20"/>
          <w:szCs w:val="20"/>
          <w:color w:val="auto"/>
        </w:rPr>
      </w:pPr>
      <w:r>
        <w:rPr>
          <w:rFonts w:ascii="Times New Roman" w:cs="Times New Roman" w:eastAsia="Times New Roman" w:hAnsi="Times New Roman"/>
          <w:sz w:val="18"/>
          <w:szCs w:val="18"/>
          <w:color w:val="auto"/>
        </w:rPr>
        <w:t>During 2002, we announced contracts to provide private label credit card services to Crate and Barrel, Pottery Barn and Pottery Barn Kids, Ann Taylor, Ann Taylor Loft and Ann Taylor Factory Stores, Restoration Hardware, Gordmans Inc., and American Signature Home. In August 2002, we extended our client relationships through August 2009 with Limited Brands and its retail affiliates, including The Limited, Victoria's Secret Stores, Victoria's Secret Catalogue, Express, Bath &amp; Body Works, Lerner New York, Henri Bendel and Structure, which includes Express Men's. Limited Brands, indirectly through Limited Commerce Corp., is one of our largest stockholders and, together with its retail affiliates, is our largest client, representing approximately 18.8% of our 2002 consolidated revenue. In December 2002, we extended our client relationship through January 2013 with Brylane's catalog brands, including Chadwick's of Boston, Lane Bryant Catalog, Roaman's, Brylane Home, Brylane Home Kitchen, Lerner Catalog, King Size, Jessica London and La Redoute.</w:t>
      </w:r>
    </w:p>
    <w:p>
      <w:pPr>
        <w:spacing w:after="0" w:line="195" w:lineRule="exact"/>
        <w:rPr>
          <w:sz w:val="20"/>
          <w:szCs w:val="20"/>
          <w:color w:val="auto"/>
        </w:rPr>
      </w:pPr>
    </w:p>
    <w:p>
      <w:pPr>
        <w:ind w:right="140" w:firstLine="348"/>
        <w:spacing w:after="0" w:line="286" w:lineRule="auto"/>
        <w:rPr>
          <w:sz w:val="20"/>
          <w:szCs w:val="20"/>
          <w:color w:val="auto"/>
        </w:rPr>
      </w:pPr>
      <w:r>
        <w:rPr>
          <w:rFonts w:ascii="Times New Roman" w:cs="Times New Roman" w:eastAsia="Times New Roman" w:hAnsi="Times New Roman"/>
          <w:sz w:val="18"/>
          <w:szCs w:val="18"/>
          <w:color w:val="auto"/>
        </w:rPr>
        <w:t>We signed contract extensions or renewals with Amex Bank of Canada, the retail services division of BMO Bank of Montreal, and Canada Safeway, each a significant sponsor of our AIR MILES</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Reward Program, and initiated new sponsor categories with the addition of Manulife Financial and</w:t>
      </w:r>
    </w:p>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20"/>
        <w:spacing w:after="0" w:line="262" w:lineRule="auto"/>
        <w:rPr>
          <w:sz w:val="20"/>
          <w:szCs w:val="20"/>
          <w:color w:val="auto"/>
        </w:rPr>
      </w:pPr>
      <w:r>
        <w:rPr>
          <w:rFonts w:ascii="Times New Roman" w:cs="Times New Roman" w:eastAsia="Times New Roman" w:hAnsi="Times New Roman"/>
          <w:sz w:val="18"/>
          <w:szCs w:val="18"/>
          <w:color w:val="auto"/>
        </w:rPr>
        <w:t>Northwest Airlines. In January 2002, we acquired Frequency Marketing, Inc., a small marketing services firm that provides resources and technology for the design, implementation and management of loyalty marketing programs. The acquisition added products and services for our loyalty marketing offerings in the United States.</w:t>
      </w:r>
    </w:p>
    <w:p>
      <w:pPr>
        <w:spacing w:after="0" w:line="186" w:lineRule="exact"/>
        <w:rPr>
          <w:sz w:val="20"/>
          <w:szCs w:val="20"/>
          <w:color w:val="auto"/>
        </w:rPr>
      </w:pPr>
    </w:p>
    <w:p>
      <w:pPr>
        <w:ind w:right="100" w:firstLine="348"/>
        <w:spacing w:after="0" w:line="258" w:lineRule="auto"/>
        <w:rPr>
          <w:sz w:val="20"/>
          <w:szCs w:val="20"/>
          <w:color w:val="auto"/>
        </w:rPr>
      </w:pPr>
      <w:r>
        <w:rPr>
          <w:rFonts w:ascii="Times New Roman" w:cs="Times New Roman" w:eastAsia="Times New Roman" w:hAnsi="Times New Roman"/>
          <w:sz w:val="18"/>
          <w:szCs w:val="18"/>
          <w:color w:val="auto"/>
        </w:rPr>
        <w:t>We extended our utility services relationship for five years with Georgia Natural Gas in December 2002. In September 2002, we entered into a new utility services relationship with an affiliate of Duke Energy in connection with our acquisition of Enlogix Group, formerly wholly-owned subsidiaries of Duke Energy, which provides customer information system services to utilities in Canada. We also signed a multi-year extension to continue as Marathon Ashland Petroleum's exclusive provider of network processing and bankcard settlement.</w:t>
      </w:r>
    </w:p>
    <w:p>
      <w:pPr>
        <w:spacing w:after="0" w:line="19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Our corporate headquarters are located at 17655 Waterview Parkway, Dallas, Texas 75252, and our telephone number is 972-348-5100.</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Market Opportunity and Growth Strategy</w:t>
      </w:r>
    </w:p>
    <w:p>
      <w:pPr>
        <w:spacing w:after="0" w:line="227" w:lineRule="exact"/>
        <w:rPr>
          <w:sz w:val="20"/>
          <w:szCs w:val="20"/>
          <w:color w:val="auto"/>
        </w:rPr>
      </w:pPr>
    </w:p>
    <w:p>
      <w:pPr>
        <w:ind w:right="20" w:firstLine="351"/>
        <w:spacing w:after="0" w:line="255" w:lineRule="auto"/>
        <w:rPr>
          <w:sz w:val="20"/>
          <w:szCs w:val="20"/>
          <w:color w:val="auto"/>
        </w:rPr>
      </w:pPr>
      <w:r>
        <w:rPr>
          <w:rFonts w:ascii="Times New Roman" w:cs="Times New Roman" w:eastAsia="Times New Roman" w:hAnsi="Times New Roman"/>
          <w:sz w:val="18"/>
          <w:szCs w:val="18"/>
          <w:color w:val="auto"/>
        </w:rPr>
        <w:t>Our services are applicable to the full spectrum of commerce opportunities involving companies that sell products and services to individual consumers. We are well positioned to benefit from trends favoring outsourcing and electronic transactions. Many companies, including retailers, petroleum companies and utilities, lack the economies of scale and core competencies necessary to support their own transaction processing infrastructure and credit card and database operations. Companies are also increasingly outsourcing the development and management of their marketing programs. Additionally, the use of card-based forms of payment by consumers in the United States has steadily increased over the past ten years. According to The Nilson Report, consumer expenditures in the United States using card-based systems are expected to grow from 32% of all payments in 2001 to 46% in 2010.</w:t>
      </w:r>
    </w:p>
    <w:p>
      <w:pPr>
        <w:spacing w:after="0" w:line="19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Our growth strategy is to pursue initiatives to capitalize on our market position and core competencies. Key elements of our strategy are:</w:t>
      </w:r>
    </w:p>
    <w:p>
      <w:pPr>
        <w:spacing w:after="0" w:line="237" w:lineRule="exact"/>
        <w:rPr>
          <w:sz w:val="20"/>
          <w:szCs w:val="20"/>
          <w:color w:val="auto"/>
        </w:rPr>
      </w:pPr>
    </w:p>
    <w:p>
      <w:pPr>
        <w:ind w:left="1080" w:right="40" w:hanging="532"/>
        <w:spacing w:after="0" w:line="259"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expanding relationships with our base of over 300 clients by offering them integrated transaction processing and marketing services</w:t>
      </w:r>
      <w:r>
        <w:rPr>
          <w:rFonts w:ascii="Times New Roman" w:cs="Times New Roman" w:eastAsia="Times New Roman" w:hAnsi="Times New Roman"/>
          <w:sz w:val="18"/>
          <w:szCs w:val="18"/>
          <w:color w:val="auto"/>
        </w:rPr>
        <w:t>. We offer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clients products and services that will help them more effectively understand and service their customers and allow them to build and maintain long-term relationships with their customers. By providing services directly to our clients' customers we are able to become an integral part of our clients' business.</w:t>
      </w:r>
    </w:p>
    <w:p>
      <w:pPr>
        <w:spacing w:after="0" w:line="213" w:lineRule="exact"/>
        <w:rPr>
          <w:rFonts w:ascii="Times New Roman" w:cs="Times New Roman" w:eastAsia="Times New Roman" w:hAnsi="Times New Roman"/>
          <w:sz w:val="18"/>
          <w:szCs w:val="18"/>
          <w:color w:val="auto"/>
        </w:rPr>
      </w:pPr>
    </w:p>
    <w:p>
      <w:pPr>
        <w:ind w:left="1080" w:right="20" w:hanging="532"/>
        <w:spacing w:after="0" w:line="264"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expanding our client base in our existing market sectors</w:t>
      </w:r>
      <w:r>
        <w:rPr>
          <w:rFonts w:ascii="Times New Roman" w:cs="Times New Roman" w:eastAsia="Times New Roman" w:hAnsi="Times New Roman"/>
          <w:sz w:val="18"/>
          <w:szCs w:val="18"/>
          <w:color w:val="auto"/>
        </w:rPr>
        <w:t>. We will continue focusing on particular markets that are experiencing rapid growth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increasingly utilizing outsourcing, such as transaction and credit services related to our private label programs for retailers, marketing services related to the AIR MILES Reward Program in Canada and transaction services for the utility industry.</w:t>
      </w:r>
    </w:p>
    <w:p>
      <w:pPr>
        <w:spacing w:after="0" w:line="194" w:lineRule="exact"/>
        <w:rPr>
          <w:rFonts w:ascii="Times New Roman" w:cs="Times New Roman" w:eastAsia="Times New Roman" w:hAnsi="Times New Roman"/>
          <w:sz w:val="18"/>
          <w:szCs w:val="18"/>
          <w:color w:val="auto"/>
        </w:rPr>
      </w:pPr>
    </w:p>
    <w:p>
      <w:pPr>
        <w:jc w:val="both"/>
        <w:ind w:left="1080" w:right="160" w:hanging="532"/>
        <w:spacing w:after="0" w:line="259"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continuing to establish long-term relationships with our clients that result in a stable and recurring revenue base</w:t>
      </w:r>
      <w:r>
        <w:rPr>
          <w:rFonts w:ascii="Times New Roman" w:cs="Times New Roman" w:eastAsia="Times New Roman" w:hAnsi="Times New Roman"/>
          <w:sz w:val="18"/>
          <w:szCs w:val="18"/>
          <w:color w:val="auto"/>
        </w:rPr>
        <w:t>. We seek to maintain a stable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recurring revenue base by building and maintaining long-term relationships with our clients and entering into contracts that typically extend for three to five years. Most of our services require the payment of monthly charges based on the number of transactions we process, allowing us to generate recurring revenues.</w:t>
      </w:r>
    </w:p>
    <w:p>
      <w:pPr>
        <w:spacing w:after="0" w:line="200" w:lineRule="exact"/>
        <w:rPr>
          <w:rFonts w:ascii="Times New Roman" w:cs="Times New Roman" w:eastAsia="Times New Roman" w:hAnsi="Times New Roman"/>
          <w:sz w:val="18"/>
          <w:szCs w:val="18"/>
          <w:color w:val="auto"/>
        </w:rPr>
      </w:pPr>
    </w:p>
    <w:p>
      <w:pPr>
        <w:ind w:left="1080" w:right="240" w:hanging="532"/>
        <w:spacing w:after="0" w:line="259"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pursuing focused, strategic acquisitions and alliances to enhance our core capabilities, increase our scale and expand our range of services</w:t>
      </w:r>
      <w:r>
        <w:rPr>
          <w:rFonts w:ascii="Times New Roman" w:cs="Times New Roman" w:eastAsia="Times New Roman" w:hAnsi="Times New Roman"/>
          <w:sz w:val="18"/>
          <w:szCs w:val="18"/>
          <w:color w:val="auto"/>
        </w:rPr>
        <w:t>. Since our inception we have grown in part through selective acquisitions. We intend to continue to acquire other companies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complementary products, services or relationships to enhance and expand our offering and increase our market share. We also seek to enter into other strategic relationships that extend our customer reach and generate additional revenue.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Products and Services</w:t>
      </w:r>
    </w:p>
    <w:p>
      <w:pPr>
        <w:spacing w:after="0" w:line="227" w:lineRule="exact"/>
        <w:rPr>
          <w:sz w:val="20"/>
          <w:szCs w:val="20"/>
          <w:color w:val="auto"/>
        </w:rPr>
      </w:pPr>
    </w:p>
    <w:p>
      <w:pPr>
        <w:ind w:right="120" w:firstLine="351"/>
        <w:spacing w:after="0" w:line="262" w:lineRule="auto"/>
        <w:rPr>
          <w:sz w:val="20"/>
          <w:szCs w:val="20"/>
          <w:color w:val="auto"/>
        </w:rPr>
      </w:pPr>
      <w:r>
        <w:rPr>
          <w:rFonts w:ascii="Times New Roman" w:cs="Times New Roman" w:eastAsia="Times New Roman" w:hAnsi="Times New Roman"/>
          <w:sz w:val="18"/>
          <w:szCs w:val="18"/>
          <w:color w:val="auto"/>
        </w:rPr>
        <w:t>Our products and services are centered around three core capabilities—Transaction Services, Credit Services and Marketing Services. We have traditionally marketed and sold our products and services on a stand-alone basis, but increasingly are marketing and selling them on a bundled and integrated basis. Our products and services and target markets are listed below.</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3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3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640" w:type="dxa"/>
            <w:vAlign w:val="bottom"/>
          </w:tcPr>
          <w:p>
            <w:pPr>
              <w:ind w:left="1980"/>
              <w:spacing w:after="0"/>
              <w:rPr>
                <w:sz w:val="20"/>
                <w:szCs w:val="20"/>
                <w:color w:val="auto"/>
              </w:rPr>
            </w:pPr>
            <w:r>
              <w:rPr>
                <w:rFonts w:ascii="Times New Roman" w:cs="Times New Roman" w:eastAsia="Times New Roman" w:hAnsi="Times New Roman"/>
                <w:sz w:val="14"/>
                <w:szCs w:val="14"/>
                <w:b w:val="1"/>
                <w:bCs w:val="1"/>
                <w:color w:val="auto"/>
              </w:rPr>
              <w:t>Products and Services</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80" w:type="dxa"/>
            <w:vAlign w:val="bottom"/>
          </w:tcPr>
          <w:p>
            <w:pPr>
              <w:ind w:left="640"/>
              <w:spacing w:after="0"/>
              <w:rPr>
                <w:sz w:val="20"/>
                <w:szCs w:val="20"/>
                <w:color w:val="auto"/>
              </w:rPr>
            </w:pPr>
            <w:r>
              <w:rPr>
                <w:rFonts w:ascii="Times New Roman" w:cs="Times New Roman" w:eastAsia="Times New Roman" w:hAnsi="Times New Roman"/>
                <w:sz w:val="14"/>
                <w:szCs w:val="14"/>
                <w:b w:val="1"/>
                <w:bCs w:val="1"/>
                <w:color w:val="auto"/>
              </w:rPr>
              <w:t>Target Markets</w:t>
            </w:r>
          </w:p>
        </w:tc>
      </w:tr>
      <w:tr>
        <w:trPr>
          <w:trHeight w:val="105"/>
        </w:trPr>
        <w:tc>
          <w:tcPr>
            <w:tcW w:w="230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6040" w:type="dxa"/>
            <w:vAlign w:val="bottom"/>
            <w:tcBorders>
              <w:bottom w:val="single" w:sz="8" w:color="808080"/>
            </w:tcBorders>
            <w:gridSpan w:val="2"/>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280" w:type="dxa"/>
            <w:vAlign w:val="bottom"/>
            <w:tcBorders>
              <w:bottom w:val="single" w:sz="8" w:color="808080"/>
            </w:tcBorders>
          </w:tcPr>
          <w:p>
            <w:pPr>
              <w:spacing w:after="0"/>
              <w:rPr>
                <w:sz w:val="9"/>
                <w:szCs w:val="9"/>
                <w:color w:val="auto"/>
              </w:rPr>
            </w:pPr>
          </w:p>
        </w:tc>
      </w:tr>
      <w:tr>
        <w:trPr>
          <w:trHeight w:val="307"/>
        </w:trPr>
        <w:tc>
          <w:tcPr>
            <w:tcW w:w="2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Transaction Services</w:t>
            </w:r>
          </w:p>
        </w:tc>
        <w:tc>
          <w:tcPr>
            <w:tcW w:w="64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 Issuer Services</w:t>
            </w:r>
          </w:p>
        </w:tc>
        <w:tc>
          <w:tcPr>
            <w:tcW w:w="320" w:type="dxa"/>
            <w:vAlign w:val="bottom"/>
          </w:tcPr>
          <w:p>
            <w:pPr>
              <w:spacing w:after="0"/>
              <w:rPr>
                <w:sz w:val="24"/>
                <w:szCs w:val="24"/>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Specialty Retail</w:t>
            </w:r>
          </w:p>
        </w:tc>
      </w:tr>
      <w:tr>
        <w:trPr>
          <w:trHeight w:val="216"/>
        </w:trPr>
        <w:tc>
          <w:tcPr>
            <w:tcW w:w="2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5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Card Processing</w:t>
            </w:r>
          </w:p>
        </w:tc>
        <w:tc>
          <w:tcPr>
            <w:tcW w:w="3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Utility</w:t>
            </w:r>
          </w:p>
        </w:tc>
      </w:tr>
      <w:tr>
        <w:trPr>
          <w:trHeight w:val="228"/>
        </w:trPr>
        <w:tc>
          <w:tcPr>
            <w:tcW w:w="2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5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Billing and Payment Processing</w:t>
            </w:r>
          </w:p>
        </w:tc>
        <w:tc>
          <w:tcPr>
            <w:tcW w:w="32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Petroleum Retail</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1452245</wp:posOffset>
            </wp:positionH>
            <wp:positionV relativeFrom="paragraph">
              <wp:posOffset>-491490</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-491490</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-491490</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1684020</wp:posOffset>
            </wp:positionH>
            <wp:positionV relativeFrom="paragraph">
              <wp:posOffset>-491490</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-491490</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-491490</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ind w:left="2840"/>
        <w:spacing w:after="0"/>
        <w:rPr>
          <w:sz w:val="20"/>
          <w:szCs w:val="20"/>
          <w:color w:val="auto"/>
        </w:rPr>
      </w:pPr>
      <w:r>
        <w:rPr>
          <w:rFonts w:ascii="Times New Roman" w:cs="Times New Roman" w:eastAsia="Times New Roman" w:hAnsi="Times New Roman"/>
          <w:sz w:val="18"/>
          <w:szCs w:val="18"/>
          <w:color w:val="auto"/>
        </w:rPr>
        <w:t>— Customer Care</w:t>
      </w:r>
    </w:p>
    <w:p>
      <w:pPr>
        <w:spacing w:after="0" w:line="9" w:lineRule="exact"/>
        <w:rPr>
          <w:sz w:val="20"/>
          <w:szCs w:val="20"/>
          <w:color w:val="auto"/>
        </w:rPr>
      </w:pPr>
    </w:p>
    <w:p>
      <w:pPr>
        <w:ind w:left="2800" w:hanging="145"/>
        <w:spacing w:after="0"/>
        <w:tabs>
          <w:tab w:leader="none" w:pos="2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Utility Services</w:t>
      </w:r>
    </w:p>
    <w:p>
      <w:pPr>
        <w:sectPr>
          <w:pgSz w:w="11900" w:h="16838" w:orient="portrait"/>
          <w:cols w:equalWidth="0" w:num="1">
            <w:col w:w="11420"/>
          </w:cols>
          <w:pgMar w:left="240" w:top="125" w:right="239" w:bottom="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16"/>
        </w:trPr>
        <w:tc>
          <w:tcPr>
            <w:tcW w:w="2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Customer Information System Hosting</w:t>
            </w:r>
          </w:p>
        </w:tc>
        <w:tc>
          <w:tcPr>
            <w:tcW w:w="17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2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Customer Care</w:t>
            </w:r>
          </w:p>
        </w:tc>
        <w:tc>
          <w:tcPr>
            <w:tcW w:w="17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2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Billing and Payment Processing</w:t>
            </w:r>
          </w:p>
        </w:tc>
        <w:tc>
          <w:tcPr>
            <w:tcW w:w="17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2060" w:type="dxa"/>
            <w:vAlign w:val="bottom"/>
          </w:tcPr>
          <w:p>
            <w:pPr>
              <w:spacing w:after="0"/>
              <w:rPr>
                <w:sz w:val="18"/>
                <w:szCs w:val="18"/>
                <w:color w:val="auto"/>
              </w:rPr>
            </w:pPr>
          </w:p>
        </w:tc>
        <w:tc>
          <w:tcPr>
            <w:tcW w:w="7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4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Merchant Services</w:t>
            </w:r>
          </w:p>
        </w:tc>
        <w:tc>
          <w:tcPr>
            <w:tcW w:w="17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2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Point-of-Sale Services</w:t>
            </w:r>
          </w:p>
        </w:tc>
        <w:tc>
          <w:tcPr>
            <w:tcW w:w="17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28"/>
        </w:trPr>
        <w:tc>
          <w:tcPr>
            <w:tcW w:w="20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Merchant Bankcard Services</w:t>
            </w:r>
          </w:p>
        </w:tc>
        <w:tc>
          <w:tcPr>
            <w:tcW w:w="172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420"/>
        </w:trPr>
        <w:tc>
          <w:tcPr>
            <w:tcW w:w="2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Credit Services</w:t>
            </w:r>
          </w:p>
        </w:tc>
        <w:tc>
          <w:tcPr>
            <w:tcW w:w="7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4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Private Label Receivables Financing</w:t>
            </w:r>
          </w:p>
        </w:tc>
        <w:tc>
          <w:tcPr>
            <w:tcW w:w="172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Specialty Retail</w:t>
            </w:r>
          </w:p>
        </w:tc>
      </w:tr>
      <w:tr>
        <w:trPr>
          <w:trHeight w:val="216"/>
        </w:trPr>
        <w:tc>
          <w:tcPr>
            <w:tcW w:w="2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Underwriting and Risk Management</w:t>
            </w:r>
          </w:p>
        </w:tc>
        <w:tc>
          <w:tcPr>
            <w:tcW w:w="3060" w:type="dxa"/>
            <w:vAlign w:val="bottom"/>
            <w:gridSpan w:val="2"/>
          </w:tcPr>
          <w:p>
            <w:pPr>
              <w:ind w:left="1600"/>
              <w:spacing w:after="0"/>
              <w:rPr>
                <w:sz w:val="20"/>
                <w:szCs w:val="20"/>
                <w:color w:val="auto"/>
              </w:rPr>
            </w:pPr>
            <w:r>
              <w:rPr>
                <w:rFonts w:ascii="Times New Roman" w:cs="Times New Roman" w:eastAsia="Times New Roman" w:hAnsi="Times New Roman"/>
                <w:sz w:val="18"/>
                <w:szCs w:val="18"/>
                <w:color w:val="auto"/>
              </w:rPr>
              <w:t>• Petroleum Retail</w:t>
            </w:r>
          </w:p>
        </w:tc>
      </w:tr>
      <w:tr>
        <w:trPr>
          <w:trHeight w:val="216"/>
        </w:trPr>
        <w:tc>
          <w:tcPr>
            <w:tcW w:w="2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Merchant Processing</w:t>
            </w:r>
          </w:p>
        </w:tc>
        <w:tc>
          <w:tcPr>
            <w:tcW w:w="17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28"/>
        </w:trPr>
        <w:tc>
          <w:tcPr>
            <w:tcW w:w="20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Receivables Funding</w:t>
            </w:r>
          </w:p>
        </w:tc>
        <w:tc>
          <w:tcPr>
            <w:tcW w:w="172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420"/>
        </w:trPr>
        <w:tc>
          <w:tcPr>
            <w:tcW w:w="2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Marketing Services</w:t>
            </w:r>
          </w:p>
        </w:tc>
        <w:tc>
          <w:tcPr>
            <w:tcW w:w="7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4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Loyalty Programs</w:t>
            </w:r>
          </w:p>
        </w:tc>
        <w:tc>
          <w:tcPr>
            <w:tcW w:w="172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Specialty Retail</w:t>
            </w:r>
          </w:p>
        </w:tc>
      </w:tr>
      <w:tr>
        <w:trPr>
          <w:trHeight w:val="216"/>
        </w:trPr>
        <w:tc>
          <w:tcPr>
            <w:tcW w:w="2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AIR MILES Reward Program</w:t>
            </w:r>
          </w:p>
        </w:tc>
        <w:tc>
          <w:tcPr>
            <w:tcW w:w="3060" w:type="dxa"/>
            <w:vAlign w:val="bottom"/>
            <w:gridSpan w:val="2"/>
          </w:tcPr>
          <w:p>
            <w:pPr>
              <w:ind w:left="1600"/>
              <w:spacing w:after="0"/>
              <w:rPr>
                <w:sz w:val="20"/>
                <w:szCs w:val="20"/>
                <w:color w:val="auto"/>
              </w:rPr>
            </w:pPr>
            <w:r>
              <w:rPr>
                <w:rFonts w:ascii="Times New Roman" w:cs="Times New Roman" w:eastAsia="Times New Roman" w:hAnsi="Times New Roman"/>
                <w:sz w:val="18"/>
                <w:szCs w:val="18"/>
                <w:color w:val="auto"/>
              </w:rPr>
              <w:t>• Petroleum Retail</w:t>
            </w:r>
          </w:p>
        </w:tc>
      </w:tr>
      <w:tr>
        <w:trPr>
          <w:trHeight w:val="216"/>
        </w:trPr>
        <w:tc>
          <w:tcPr>
            <w:tcW w:w="2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One-to-One Loyalty</w:t>
            </w:r>
          </w:p>
        </w:tc>
        <w:tc>
          <w:tcPr>
            <w:tcW w:w="3060" w:type="dxa"/>
            <w:vAlign w:val="bottom"/>
            <w:gridSpan w:val="2"/>
          </w:tcPr>
          <w:p>
            <w:pPr>
              <w:ind w:left="1600"/>
              <w:spacing w:after="0"/>
              <w:rPr>
                <w:sz w:val="20"/>
                <w:szCs w:val="20"/>
                <w:color w:val="auto"/>
              </w:rPr>
            </w:pPr>
            <w:r>
              <w:rPr>
                <w:rFonts w:ascii="Times New Roman" w:cs="Times New Roman" w:eastAsia="Times New Roman" w:hAnsi="Times New Roman"/>
                <w:sz w:val="18"/>
                <w:szCs w:val="18"/>
                <w:color w:val="auto"/>
              </w:rPr>
              <w:t>• Supermarkets</w:t>
            </w:r>
          </w:p>
        </w:tc>
      </w:tr>
      <w:tr>
        <w:trPr>
          <w:trHeight w:val="216"/>
        </w:trPr>
        <w:tc>
          <w:tcPr>
            <w:tcW w:w="2060" w:type="dxa"/>
            <w:vAlign w:val="bottom"/>
          </w:tcPr>
          <w:p>
            <w:pPr>
              <w:spacing w:after="0"/>
              <w:rPr>
                <w:sz w:val="18"/>
                <w:szCs w:val="18"/>
                <w:color w:val="auto"/>
              </w:rPr>
            </w:pPr>
          </w:p>
        </w:tc>
        <w:tc>
          <w:tcPr>
            <w:tcW w:w="7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4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Marketing Services</w:t>
            </w:r>
          </w:p>
        </w:tc>
        <w:tc>
          <w:tcPr>
            <w:tcW w:w="172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6"/>
              </w:rPr>
              <w:t>Financial Services</w:t>
            </w:r>
          </w:p>
        </w:tc>
      </w:tr>
      <w:tr>
        <w:trPr>
          <w:trHeight w:val="228"/>
        </w:trPr>
        <w:tc>
          <w:tcPr>
            <w:tcW w:w="20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60" w:type="dxa"/>
            <w:vAlign w:val="bottom"/>
          </w:tcPr>
          <w:p>
            <w:pPr>
              <w:spacing w:after="0"/>
              <w:rPr>
                <w:sz w:val="19"/>
                <w:szCs w:val="19"/>
                <w:color w:val="auto"/>
              </w:rPr>
            </w:pPr>
          </w:p>
        </w:tc>
        <w:tc>
          <w:tcPr>
            <w:tcW w:w="172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Utility</w:t>
            </w:r>
          </w:p>
        </w:tc>
      </w:tr>
    </w:tbl>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 Services</w:t>
      </w:r>
    </w:p>
    <w:p>
      <w:pPr>
        <w:spacing w:after="0" w:line="227" w:lineRule="exact"/>
        <w:rPr>
          <w:sz w:val="20"/>
          <w:szCs w:val="20"/>
          <w:color w:val="auto"/>
        </w:rPr>
      </w:pPr>
    </w:p>
    <w:p>
      <w:pPr>
        <w:ind w:right="480" w:firstLine="348"/>
        <w:spacing w:after="0" w:line="275" w:lineRule="auto"/>
        <w:rPr>
          <w:sz w:val="20"/>
          <w:szCs w:val="20"/>
          <w:color w:val="auto"/>
        </w:rPr>
      </w:pPr>
      <w:r>
        <w:rPr>
          <w:rFonts w:ascii="Times New Roman" w:cs="Times New Roman" w:eastAsia="Times New Roman" w:hAnsi="Times New Roman"/>
          <w:sz w:val="18"/>
          <w:szCs w:val="18"/>
          <w:color w:val="auto"/>
        </w:rPr>
        <w:t>We facilitate and manage transactions between our clients and their customers through our scalable processing systems. Our largest clients within this segment include Limited Brands and its retail affiliates, representing approximately 19.8% of this segment's 2002 revenue.</w:t>
      </w:r>
    </w:p>
    <w:p>
      <w:pPr>
        <w:spacing w:after="0" w:line="170" w:lineRule="exact"/>
        <w:rPr>
          <w:sz w:val="20"/>
          <w:szCs w:val="20"/>
          <w:color w:val="auto"/>
        </w:rPr>
      </w:pPr>
    </w:p>
    <w:p>
      <w:pPr>
        <w:ind w:right="200" w:firstLine="351"/>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Issuer Services. </w:t>
      </w:r>
      <w:r>
        <w:rPr>
          <w:rFonts w:ascii="Times New Roman" w:cs="Times New Roman" w:eastAsia="Times New Roman" w:hAnsi="Times New Roman"/>
          <w:sz w:val="18"/>
          <w:szCs w:val="18"/>
          <w:color w:val="auto"/>
        </w:rPr>
        <w:t>According to The Nilson Report, based on the number of accounts on file, we were the second largest outsourcer of retail private label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card programs in the United States in 2001, with over 63.6 million accounts on file. We assist clients in issuing private label credit cards branded with the retailers' name or logo that can be used by customers at the clients' store locations. We also provide service and maintenance to our clients' private label card programs and assist our clients in acquiring, retaining and managing valuable repeat customers. Our Transaction Services segment performs issuer services for our Credit Services segment in connection with that segment's private label card programs. The inter-segment services accounted for 45.6% of Transaction Services revenue in 2002.</w:t>
      </w:r>
    </w:p>
    <w:p>
      <w:pPr>
        <w:spacing w:after="0" w:line="192" w:lineRule="exact"/>
        <w:rPr>
          <w:sz w:val="20"/>
          <w:szCs w:val="20"/>
          <w:color w:val="auto"/>
        </w:rPr>
      </w:pPr>
    </w:p>
    <w:p>
      <w:pPr>
        <w:ind w:right="20" w:firstLine="348"/>
        <w:spacing w:after="0" w:line="258" w:lineRule="auto"/>
        <w:rPr>
          <w:sz w:val="20"/>
          <w:szCs w:val="20"/>
          <w:color w:val="auto"/>
        </w:rPr>
      </w:pPr>
      <w:r>
        <w:rPr>
          <w:rFonts w:ascii="Times New Roman" w:cs="Times New Roman" w:eastAsia="Times New Roman" w:hAnsi="Times New Roman"/>
          <w:sz w:val="18"/>
          <w:szCs w:val="18"/>
          <w:color w:val="auto"/>
        </w:rPr>
        <w:t>We have developed a proprietary private label credit card system designed specifically for retailers with the flexibility to make changes to accommodate our clients' specific needs. We have also built into the system marketing tools to assist our clients in increasing sales. We utilize our Quick Credit and On-Line Prescreen products to originate new private label credit card accounts. We believe that these products provide an effective marketing advantage over competing services.</w:t>
      </w:r>
    </w:p>
    <w:p>
      <w:pPr>
        <w:spacing w:after="0" w:line="19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60" w:firstLine="348"/>
        <w:spacing w:after="0" w:line="262" w:lineRule="auto"/>
        <w:rPr>
          <w:sz w:val="20"/>
          <w:szCs w:val="20"/>
          <w:color w:val="auto"/>
        </w:rPr>
      </w:pPr>
      <w:r>
        <w:rPr>
          <w:rFonts w:ascii="Times New Roman" w:cs="Times New Roman" w:eastAsia="Times New Roman" w:hAnsi="Times New Roman"/>
          <w:sz w:val="18"/>
          <w:szCs w:val="18"/>
          <w:color w:val="auto"/>
        </w:rPr>
        <w:t>We use automated technology for bill preparation, printing and mailing. Commingling statements, presorting and bar coding allow us to take advantage of postal discounts. In addition, we also process customer payments using image processing technology to maximize efficiency. By doing so, we improve the funds availability for both our clients and for those private label receivables that we own or securitize.</w:t>
      </w:r>
    </w:p>
    <w:p>
      <w:pPr>
        <w:spacing w:after="0" w:line="186" w:lineRule="exact"/>
        <w:rPr>
          <w:sz w:val="20"/>
          <w:szCs w:val="20"/>
          <w:color w:val="auto"/>
        </w:rPr>
      </w:pPr>
    </w:p>
    <w:p>
      <w:pPr>
        <w:ind w:right="120" w:firstLine="351"/>
        <w:spacing w:after="0" w:line="262" w:lineRule="auto"/>
        <w:rPr>
          <w:sz w:val="20"/>
          <w:szCs w:val="20"/>
          <w:color w:val="auto"/>
        </w:rPr>
      </w:pPr>
      <w:r>
        <w:rPr>
          <w:rFonts w:ascii="Times New Roman" w:cs="Times New Roman" w:eastAsia="Times New Roman" w:hAnsi="Times New Roman"/>
          <w:sz w:val="18"/>
          <w:szCs w:val="18"/>
          <w:color w:val="auto"/>
        </w:rPr>
        <w:t>Our customer care operations are influenced by our retail heritage. We focus our training programs in all areas on achieving the highest possible standards. We monitor our performance by conducting surveys with our clients and their customers. Our call centers are equipped to handle phone, mail, fax and Internet inquiries. We also provide collection activities on delinquent accounts to support our retail private label credit card programs.</w:t>
      </w:r>
    </w:p>
    <w:p>
      <w:pPr>
        <w:spacing w:after="0" w:line="182" w:lineRule="exact"/>
        <w:rPr>
          <w:sz w:val="20"/>
          <w:szCs w:val="20"/>
          <w:color w:val="auto"/>
        </w:rPr>
      </w:pPr>
    </w:p>
    <w:p>
      <w:pPr>
        <w:ind w:right="200" w:firstLine="351"/>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 xml:space="preserve">Utility Services. </w:t>
      </w:r>
      <w:r>
        <w:rPr>
          <w:rFonts w:ascii="Times New Roman" w:cs="Times New Roman" w:eastAsia="Times New Roman" w:hAnsi="Times New Roman"/>
          <w:sz w:val="18"/>
          <w:szCs w:val="18"/>
          <w:color w:val="auto"/>
        </w:rPr>
        <w:t>We believe that we are one of the largest independent service providers of customer information systems for utilities in North America.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provide a comprehensive single source business solution for customer care and billing solutions. We have solutions for both the regulated and de-regulated marketplace. These solutions provide not only hosting of the customer information system, but also customer care and statement generation, focusing on successful acquisition, value enhancement and retention of our clients' customers.</w:t>
      </w:r>
    </w:p>
    <w:p>
      <w:pPr>
        <w:spacing w:after="0" w:line="187" w:lineRule="exact"/>
        <w:rPr>
          <w:sz w:val="20"/>
          <w:szCs w:val="20"/>
          <w:color w:val="auto"/>
        </w:rPr>
      </w:pPr>
    </w:p>
    <w:p>
      <w:pPr>
        <w:jc w:val="both"/>
        <w:ind w:right="640" w:firstLine="351"/>
        <w:spacing w:after="0" w:line="262" w:lineRule="auto"/>
        <w:rPr>
          <w:sz w:val="20"/>
          <w:szCs w:val="20"/>
          <w:color w:val="auto"/>
        </w:rPr>
      </w:pPr>
      <w:r>
        <w:rPr>
          <w:rFonts w:ascii="Times New Roman" w:cs="Times New Roman" w:eastAsia="Times New Roman" w:hAnsi="Times New Roman"/>
          <w:sz w:val="18"/>
          <w:szCs w:val="18"/>
          <w:color w:val="auto"/>
        </w:rPr>
        <w:t>In both a regulated and de-regulated environment, providers will need more sophisticated and complex billing and customer information systems to effectively compete in the marketplace. We believe that our ability to integrate transaction and marketing services effectively will provide a competitive advantage for us.</w:t>
      </w:r>
    </w:p>
    <w:p>
      <w:pPr>
        <w:spacing w:after="0" w:line="186" w:lineRule="exact"/>
        <w:rPr>
          <w:sz w:val="20"/>
          <w:szCs w:val="20"/>
          <w:color w:val="auto"/>
        </w:rPr>
      </w:pPr>
    </w:p>
    <w:p>
      <w:pPr>
        <w:ind w:right="240" w:firstLine="351"/>
        <w:spacing w:after="0" w:line="275" w:lineRule="auto"/>
        <w:rPr>
          <w:sz w:val="20"/>
          <w:szCs w:val="20"/>
          <w:color w:val="auto"/>
        </w:rPr>
      </w:pPr>
      <w:r>
        <w:rPr>
          <w:rFonts w:ascii="Times New Roman" w:cs="Times New Roman" w:eastAsia="Times New Roman" w:hAnsi="Times New Roman"/>
          <w:sz w:val="18"/>
          <w:szCs w:val="18"/>
          <w:color w:val="auto"/>
        </w:rPr>
        <w:t>Our current service offering is based on hosting customer information systems that allow us to provide our core service offerings of call center operation, statement generation and payment processing. In addition, we offer customer acquisition and database marketing services.</w:t>
      </w:r>
    </w:p>
    <w:p>
      <w:pPr>
        <w:spacing w:after="0" w:line="170" w:lineRule="exact"/>
        <w:rPr>
          <w:sz w:val="20"/>
          <w:szCs w:val="20"/>
          <w:color w:val="auto"/>
        </w:rPr>
      </w:pPr>
    </w:p>
    <w:p>
      <w:pPr>
        <w:ind w:firstLine="351"/>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Merchant Services. </w:t>
      </w:r>
      <w:r>
        <w:rPr>
          <w:rFonts w:ascii="Times New Roman" w:cs="Times New Roman" w:eastAsia="Times New Roman" w:hAnsi="Times New Roman"/>
          <w:sz w:val="18"/>
          <w:szCs w:val="18"/>
          <w:color w:val="auto"/>
        </w:rPr>
        <w:t>We are a leading provider of transaction processing services, based on transactions processed, and believe that we are the largest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transaction processor to the U.S. petroleum retail industry. Additionally, we have a significant presence in the specialty retail and transportation industries. We have built a network that enables us to process virtually all electronic payment types including credit card, debit card, prepaid card, electronic benefits and fleet and check transactions. In addition to authorization and settlement of transactions, we also provide merchants with on-line, two-way mail messaging between our clients and their individual locations by broadcasting and receiving messages through their terminal devices.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Services</w:t>
      </w:r>
    </w:p>
    <w:p>
      <w:pPr>
        <w:spacing w:after="0" w:line="227" w:lineRule="exact"/>
        <w:rPr>
          <w:sz w:val="20"/>
          <w:szCs w:val="20"/>
          <w:color w:val="auto"/>
        </w:rPr>
      </w:pPr>
    </w:p>
    <w:p>
      <w:pPr>
        <w:ind w:right="40" w:firstLine="348"/>
        <w:spacing w:after="0" w:line="255" w:lineRule="auto"/>
        <w:rPr>
          <w:sz w:val="20"/>
          <w:szCs w:val="20"/>
          <w:color w:val="auto"/>
        </w:rPr>
      </w:pPr>
      <w:r>
        <w:rPr>
          <w:rFonts w:ascii="Times New Roman" w:cs="Times New Roman" w:eastAsia="Times New Roman" w:hAnsi="Times New Roman"/>
          <w:sz w:val="18"/>
          <w:szCs w:val="18"/>
          <w:color w:val="auto"/>
        </w:rPr>
        <w:t>Through our Credit Services segment we are able to finance and operate private label programs more effectively than a typical retailer can operate a stand-alone program, as we are able to fund receivables through our securitization program to achieve lower borrowing costs while having the infrastructure to support and leverage a variety of portfolio types and a large number of account holders. Through our subsidiary, World Financial Network National Bank, we underwrite the accounts and fund purchases for 52 private label credit clients, representing over 72 million cardholders and over $2.7 billion of receivables as of December 31, 2002. Our clients are predominately specialty retailers, and the largest within this segment include Limited Brands and its retail affiliates, representing 44.5% of this segment's 2002 revenue, and Brylane, representing 22.4% of this segment's 2002 revenue.</w:t>
      </w:r>
    </w:p>
    <w:p>
      <w:pPr>
        <w:sectPr>
          <w:pgSz w:w="11900" w:h="16838" w:orient="portrait"/>
          <w:cols w:equalWidth="0" w:num="1">
            <w:col w:w="11360"/>
          </w:cols>
          <w:pgMar w:left="240" w:top="125" w:right="299" w:bottom="189" w:gutter="0" w:footer="0" w:header="0"/>
        </w:sectPr>
      </w:pPr>
    </w:p>
    <w:bookmarkStart w:id="4" w:name="page5"/>
    <w:bookmarkEnd w:id="4"/>
    <w:p>
      <w:pPr>
        <w:ind w:right="160" w:firstLine="348"/>
        <w:spacing w:after="0" w:line="258" w:lineRule="auto"/>
        <w:rPr>
          <w:sz w:val="20"/>
          <w:szCs w:val="20"/>
          <w:color w:val="auto"/>
        </w:rPr>
      </w:pPr>
      <w:r>
        <w:rPr>
          <w:rFonts w:ascii="Times New Roman" w:cs="Times New Roman" w:eastAsia="Times New Roman" w:hAnsi="Times New Roman"/>
          <w:sz w:val="18"/>
          <w:szCs w:val="18"/>
          <w:color w:val="auto"/>
        </w:rPr>
        <w:t>We believe that an effective risk management process is important in both account underwriting and servicing. We use a risk analysis in establishing initial credit limits with cardholders. Because we process a large number of credit applications each year, we use automated proprietary scoring technology and verification procedures to process these applications. Our underwriting process involves the purchase of credit bureau information for each credit applicant. We continuously validate, monitor</w:t>
      </w:r>
    </w:p>
    <w:p>
      <w:pPr>
        <w:spacing w:after="0" w:line="1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and maintain the scorecards, and we use the resulting data to ensure optimal risk performance. These models help segment prospects into narrower ranges within each risk score provided by Fair, Isaac and Co., or FICO, allowing us to better evaluate individual credit risk and to tailor our risk-based pricing accordingly. We generally receive a merchant fee for processing sales transactions charged to a private label credit card program for which we provide receivables funding. Processing includes authorization and settlement of the funds to the retailer, net of our merchant discount fee.</w:t>
      </w:r>
    </w:p>
    <w:p>
      <w:pPr>
        <w:spacing w:after="0" w:line="190" w:lineRule="exact"/>
        <w:rPr>
          <w:sz w:val="20"/>
          <w:szCs w:val="20"/>
          <w:color w:val="auto"/>
        </w:rPr>
      </w:pPr>
    </w:p>
    <w:p>
      <w:pPr>
        <w:ind w:firstLine="348"/>
        <w:spacing w:after="0" w:line="289" w:lineRule="auto"/>
        <w:rPr>
          <w:sz w:val="20"/>
          <w:szCs w:val="20"/>
          <w:color w:val="auto"/>
        </w:rPr>
      </w:pPr>
      <w:r>
        <w:rPr>
          <w:rFonts w:ascii="Times New Roman" w:cs="Times New Roman" w:eastAsia="Times New Roman" w:hAnsi="Times New Roman"/>
          <w:sz w:val="16"/>
          <w:szCs w:val="16"/>
          <w:color w:val="auto"/>
        </w:rPr>
        <w:t>We utilize a securitization program as our primary funding vehicle for private label credit card receivables. Securitizations involve the packaging and selling of both current and future receivable balances of credit card accounts to a special purpose entity that then sells them to a master trust. Our Transaction Services segment retains rights to service the securitized accounts. Our securitizations are treated as sales for accounting purposes and, accordingly, the receivable is removed from our balance sheet. We retain an ownership interest in the receivables, which is commonly referred to as a seller's interest, and a residual interest in the trust, which is commonly referred to as an interest only strip. The interest only strip is based on assumptions regarding future payments and credit losses and is subject to volatility that could materially affect our operating results. Both the amount and timing of estimated cash flows are dependent on the performance of the underlying credit card receivables, and actual cash flows may vary significantly from expectations. If payments from cardholders or defaults by cardholders exceed our estimates, we may be required to decrease the carrying value of the interest only strips through a charge against earnings. Limited Brands and its retail affiliates accounted for approximately 32.1% of the receivables in the trust portfolio as of December 31, 2002, and Brylane accounted for approximately 14.7%.</w:t>
      </w:r>
    </w:p>
    <w:p>
      <w:pPr>
        <w:spacing w:after="0" w:line="167" w:lineRule="exact"/>
        <w:rPr>
          <w:sz w:val="20"/>
          <w:szCs w:val="20"/>
          <w:color w:val="auto"/>
        </w:rPr>
      </w:pPr>
    </w:p>
    <w:p>
      <w:pPr>
        <w:ind w:right="80" w:firstLine="351"/>
        <w:spacing w:after="0" w:line="258" w:lineRule="auto"/>
        <w:rPr>
          <w:sz w:val="20"/>
          <w:szCs w:val="20"/>
          <w:color w:val="auto"/>
        </w:rPr>
      </w:pPr>
      <w:r>
        <w:rPr>
          <w:rFonts w:ascii="Times New Roman" w:cs="Times New Roman" w:eastAsia="Times New Roman" w:hAnsi="Times New Roman"/>
          <w:sz w:val="18"/>
          <w:szCs w:val="18"/>
          <w:color w:val="auto"/>
        </w:rPr>
        <w:t>In November 2002, we completed a $600.0 million offering of five-year asset-backed notes issued as part of our securitization program for World Financial Network National Bank. The notes were issued through the World Financial Network Credit Card Master Note Trust. The notes are rated AAA thru BBB by Standard and Poor's, Moody's and Fitch debt-rating services and are secured by a beneficial interest in a pool of receivables that arise under World Financial Network National Bank's private label credit card accounts.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Marketing Services</w:t>
      </w:r>
    </w:p>
    <w:p>
      <w:pPr>
        <w:spacing w:after="0" w:line="227" w:lineRule="exact"/>
        <w:rPr>
          <w:sz w:val="20"/>
          <w:szCs w:val="20"/>
          <w:color w:val="auto"/>
        </w:rPr>
      </w:pPr>
    </w:p>
    <w:p>
      <w:pPr>
        <w:ind w:right="80" w:firstLine="351"/>
        <w:spacing w:after="0" w:line="255" w:lineRule="auto"/>
        <w:rPr>
          <w:sz w:val="20"/>
          <w:szCs w:val="20"/>
          <w:color w:val="auto"/>
        </w:rPr>
      </w:pPr>
      <w:r>
        <w:rPr>
          <w:rFonts w:ascii="Times New Roman" w:cs="Times New Roman" w:eastAsia="Times New Roman" w:hAnsi="Times New Roman"/>
          <w:sz w:val="18"/>
          <w:szCs w:val="18"/>
          <w:color w:val="auto"/>
        </w:rPr>
        <w:t>Our clients are focused on targeting, acquiring and retaining loyal and profitable customers. We create and manage marketing programs that result in securing more frequent and sustained customer purchasing. We utilize the information gathered through our loyalty programs to help our clients design and implement effective marketing programs. Our primary service for this segment is the AIR MILES Reward Program, representing the substantial majority of this segment's 2002 revenue. Our clients within this segment are financial services providers, supermarkets, petroleum retailers and specialty retailers. BMO Bank of Montreal, Canada Safeway, Shell Canada and Amex Bank of Canada were the four largest Marketing Services clients in 2002, responsible for approximately 54.0% of our 2002 Marketing Services revenue. BMO Bank of Montreal represented approximately 28.8% of this segment's 2002 revenue.</w:t>
      </w:r>
    </w:p>
    <w:p>
      <w:pPr>
        <w:spacing w:after="0" w:line="189" w:lineRule="exact"/>
        <w:rPr>
          <w:sz w:val="20"/>
          <w:szCs w:val="20"/>
          <w:color w:val="auto"/>
        </w:rPr>
      </w:pPr>
    </w:p>
    <w:p>
      <w:pPr>
        <w:ind w:right="160" w:firstLine="345"/>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 xml:space="preserve">AIR MILES Reward Program. </w:t>
      </w:r>
      <w:r>
        <w:rPr>
          <w:rFonts w:ascii="Times New Roman" w:cs="Times New Roman" w:eastAsia="Times New Roman" w:hAnsi="Times New Roman"/>
          <w:sz w:val="18"/>
          <w:szCs w:val="18"/>
          <w:color w:val="auto"/>
        </w:rPr>
        <w:t>We operate what we believe to be the largest loyalty program in Canada. The AIR MILES Reward Program enables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consumers to earn AIR MILES reward miles as they shop across a range of retailers and other sponsors participating in the AIR MILES Reward Program. The AIR MILES Reward Program has enabled sponsors to use this tool to increase revenues by bringing new customers to the sponsor, retaining existing customers and increasing the amount spent by customers.</w:t>
      </w:r>
    </w:p>
    <w:p>
      <w:pPr>
        <w:spacing w:after="0" w:line="1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We deal with three primary parties in connection with our AIR MILES Reward Program: Sponsors, Collectors and Suppliers.</w:t>
      </w:r>
    </w:p>
    <w:p>
      <w:pPr>
        <w:spacing w:after="0" w:line="22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Sponsors</w:t>
      </w:r>
    </w:p>
    <w:p>
      <w:pPr>
        <w:spacing w:after="0" w:line="227" w:lineRule="exact"/>
        <w:rPr>
          <w:sz w:val="20"/>
          <w:szCs w:val="20"/>
          <w:color w:val="auto"/>
        </w:rPr>
      </w:pPr>
    </w:p>
    <w:p>
      <w:pPr>
        <w:ind w:right="20" w:firstLine="341"/>
        <w:spacing w:after="0" w:line="262" w:lineRule="auto"/>
        <w:rPr>
          <w:sz w:val="20"/>
          <w:szCs w:val="20"/>
          <w:color w:val="auto"/>
        </w:rPr>
      </w:pPr>
      <w:r>
        <w:rPr>
          <w:rFonts w:ascii="Times New Roman" w:cs="Times New Roman" w:eastAsia="Times New Roman" w:hAnsi="Times New Roman"/>
          <w:sz w:val="18"/>
          <w:szCs w:val="18"/>
          <w:color w:val="auto"/>
        </w:rPr>
        <w:t>A sponsor enters into an agreement with us to secure exclusive rights for its particular region and product or service category, to reward customers for changing their shopping behavior and to increase sales from collectors. The program has over 100 brand names represented by sponsors, including BMO Bank of Montreal, Canada Safeway, Amex Bank of Canada, Shell Canada, A&amp;P Canada and Sobeys.</w:t>
      </w:r>
    </w:p>
    <w:p>
      <w:pPr>
        <w:spacing w:after="0" w:line="18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Collectors</w:t>
      </w:r>
    </w:p>
    <w:p>
      <w:pPr>
        <w:spacing w:after="0" w:line="227" w:lineRule="exact"/>
        <w:rPr>
          <w:sz w:val="20"/>
          <w:szCs w:val="20"/>
          <w:color w:val="auto"/>
        </w:rPr>
      </w:pPr>
    </w:p>
    <w:p>
      <w:pPr>
        <w:ind w:right="240" w:firstLine="351"/>
        <w:spacing w:after="0" w:line="258" w:lineRule="auto"/>
        <w:rPr>
          <w:sz w:val="20"/>
          <w:szCs w:val="20"/>
          <w:color w:val="auto"/>
        </w:rPr>
      </w:pPr>
      <w:r>
        <w:rPr>
          <w:rFonts w:ascii="Times New Roman" w:cs="Times New Roman" w:eastAsia="Times New Roman" w:hAnsi="Times New Roman"/>
          <w:sz w:val="18"/>
          <w:szCs w:val="18"/>
          <w:color w:val="auto"/>
        </w:rPr>
        <w:t>Members of the AIR MILES Reward Program, known as collectors, accumulate AIR MILES reward miles based on their purchasing behavior at sponsor locations. The AIR MILES Reward Program offers a reward structure that provides a quick and easy way for collectors to earn a broad selection of travel, entertainment and other lifestyle rewards by shopping at participating sponsors. Using 2000 census data, our active participants represented over 63% of all Canadian households. We have issued over ten billion AIR MILES reward miles since the program's inception in 1992.</w:t>
      </w:r>
    </w:p>
    <w:p>
      <w:pPr>
        <w:spacing w:after="0" w:line="18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Suppliers</w:t>
      </w:r>
    </w:p>
    <w:p>
      <w:pPr>
        <w:spacing w:after="0" w:line="227" w:lineRule="exact"/>
        <w:rPr>
          <w:sz w:val="20"/>
          <w:szCs w:val="20"/>
          <w:color w:val="auto"/>
        </w:rPr>
      </w:pPr>
    </w:p>
    <w:p>
      <w:pPr>
        <w:ind w:right="200" w:firstLine="348"/>
        <w:spacing w:after="0" w:line="262" w:lineRule="auto"/>
        <w:rPr>
          <w:sz w:val="20"/>
          <w:szCs w:val="20"/>
          <w:color w:val="auto"/>
        </w:rPr>
      </w:pPr>
      <w:r>
        <w:rPr>
          <w:rFonts w:ascii="Times New Roman" w:cs="Times New Roman" w:eastAsia="Times New Roman" w:hAnsi="Times New Roman"/>
          <w:sz w:val="18"/>
          <w:szCs w:val="18"/>
          <w:color w:val="auto"/>
        </w:rPr>
        <w:t>We enter into supply agreements with suppliers of rewards to the program such as airlines, movie theaters and manufacturers of consumer electronics. We make these reward opportunities available through Air Canada and over 180 other reward suppliers. We make payments to suppliers based on a contractual supply arrangement when a collector redeems AIR MILES reward miles.</w:t>
      </w:r>
    </w:p>
    <w:p>
      <w:pPr>
        <w:spacing w:after="0" w:line="182" w:lineRule="exact"/>
        <w:rPr>
          <w:sz w:val="20"/>
          <w:szCs w:val="20"/>
          <w:color w:val="auto"/>
        </w:rPr>
      </w:pPr>
    </w:p>
    <w:p>
      <w:pPr>
        <w:jc w:val="both"/>
        <w:ind w:right="300" w:firstLine="351"/>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Marketing Services. </w:t>
      </w:r>
      <w:r>
        <w:rPr>
          <w:rFonts w:ascii="Times New Roman" w:cs="Times New Roman" w:eastAsia="Times New Roman" w:hAnsi="Times New Roman"/>
          <w:sz w:val="18"/>
          <w:szCs w:val="18"/>
          <w:color w:val="auto"/>
        </w:rPr>
        <w:t>In the U.S. we have developed marketing capabilities designed to increase loyal, profitable customers for our clients. Our suite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analytical and profiling tools enable our clients to better understand their customers and optimize opportunities for developing loyal and profitable customer relationships.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Safeguards To Our Business Disaster And Contingency Planning</w:t>
      </w:r>
    </w:p>
    <w:p>
      <w:pPr>
        <w:spacing w:after="0" w:line="227" w:lineRule="exact"/>
        <w:rPr>
          <w:sz w:val="20"/>
          <w:szCs w:val="20"/>
          <w:color w:val="auto"/>
        </w:rPr>
      </w:pPr>
    </w:p>
    <w:p>
      <w:pPr>
        <w:jc w:val="both"/>
        <w:ind w:right="140" w:firstLine="348"/>
        <w:spacing w:after="0" w:line="339" w:lineRule="auto"/>
        <w:rPr>
          <w:sz w:val="20"/>
          <w:szCs w:val="20"/>
          <w:color w:val="auto"/>
        </w:rPr>
      </w:pPr>
      <w:r>
        <w:rPr>
          <w:rFonts w:ascii="Times New Roman" w:cs="Times New Roman" w:eastAsia="Times New Roman" w:hAnsi="Times New Roman"/>
          <w:sz w:val="16"/>
          <w:szCs w:val="16"/>
          <w:color w:val="auto"/>
        </w:rPr>
        <w:t>We have a number of safeguards to protect us from the risks we face as a business. Given the significant amount of data that we manage, much of which is real-time data to support our clients' commerce initiatives, we have established redundant facilities for our data centers. We operate two data processing centers.</w:t>
      </w:r>
    </w:p>
    <w:p>
      <w:pPr>
        <w:sectPr>
          <w:pgSz w:w="11900" w:h="16838" w:orient="portrait"/>
          <w:cols w:equalWidth="0" w:num="1">
            <w:col w:w="11380"/>
          </w:cols>
          <w:pgMar w:left="240" w:top="125" w:right="279" w:bottom="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t>In the event of a disaster at either of our two data centers, we can restore that data center's systems at a third party provided disaster recovery center.</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Protection of Intellectual Property and Other Proprietary Rights</w:t>
      </w:r>
    </w:p>
    <w:p>
      <w:pPr>
        <w:spacing w:after="0" w:line="227" w:lineRule="exact"/>
        <w:rPr>
          <w:sz w:val="20"/>
          <w:szCs w:val="20"/>
          <w:color w:val="auto"/>
        </w:rPr>
      </w:pPr>
    </w:p>
    <w:p>
      <w:pPr>
        <w:ind w:right="40" w:firstLine="348"/>
        <w:spacing w:after="0" w:line="253" w:lineRule="auto"/>
        <w:rPr>
          <w:sz w:val="20"/>
          <w:szCs w:val="20"/>
          <w:color w:val="auto"/>
        </w:rPr>
      </w:pPr>
      <w:r>
        <w:rPr>
          <w:rFonts w:ascii="Times New Roman" w:cs="Times New Roman" w:eastAsia="Times New Roman" w:hAnsi="Times New Roman"/>
          <w:sz w:val="18"/>
          <w:szCs w:val="18"/>
          <w:color w:val="auto"/>
        </w:rPr>
        <w:t>We rely on a combination of copyright, trade secret and trademark laws, confidentiality procedures, contractual provisions and other similar measures to protect our proprietary information and technology used in each segment of our business. We currently hold one patent. In addition, we have five patent applications with the U.S Patent and Trademark Office, one international application, and one international application that has entered the national phase in two countries. We generally enter into confidentiality or license agreements with our employees, consultants and corporate partners, and generally control access to and distribution of our technology, documentation and other proprietary information. Despite the efforts to protect our proprietary rights, unauthorized parties may attempt to copy or otherwise obtain the use of our products or technology that we consider proprietary and third parties may attempt to develop similar technology independently. We pursue registration and protection of our trademarks primarily in the United States and Canada, although we do have applications pending in South American and European countries. Effective protection of intellectual property rights may be unavailable or limited in some countries. The laws of some countries do not protect our</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proprietary rights to the same extent as in the United States and Canada. We are the exclusive Canadian licensee of the AIR MILES family of trademarks pursuant to a license agreement with Air Miles International Trading B.V. We believe that our trademarks are important for our branding and corporate identification and marketing of our services in each segment.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7" w:lineRule="exact"/>
        <w:rPr>
          <w:sz w:val="20"/>
          <w:szCs w:val="20"/>
          <w:color w:val="auto"/>
        </w:rPr>
      </w:pPr>
    </w:p>
    <w:p>
      <w:pPr>
        <w:ind w:right="220" w:firstLine="348"/>
        <w:spacing w:after="0" w:line="275" w:lineRule="auto"/>
        <w:rPr>
          <w:sz w:val="20"/>
          <w:szCs w:val="20"/>
          <w:color w:val="auto"/>
        </w:rPr>
      </w:pPr>
      <w:r>
        <w:rPr>
          <w:rFonts w:ascii="Times New Roman" w:cs="Times New Roman" w:eastAsia="Times New Roman" w:hAnsi="Times New Roman"/>
          <w:sz w:val="18"/>
          <w:szCs w:val="18"/>
          <w:color w:val="auto"/>
        </w:rPr>
        <w:t>The markets for our products and services are highly competitive. We compete with data processing companies, credit card issuers and marketing services companies, as well as with the in-house staffs of our current and potential clients.</w:t>
      </w:r>
    </w:p>
    <w:p>
      <w:pPr>
        <w:spacing w:after="0" w:line="170" w:lineRule="exact"/>
        <w:rPr>
          <w:sz w:val="20"/>
          <w:szCs w:val="20"/>
          <w:color w:val="auto"/>
        </w:rPr>
      </w:pPr>
    </w:p>
    <w:p>
      <w:pPr>
        <w:ind w:right="160" w:firstLine="351"/>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Transaction Services. </w:t>
      </w:r>
      <w:r>
        <w:rPr>
          <w:rFonts w:ascii="Times New Roman" w:cs="Times New Roman" w:eastAsia="Times New Roman" w:hAnsi="Times New Roman"/>
          <w:sz w:val="18"/>
          <w:szCs w:val="18"/>
          <w:color w:val="auto"/>
        </w:rPr>
        <w:t>We are a leading provider of transaction services. Our focus has been on industry segments characterized by companies with large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customer bases, detail-rich data and high transaction volumes. Targeting these specific market sectors allows us to develop and deliver solutions that meet the needs of these sectors. This focus is consistent with our marketing strategy for all products and services. Additionally, we believe we effectively distinguish ourselves from other payment processors by providing solutions that help our clients leverage investments they have made in their payment systems by using these systems for electronic marketing programs. Competition in the area of utility services comes primarily from larger, more well-funded and well-established competitors and from companies developing in-house solutions and capabilities.</w:t>
      </w:r>
    </w:p>
    <w:p>
      <w:pPr>
        <w:spacing w:after="0" w:line="188" w:lineRule="exact"/>
        <w:rPr>
          <w:sz w:val="20"/>
          <w:szCs w:val="20"/>
          <w:color w:val="auto"/>
        </w:rPr>
      </w:pPr>
    </w:p>
    <w:p>
      <w:pPr>
        <w:ind w:right="80" w:firstLine="351"/>
        <w:spacing w:after="0" w:line="294" w:lineRule="auto"/>
        <w:rPr>
          <w:sz w:val="20"/>
          <w:szCs w:val="20"/>
          <w:color w:val="auto"/>
        </w:rPr>
      </w:pPr>
      <w:r>
        <w:rPr>
          <w:rFonts w:ascii="Times New Roman" w:cs="Times New Roman" w:eastAsia="Times New Roman" w:hAnsi="Times New Roman"/>
          <w:sz w:val="16"/>
          <w:szCs w:val="16"/>
          <w:b w:val="1"/>
          <w:bCs w:val="1"/>
          <w:i w:val="1"/>
          <w:iCs w:val="1"/>
          <w:color w:val="auto"/>
        </w:rPr>
        <w:t xml:space="preserve">Credit Services. </w:t>
      </w:r>
      <w:r>
        <w:rPr>
          <w:rFonts w:ascii="Times New Roman" w:cs="Times New Roman" w:eastAsia="Times New Roman" w:hAnsi="Times New Roman"/>
          <w:sz w:val="16"/>
          <w:szCs w:val="16"/>
          <w:color w:val="auto"/>
        </w:rPr>
        <w:t>Our credit services business competes primarily with financial institutions whose marketing focus has been on developing credit card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programs with large revolving balances. These competitors further drive their businesses by cross-selling their other financial products to their cardholders. Our focus has been on targeting retailers that understand the competitive advantage of developing loyal customers. Typically these retailers have customers that make more frequent and smaller transactions. This results in the effective capture of detail-rich data within our database marketing services, allowing us to mine and analyze this data to develop successful customer relationship management strategies for our clients. As an issuer of private label credit cards, we compete with other payment methods, primarily general-purpose credit cards like Visa, MasterCard and American Express, as well as cash, checks and debit cards.</w:t>
      </w:r>
    </w:p>
    <w:p>
      <w:pPr>
        <w:spacing w:after="0" w:line="160" w:lineRule="exact"/>
        <w:rPr>
          <w:sz w:val="20"/>
          <w:szCs w:val="20"/>
          <w:color w:val="auto"/>
        </w:rPr>
      </w:pPr>
    </w:p>
    <w:p>
      <w:pPr>
        <w:ind w:right="60" w:firstLine="351"/>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Marketing Services. </w:t>
      </w:r>
      <w:r>
        <w:rPr>
          <w:rFonts w:ascii="Times New Roman" w:cs="Times New Roman" w:eastAsia="Times New Roman" w:hAnsi="Times New Roman"/>
          <w:sz w:val="18"/>
          <w:szCs w:val="18"/>
          <w:color w:val="auto"/>
        </w:rPr>
        <w:t>As a provider of marketing services, we generally compete with advertising and other promotional and loyalty programs, both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traditional and online, for a portion of a client's total marketing budget. In addition, we compete against internally developed products and services created by our existing and potential clients. For each of our marketing services, we expect competition to intensify as more competitors enter our market. In addition, new competitors with our AIR MILES Reward Program may target our sponsors and collectors as well as draw rewards from our rewards suppliers. Our ability to generate significant revenue from clients and loyalty partners will depend on our ability to differentiate ourselves through the products and services we provide and the attractiveness of our loyalty and rewards programs to consumers. The continued attractiveness of our loyalty and rewards programs will depend in large part on our ability to remain affiliated with sponsors that are desirable to consumers and to offer rewards that are both attainable and attractive to consumers. Intensifying competition will make it more difficult for us to do this. For our database marketing services, our ability to continue to capture detailed transaction data on consumers is critical in providing effective customer relationship management strategies for our clients.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w:t>
      </w:r>
    </w:p>
    <w:p>
      <w:pPr>
        <w:spacing w:after="0" w:line="227" w:lineRule="exact"/>
        <w:rPr>
          <w:sz w:val="20"/>
          <w:szCs w:val="20"/>
          <w:color w:val="auto"/>
        </w:rPr>
      </w:pPr>
    </w:p>
    <w:p>
      <w:pPr>
        <w:jc w:val="both"/>
        <w:ind w:right="260" w:firstLine="351"/>
        <w:spacing w:after="0" w:line="262" w:lineRule="auto"/>
        <w:rPr>
          <w:sz w:val="20"/>
          <w:szCs w:val="20"/>
          <w:color w:val="auto"/>
        </w:rPr>
      </w:pPr>
      <w:r>
        <w:rPr>
          <w:rFonts w:ascii="Times New Roman" w:cs="Times New Roman" w:eastAsia="Times New Roman" w:hAnsi="Times New Roman"/>
          <w:sz w:val="18"/>
          <w:szCs w:val="18"/>
          <w:color w:val="auto"/>
        </w:rPr>
        <w:t>Federal and state laws and regulations extensively regulate the operations of our credit services bank subsidiary, World Financial Network National Bank. Many of these laws and regulations are intended to maintain the safety and soundness of World Financial Network National Bank, and they impose significant restraints on it to which other non-regulated companies are not subject. Because</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World Financial Network National Bank is deemed a credit card bank within the meaning of the Bank Holding Company Act, we are not subject to regulation as a bank holding company. If we were subject to regulation as a bank holding company, we would be constrained in our operations to a limited number of activities that are closely related to banking or financial services in nature. Nevertheless, as a national bank, World Financial Network National Bank is still subject to overlapping supervision by the Board of Governors of the Federal Reserve System, the Office of the Comptroller of the Currency and the Federal Deposit Insurance Corporation.</w:t>
      </w:r>
    </w:p>
    <w:p>
      <w:pPr>
        <w:spacing w:after="0" w:line="193" w:lineRule="exact"/>
        <w:rPr>
          <w:sz w:val="20"/>
          <w:szCs w:val="20"/>
          <w:color w:val="auto"/>
        </w:rPr>
      </w:pPr>
    </w:p>
    <w:p>
      <w:pPr>
        <w:ind w:right="20" w:firstLine="348"/>
        <w:spacing w:after="0" w:line="254" w:lineRule="auto"/>
        <w:rPr>
          <w:sz w:val="20"/>
          <w:szCs w:val="20"/>
          <w:color w:val="auto"/>
        </w:rPr>
      </w:pPr>
      <w:r>
        <w:rPr>
          <w:rFonts w:ascii="Times New Roman" w:cs="Times New Roman" w:eastAsia="Times New Roman" w:hAnsi="Times New Roman"/>
          <w:sz w:val="18"/>
          <w:szCs w:val="18"/>
          <w:color w:val="auto"/>
        </w:rPr>
        <w:t>World Financial Network National Bank must maintain minimum amounts of regulatory capital. If World Financial Network National Bank does not meet these capital requirements, the regulators have broad discretion to institute a number of corrective actions that could have a direct material effect on our financial statements. Under capital adequacy guidelines and the regulating framework for prompt corrective action, World Financial Network National Bank must meet specific guidelines that involve measures and ratios of its assets, liabilities, regulatory capital, interest rate exposure and certain off-balance sheet items under regulatory accounting standards, among other factors. Under the National Bank Act, if the capital stock of World Financial Network National Bank is impaired by losses or otherwise, we, as the sole shareholder, may be assessed the deficiency. To the extent necessary, if a deficiency in capital still exists, the FDIC may be appointed as a receiver to wind up World Financial Network National Bank's affairs.</w:t>
      </w:r>
    </w:p>
    <w:p>
      <w:pPr>
        <w:sectPr>
          <w:pgSz w:w="11900" w:h="16838" w:orient="portrait"/>
          <w:cols w:equalWidth="0" w:num="1">
            <w:col w:w="11420"/>
          </w:cols>
          <w:pgMar w:left="240" w:top="125" w:right="239" w:bottom="0" w:gutter="0" w:footer="0" w:header="0"/>
        </w:sectPr>
      </w:pPr>
    </w:p>
    <w:bookmarkStart w:id="6" w:name="page7"/>
    <w:bookmarkEnd w:id="6"/>
    <w:p>
      <w:pPr>
        <w:spacing w:after="0" w:line="76" w:lineRule="exact"/>
        <w:rPr>
          <w:sz w:val="20"/>
          <w:szCs w:val="20"/>
          <w:color w:val="auto"/>
        </w:rPr>
      </w:pPr>
    </w:p>
    <w:p>
      <w:pPr>
        <w:ind w:right="220" w:firstLine="351"/>
        <w:spacing w:after="0" w:line="254" w:lineRule="auto"/>
        <w:rPr>
          <w:sz w:val="20"/>
          <w:szCs w:val="20"/>
          <w:color w:val="auto"/>
        </w:rPr>
      </w:pPr>
      <w:r>
        <w:rPr>
          <w:rFonts w:ascii="Times New Roman" w:cs="Times New Roman" w:eastAsia="Times New Roman" w:hAnsi="Times New Roman"/>
          <w:sz w:val="18"/>
          <w:szCs w:val="18"/>
          <w:color w:val="auto"/>
        </w:rPr>
        <w:t>Before World Financial Network National Bank can pay dividends to us, it must obtain prior regulatory approval if all dividends declared in any calendar year would exceed its net profits for that year plus its retained net profits for the preceding two calendar years, less any transfers to surplus. In addition, World Financial Network National Bank may only pay dividends to the extent that retained net profits, including the portion transferred to surplus, exceed bad debts. Moreover, to pay any dividend, World Financial Network National Bank must maintain adequate capital above regulatory guidelines. Further, if a regulatory authority believes that World Financial Network National Bank is engaged in or is about to engage in an unsafe or unsound banking practice, which, depending on its financial condition, could include the payment of dividends, the authority may require, after notice and hearing, that World Financial Network National Bank cease and desist from the unsafe practice.</w:t>
      </w:r>
    </w:p>
    <w:p>
      <w:pPr>
        <w:spacing w:after="0" w:line="195" w:lineRule="exact"/>
        <w:rPr>
          <w:sz w:val="20"/>
          <w:szCs w:val="20"/>
          <w:color w:val="auto"/>
        </w:rPr>
      </w:pPr>
    </w:p>
    <w:p>
      <w:pPr>
        <w:ind w:right="40" w:firstLine="348"/>
        <w:spacing w:after="0" w:line="288" w:lineRule="auto"/>
        <w:rPr>
          <w:sz w:val="20"/>
          <w:szCs w:val="20"/>
          <w:color w:val="auto"/>
        </w:rPr>
      </w:pPr>
      <w:r>
        <w:rPr>
          <w:rFonts w:ascii="Times New Roman" w:cs="Times New Roman" w:eastAsia="Times New Roman" w:hAnsi="Times New Roman"/>
          <w:sz w:val="16"/>
          <w:szCs w:val="16"/>
          <w:color w:val="auto"/>
        </w:rPr>
        <w:t>We are limited under Sections 23A and 23B of the Federal Reserve Act in the extent to which we can borrow or otherwise obtain credit from or engage in other "covered transactions" with World Financial Network National Bank, which may have the effect of limiting the extent to which World Financial Network National Bank can finance or otherwise supply funds to us. "Covered transactions" include loans or extensions of credit, purchases of or investments in securities, purchases of assets, including assets subject to an agreement to repurchase, acceptance of securities as collateral for a loan or extension of credit, or the issuance of a guarantee, acceptance or letter of credit. Although the applicable rules do not serve as an outright bar on engaging in "covered transactions," they do require that we engage in covered transactions with World Financial Network National Bank only on terms and under circumstances that are substantially the same, or at least as favorable to World Financial Network National Bank, as those prevailing at the time for comparable transactions with nonaffiliated companies. Furthermore, with certain exceptions, each loan or extension of credit by World Financial Network National Bank to us or our other affiliates must be secured by collateral with a market value ranging from 100% to 130% of the amount of the loan or extension of credit, depending on the type of collateral. The Federal Reserve Board has proposed new regulations concerning covered transactions that attempt to clarify and expand the foregoing limitations.</w:t>
      </w:r>
    </w:p>
    <w:p>
      <w:pPr>
        <w:spacing w:after="0" w:line="390" w:lineRule="exact"/>
        <w:rPr>
          <w:sz w:val="20"/>
          <w:szCs w:val="20"/>
          <w:color w:val="auto"/>
        </w:rPr>
      </w:pPr>
    </w:p>
    <w:p>
      <w:pPr>
        <w:jc w:val="both"/>
        <w:ind w:right="180" w:firstLine="348"/>
        <w:spacing w:after="0" w:line="262" w:lineRule="auto"/>
        <w:rPr>
          <w:sz w:val="20"/>
          <w:szCs w:val="20"/>
          <w:color w:val="auto"/>
        </w:rPr>
      </w:pPr>
      <w:r>
        <w:rPr>
          <w:rFonts w:ascii="Times New Roman" w:cs="Times New Roman" w:eastAsia="Times New Roman" w:hAnsi="Times New Roman"/>
          <w:sz w:val="18"/>
          <w:szCs w:val="18"/>
          <w:color w:val="auto"/>
        </w:rPr>
        <w:t>We are required to monitor and report unusual or suspicious account activity as well as transactions involving amounts in excess of prescribed limits under the Bank Secrecy Act, IRS rules and other regulations. Due to the tragic events of September 11, 2001, Congress, the IRS and the bank regulators have focused their attention on banks' monitoring and reporting of suspicious activities.</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Additionally, Congress and the bank regulators have proposed, adopted or passed a number of new laws and regulations that may increase reporting obligations of banks.</w:t>
      </w:r>
    </w:p>
    <w:p>
      <w:pPr>
        <w:spacing w:after="0" w:line="174" w:lineRule="exact"/>
        <w:rPr>
          <w:sz w:val="20"/>
          <w:szCs w:val="20"/>
          <w:color w:val="auto"/>
        </w:rPr>
      </w:pPr>
    </w:p>
    <w:p>
      <w:pPr>
        <w:ind w:right="140" w:firstLine="348"/>
        <w:spacing w:after="0" w:line="256" w:lineRule="auto"/>
        <w:rPr>
          <w:sz w:val="20"/>
          <w:szCs w:val="20"/>
          <w:color w:val="auto"/>
        </w:rPr>
      </w:pPr>
      <w:r>
        <w:rPr>
          <w:rFonts w:ascii="Times New Roman" w:cs="Times New Roman" w:eastAsia="Times New Roman" w:hAnsi="Times New Roman"/>
          <w:sz w:val="18"/>
          <w:szCs w:val="18"/>
          <w:color w:val="auto"/>
        </w:rPr>
        <w:t>We are also subject to numerous laws and regulations that are intended to protect consumers, including state law, the Truth in Lending Act, Equal Credit Opportunity Act and Fair Credit Reporting Act. These laws and regulations mandate various disclosure requirements and regulate the manner in which we may interact with consumers. These and other laws also limit finance charges or other fees or charges earned in our activities. We conduct our operations in a manner that we believe excludes us from regulation as a consumer reporting agency under the Fair Credit Reporting Act. If we were deemed a consumer reporting agency, however, we would be subject to a number of additional complex regulatory requirements and restrictions.</w:t>
      </w:r>
    </w:p>
    <w:p>
      <w:pPr>
        <w:spacing w:after="0" w:line="193" w:lineRule="exact"/>
        <w:rPr>
          <w:sz w:val="20"/>
          <w:szCs w:val="20"/>
          <w:color w:val="auto"/>
        </w:rPr>
      </w:pPr>
    </w:p>
    <w:p>
      <w:pPr>
        <w:ind w:right="160" w:firstLine="341"/>
        <w:spacing w:after="0" w:line="275" w:lineRule="auto"/>
        <w:rPr>
          <w:sz w:val="20"/>
          <w:szCs w:val="20"/>
          <w:color w:val="auto"/>
        </w:rPr>
      </w:pPr>
      <w:r>
        <w:rPr>
          <w:rFonts w:ascii="Times New Roman" w:cs="Times New Roman" w:eastAsia="Times New Roman" w:hAnsi="Times New Roman"/>
          <w:sz w:val="18"/>
          <w:szCs w:val="18"/>
          <w:color w:val="auto"/>
        </w:rPr>
        <w:t>A number of privacy regulations have been implemented in the United States and Canada in recent years. These regulations place many new restrictions on our ability to collect and disseminate customer information.</w:t>
      </w:r>
    </w:p>
    <w:p>
      <w:pPr>
        <w:spacing w:after="0" w:line="174" w:lineRule="exact"/>
        <w:rPr>
          <w:sz w:val="20"/>
          <w:szCs w:val="20"/>
          <w:color w:val="auto"/>
        </w:rPr>
      </w:pPr>
    </w:p>
    <w:p>
      <w:pPr>
        <w:ind w:right="40" w:firstLine="351"/>
        <w:spacing w:after="0" w:line="301" w:lineRule="auto"/>
        <w:rPr>
          <w:sz w:val="20"/>
          <w:szCs w:val="20"/>
          <w:color w:val="auto"/>
        </w:rPr>
      </w:pPr>
      <w:r>
        <w:rPr>
          <w:rFonts w:ascii="Times New Roman" w:cs="Times New Roman" w:eastAsia="Times New Roman" w:hAnsi="Times New Roman"/>
          <w:sz w:val="16"/>
          <w:szCs w:val="16"/>
          <w:color w:val="auto"/>
        </w:rPr>
        <w:t>Under the Gramm-Leach-Bliley Act, we maintain a comprehensive written information security program that includes administrative, technical and physical safeguards relating to customer information. We also were required to develop an initial privacy notice, and we are required to provide annual privacy notices, to customers that describe in general terms our information sharing practices. If we intend to share nonpublic personal information about customers with nonaffiliated third parties, we must provide our customers with a notice and a reasonable period of time for each customer to "opt out" of any such disclosure.</w:t>
      </w:r>
    </w:p>
    <w:p>
      <w:pPr>
        <w:spacing w:after="0" w:line="157" w:lineRule="exact"/>
        <w:rPr>
          <w:sz w:val="20"/>
          <w:szCs w:val="20"/>
          <w:color w:val="auto"/>
        </w:rPr>
      </w:pPr>
    </w:p>
    <w:p>
      <w:pPr>
        <w:jc w:val="both"/>
        <w:ind w:right="80" w:firstLine="351"/>
        <w:spacing w:after="0" w:line="262" w:lineRule="auto"/>
        <w:rPr>
          <w:sz w:val="20"/>
          <w:szCs w:val="20"/>
          <w:color w:val="auto"/>
        </w:rPr>
      </w:pPr>
      <w:r>
        <w:rPr>
          <w:rFonts w:ascii="Times New Roman" w:cs="Times New Roman" w:eastAsia="Times New Roman" w:hAnsi="Times New Roman"/>
          <w:sz w:val="18"/>
          <w:szCs w:val="18"/>
          <w:color w:val="auto"/>
        </w:rPr>
        <w:t>In addition to the federal privacy laws with which we must comply, states also have adopted statutes, regulations or other measures governing the collection and distribution of personal information about customers. In some cases these state measures are preempted by federal law, but if not, we make efforts to monitor and comply with individual state privacy laws in the conduct of our business.</w:t>
      </w:r>
    </w:p>
    <w:p>
      <w:pPr>
        <w:spacing w:after="0" w:line="186" w:lineRule="exact"/>
        <w:rPr>
          <w:sz w:val="20"/>
          <w:szCs w:val="20"/>
          <w:color w:val="auto"/>
        </w:rPr>
      </w:pPr>
    </w:p>
    <w:p>
      <w:pPr>
        <w:ind w:right="40" w:firstLine="351"/>
        <w:spacing w:after="0" w:line="296" w:lineRule="auto"/>
        <w:rPr>
          <w:sz w:val="20"/>
          <w:szCs w:val="20"/>
          <w:color w:val="auto"/>
        </w:rPr>
      </w:pPr>
      <w:r>
        <w:rPr>
          <w:rFonts w:ascii="Times New Roman" w:cs="Times New Roman" w:eastAsia="Times New Roman" w:hAnsi="Times New Roman"/>
          <w:sz w:val="16"/>
          <w:szCs w:val="16"/>
          <w:color w:val="auto"/>
        </w:rPr>
        <w:t>Canada has likewise enacted privacy legislation known as the Personal Information Protection and Electronic Documents Act. This Act requires organizations to obtain a consumer's consent to collect, use or disclose personal information. Under this Act, which took effect on January 1, 2001, the nature of the required consent depends on the sensitivity of the personal information, and the Act permits personal information to be used only for the purposes for which it was collected. The Province of Quebec has made similar privacy legislation applicable to the private sector in that province since 1994 and other provinces are considering further privacy legislation. We believe we have taken appropriate steps with our AIR MILES Reward Program to comply with the law.</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227" w:lineRule="exact"/>
        <w:rPr>
          <w:sz w:val="20"/>
          <w:szCs w:val="20"/>
          <w:color w:val="auto"/>
        </w:rPr>
      </w:pPr>
    </w:p>
    <w:p>
      <w:pPr>
        <w:ind w:right="640" w:firstLine="341"/>
        <w:spacing w:after="0" w:line="275" w:lineRule="auto"/>
        <w:rPr>
          <w:sz w:val="20"/>
          <w:szCs w:val="20"/>
          <w:color w:val="auto"/>
        </w:rPr>
      </w:pPr>
      <w:r>
        <w:rPr>
          <w:rFonts w:ascii="Times New Roman" w:cs="Times New Roman" w:eastAsia="Times New Roman" w:hAnsi="Times New Roman"/>
          <w:sz w:val="18"/>
          <w:szCs w:val="18"/>
          <w:color w:val="auto"/>
        </w:rPr>
        <w:t>As of December 31, 2002, we had approximately 6,500 employees in the United States, Canada and New Zealand. We believe our relations with our employees are good. We have no collective bargaining agreements with our employees.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 Pre-Approval</w:t>
      </w:r>
    </w:p>
    <w:p>
      <w:pPr>
        <w:spacing w:after="0" w:line="227" w:lineRule="exact"/>
        <w:rPr>
          <w:sz w:val="20"/>
          <w:szCs w:val="20"/>
          <w:color w:val="auto"/>
        </w:rPr>
      </w:pPr>
    </w:p>
    <w:p>
      <w:pPr>
        <w:ind w:right="160" w:firstLine="351"/>
        <w:spacing w:after="0" w:line="262" w:lineRule="auto"/>
        <w:rPr>
          <w:sz w:val="20"/>
          <w:szCs w:val="20"/>
          <w:color w:val="auto"/>
        </w:rPr>
      </w:pPr>
      <w:r>
        <w:rPr>
          <w:rFonts w:ascii="Times New Roman" w:cs="Times New Roman" w:eastAsia="Times New Roman" w:hAnsi="Times New Roman"/>
          <w:sz w:val="18"/>
          <w:szCs w:val="18"/>
          <w:color w:val="auto"/>
        </w:rPr>
        <w:t>Our audit committee has resolved to pre-approve all audit and non-audit services to be performed for us by our independent auditors, Deloitte &amp; Touche LLP. Non-audit services that have received pre-approval include tax preparation, tax consultation and advice, assistance with our securitization program, review and support for securities issuances and acquisition assistance.</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7" w:lineRule="exact"/>
        <w:rPr>
          <w:sz w:val="20"/>
          <w:szCs w:val="20"/>
          <w:color w:val="auto"/>
        </w:rPr>
      </w:pPr>
    </w:p>
    <w:p>
      <w:pPr>
        <w:ind w:right="200" w:firstLine="348"/>
        <w:spacing w:after="0" w:line="301" w:lineRule="auto"/>
        <w:rPr>
          <w:sz w:val="20"/>
          <w:szCs w:val="20"/>
          <w:color w:val="auto"/>
        </w:rPr>
      </w:pPr>
      <w:r>
        <w:rPr>
          <w:rFonts w:ascii="Times New Roman" w:cs="Times New Roman" w:eastAsia="Times New Roman" w:hAnsi="Times New Roman"/>
          <w:sz w:val="16"/>
          <w:szCs w:val="16"/>
          <w:color w:val="auto"/>
        </w:rPr>
        <w:t>We file annual, quarterly and special reports, proxy statements and other information with the SEC. You may read and copy any document we file at the SEC's Public Reference Room at 450 Fifth Street, N.W., Washington, D.C. 20549. Please call the SEC at 1-800-SEC-0330 for further information on the public reference room. Our SEC filings are also available to the public at the SEC's web site at www.sec.gov. No information from this web page is incorporated by reference herein. Our web site is www.alliancedatasystems.com. You may also obtain copies of our annual, quarterly and current reports, proxy statements and</w:t>
      </w:r>
    </w:p>
    <w:p>
      <w:pPr>
        <w:sectPr>
          <w:pgSz w:w="11900" w:h="16915" w:orient="portrait"/>
          <w:cols w:equalWidth="0" w:num="1">
            <w:col w:w="11420"/>
          </w:cols>
          <w:pgMar w:left="240" w:top="125" w:right="239" w:bottom="0" w:gutter="0" w:footer="0" w:header="0"/>
        </w:sectPr>
      </w:pPr>
    </w:p>
    <w:bookmarkStart w:id="7" w:name="page8"/>
    <w:bookmarkEnd w:id="7"/>
    <w:p>
      <w:pPr>
        <w:spacing w:after="0" w:line="262" w:lineRule="auto"/>
        <w:rPr>
          <w:sz w:val="20"/>
          <w:szCs w:val="20"/>
          <w:color w:val="auto"/>
        </w:rPr>
      </w:pPr>
      <w:r>
        <w:rPr>
          <w:rFonts w:ascii="Times New Roman" w:cs="Times New Roman" w:eastAsia="Times New Roman" w:hAnsi="Times New Roman"/>
          <w:sz w:val="18"/>
          <w:szCs w:val="18"/>
          <w:color w:val="auto"/>
        </w:rPr>
        <w:t>certain other information filed with the SEC, as well as amendments thereto, free of charge from our web site. These documents are posted to our web site as soon as reasonably practicable after we have filed or furnished these documents with the SEC. We post our audit committee, compensation committee and executive committee charters, and our corporate governance guidelines on our web site.</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Risks Related to General Business Operations</w:t>
      </w:r>
    </w:p>
    <w:p>
      <w:pPr>
        <w:spacing w:after="0" w:line="223" w:lineRule="exact"/>
        <w:rPr>
          <w:sz w:val="20"/>
          <w:szCs w:val="20"/>
          <w:color w:val="auto"/>
        </w:rPr>
      </w:pPr>
    </w:p>
    <w:p>
      <w:pPr>
        <w:ind w:right="12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Our ten largest clients were responsible for 55.5% of our consolidated revenue last year, and the loss of any of these clients could cause a significant drop in our revenue.</w:t>
      </w:r>
    </w:p>
    <w:p>
      <w:pPr>
        <w:spacing w:after="0" w:line="169" w:lineRule="exact"/>
        <w:rPr>
          <w:sz w:val="20"/>
          <w:szCs w:val="20"/>
          <w:color w:val="auto"/>
        </w:rPr>
      </w:pPr>
    </w:p>
    <w:p>
      <w:pPr>
        <w:ind w:right="120" w:firstLine="348"/>
        <w:spacing w:after="0" w:line="256" w:lineRule="auto"/>
        <w:rPr>
          <w:sz w:val="20"/>
          <w:szCs w:val="20"/>
          <w:color w:val="auto"/>
        </w:rPr>
      </w:pPr>
      <w:r>
        <w:rPr>
          <w:rFonts w:ascii="Times New Roman" w:cs="Times New Roman" w:eastAsia="Times New Roman" w:hAnsi="Times New Roman"/>
          <w:sz w:val="18"/>
          <w:szCs w:val="18"/>
          <w:color w:val="auto"/>
        </w:rPr>
        <w:t>We depend on a limited number of large clients for a significant portion of our consolidated revenue. Our 10 largest clients were responsible for approximately 55.5% of our consolidated revenue during the year ended December 31, 2002, with Limited Brands and its retail affiliates representing approximately 18.8% of our 2002 consolidated revenue. A decrease in revenue from any of our significant clients for any reason, including a decrease in pricing or activity, or a decision to either utilize another service provider or to no longer outsource some or all of the services we provide, could have a material adverse effect on our consolidated revenue.</w:t>
      </w:r>
    </w:p>
    <w:p>
      <w:pPr>
        <w:spacing w:after="0" w:line="191" w:lineRule="exact"/>
        <w:rPr>
          <w:sz w:val="20"/>
          <w:szCs w:val="20"/>
          <w:color w:val="auto"/>
        </w:rPr>
      </w:pPr>
    </w:p>
    <w:p>
      <w:pPr>
        <w:ind w:firstLine="351"/>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Transaction Services. </w:t>
      </w:r>
      <w:r>
        <w:rPr>
          <w:rFonts w:ascii="Times New Roman" w:cs="Times New Roman" w:eastAsia="Times New Roman" w:hAnsi="Times New Roman"/>
          <w:sz w:val="18"/>
          <w:szCs w:val="18"/>
          <w:color w:val="auto"/>
        </w:rPr>
        <w:t>Our 10 largest clients in this segment were responsible for approximately 61.6% of our Transaction Services revenue in 2002.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Limited Brands and its retail affiliates were the largest Transaction Services client in 2002, representing approximately 19.8% of this segment's 2002 revenue, and Brylane, our second largest Transaction Services client, was responsible for approximately 10.0% of this segment's 2002 revenue. Our contracts with Limited Brands and its retail affiliates expire in 2009, and our contracts with Brylane expire in 2013. Equiva Services, LLC, which is the service provider to Shell-branded locations in the United States, was responsible for approximately 3.1% of this segment's 2002 revenue, or 1.9% of our overall 2002 consolidated revenue. Through our Equiva relationship, we were responsible for processing credit and debit card transactions at Shell gas stations in the United States through our point-of-sale terminals. Our contract with Equiva expired in December 2002. We do not believe that the loss of Equiva will have a material adverse effect on our results of operations.</w:t>
      </w:r>
    </w:p>
    <w:p>
      <w:pPr>
        <w:spacing w:after="0" w:line="192" w:lineRule="exact"/>
        <w:rPr>
          <w:sz w:val="20"/>
          <w:szCs w:val="20"/>
          <w:color w:val="auto"/>
        </w:rPr>
      </w:pPr>
    </w:p>
    <w:p>
      <w:pPr>
        <w:jc w:val="both"/>
        <w:ind w:right="60" w:firstLine="351"/>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Credit Services. </w:t>
      </w:r>
      <w:r>
        <w:rPr>
          <w:rFonts w:ascii="Times New Roman" w:cs="Times New Roman" w:eastAsia="Times New Roman" w:hAnsi="Times New Roman"/>
          <w:sz w:val="18"/>
          <w:szCs w:val="18"/>
          <w:color w:val="auto"/>
        </w:rPr>
        <w:t>Our two largest clients in this segment were responsible for approximately 66.9% of our Credit Services revenue in 2002. Limited Brands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its retail affiliates were responsible for approximately 44.5%, and Brylane was responsible for approximately 22.4% of our Credit Services revenue in 2002. Our contracts with Limited Brands and its retail affiliates expire in 2009, and our contracts with Brylane expire in 2013.</w:t>
      </w:r>
    </w:p>
    <w:p>
      <w:pPr>
        <w:spacing w:after="0" w:line="181" w:lineRule="exact"/>
        <w:rPr>
          <w:sz w:val="20"/>
          <w:szCs w:val="20"/>
          <w:color w:val="auto"/>
        </w:rPr>
      </w:pPr>
    </w:p>
    <w:p>
      <w:pPr>
        <w:ind w:right="240" w:firstLine="351"/>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Marketing Services. </w:t>
      </w:r>
      <w:r>
        <w:rPr>
          <w:rFonts w:ascii="Times New Roman" w:cs="Times New Roman" w:eastAsia="Times New Roman" w:hAnsi="Times New Roman"/>
          <w:sz w:val="18"/>
          <w:szCs w:val="18"/>
          <w:color w:val="auto"/>
        </w:rPr>
        <w:t>Our 10 largest clients in this segment were responsible for approximately 68.2% of our Marketing Services revenue in 2002. BMO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Bank of Montreal, Canada Safeway, Shell Canada and Amex Bank of Canada were the four largest Marketing Services clients in 2002, responsible for approximately 54.0% of our 2002 Marketing Services revenue. BMO Bank of Montreal represented approximately 28.8% of this segment's 2002 revenue. Our contract with Shell Canada expires on July 31, 2003.</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Our largest client, Limited Brands, is an affiliate of a significant stockholder, holds two positions on our board of directors, and as a result it has the ability to influence our corporate affairs in a manner that could be inconsistent with the best interests of our other stockholders.</w:t>
      </w:r>
    </w:p>
    <w:p>
      <w:pPr>
        <w:spacing w:after="0" w:line="169" w:lineRule="exact"/>
        <w:rPr>
          <w:sz w:val="20"/>
          <w:szCs w:val="20"/>
          <w:color w:val="auto"/>
        </w:rPr>
      </w:pPr>
    </w:p>
    <w:p>
      <w:pPr>
        <w:ind w:firstLine="351"/>
        <w:spacing w:after="0" w:line="254" w:lineRule="auto"/>
        <w:rPr>
          <w:sz w:val="20"/>
          <w:szCs w:val="20"/>
          <w:color w:val="auto"/>
        </w:rPr>
      </w:pPr>
      <w:r>
        <w:rPr>
          <w:rFonts w:ascii="Times New Roman" w:cs="Times New Roman" w:eastAsia="Times New Roman" w:hAnsi="Times New Roman"/>
          <w:sz w:val="18"/>
          <w:szCs w:val="18"/>
          <w:color w:val="auto"/>
        </w:rPr>
        <w:t>Eight of our clients are retail affiliates of Limited Commerce Corp., our second largest stockholder and a wholly owned subsidiary of Limited Brands. Limited Brands, together with its retail affiliates, is our largest client. Limited Commerce Corp. beneficially owned approximately 19.6% of our common stock as of February 28, 2003, and, through a stockholders agreement, has the right to designate up to two members of our board of directors. As a significant stockholder with board representation, Limited Brands, unlike our other clients, is able to exercise significant influence over matters requiring stockholder approval, including the election of directors and the approval of significant corporate transactions. The interests of Limited Brands may not be aligned with the interests of our company or other stockholders. Limited Brands could use its influence as a major client and large stockholder to negotiate contracts with us that have terms that are more favorable to Limited Brands than could be obtained by unaffiliated retailers. In addition, Limited Brands could use its influence and could act to hinder our ability to enter into contracts with its competitors.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Competition in our industry is intense and we expect it to intensify.</w:t>
      </w:r>
    </w:p>
    <w:p>
      <w:pPr>
        <w:spacing w:after="0" w:line="229" w:lineRule="exact"/>
        <w:rPr>
          <w:sz w:val="20"/>
          <w:szCs w:val="20"/>
          <w:color w:val="auto"/>
        </w:rPr>
      </w:pPr>
    </w:p>
    <w:p>
      <w:pPr>
        <w:ind w:right="200" w:firstLine="348"/>
        <w:spacing w:after="0" w:line="262" w:lineRule="auto"/>
        <w:rPr>
          <w:sz w:val="20"/>
          <w:szCs w:val="20"/>
          <w:color w:val="auto"/>
        </w:rPr>
      </w:pPr>
      <w:r>
        <w:rPr>
          <w:rFonts w:ascii="Times New Roman" w:cs="Times New Roman" w:eastAsia="Times New Roman" w:hAnsi="Times New Roman"/>
          <w:sz w:val="18"/>
          <w:szCs w:val="18"/>
          <w:color w:val="auto"/>
        </w:rPr>
        <w:t>The markets for our products and services are highly competitive, and we expect competition to intensify in each of those markets. Many of our current competitors have longer operating histories, stronger brand names and greater financial, technical, marketing and other resources than we do. We cannot assure you that we will be able to compete successfully against our current and potential competitors.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markets for the services that we offer may fail to expand or may contract and this could negatively impact our growth and profitability.</w:t>
      </w:r>
    </w:p>
    <w:p>
      <w:pPr>
        <w:spacing w:after="0" w:line="229" w:lineRule="exact"/>
        <w:rPr>
          <w:sz w:val="20"/>
          <w:szCs w:val="20"/>
          <w:color w:val="auto"/>
        </w:rPr>
      </w:pPr>
    </w:p>
    <w:p>
      <w:pPr>
        <w:ind w:firstLine="351"/>
        <w:spacing w:after="0" w:line="254" w:lineRule="auto"/>
        <w:rPr>
          <w:sz w:val="20"/>
          <w:szCs w:val="20"/>
          <w:color w:val="auto"/>
        </w:rPr>
      </w:pPr>
      <w:r>
        <w:rPr>
          <w:rFonts w:ascii="Times New Roman" w:cs="Times New Roman" w:eastAsia="Times New Roman" w:hAnsi="Times New Roman"/>
          <w:sz w:val="18"/>
          <w:szCs w:val="18"/>
          <w:color w:val="auto"/>
        </w:rPr>
        <w:t>Our growth and continued profitability rely on acceptance of the services that we offer. If demand for transaction, credit or marketing services decreases, the price of our common stock could fall and you could lose value in your investment. Loyalty and database marketing strategies are relatively new to retailers, and we cannot guarantee that merchants will continue to use these types of marketing strategies. Changes in technology may enable merchants and retail companies to directly process transactions in a cost-efficient manner without the use of our services. Additionally, downturns in the economy or the performance of retailers may result in a decrease in the demand for our marketing strategies. Further, if our customers make fewer sales of their products and services, we will have fewer transactions to process, resulting in lower revenue. Any decrease in the demand for our services for the reasons discussed above or other reasons could have a material adverse effect on our growth and revenue.</w:t>
      </w:r>
    </w:p>
    <w:p>
      <w:pPr>
        <w:spacing w:after="0" w:line="191"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cannot assure you that we will effectively integrate acquisitions or realize their full benefits, and future acquisitions may result in dilutive equity issuances or increases in debt.</w:t>
      </w:r>
    </w:p>
    <w:p>
      <w:pPr>
        <w:spacing w:after="0" w:line="169" w:lineRule="exact"/>
        <w:rPr>
          <w:sz w:val="20"/>
          <w:szCs w:val="20"/>
          <w:color w:val="auto"/>
        </w:rPr>
      </w:pPr>
    </w:p>
    <w:p>
      <w:pPr>
        <w:ind w:firstLine="348"/>
        <w:spacing w:after="0" w:line="301" w:lineRule="auto"/>
        <w:rPr>
          <w:sz w:val="20"/>
          <w:szCs w:val="20"/>
          <w:color w:val="auto"/>
        </w:rPr>
      </w:pPr>
      <w:r>
        <w:rPr>
          <w:rFonts w:ascii="Times New Roman" w:cs="Times New Roman" w:eastAsia="Times New Roman" w:hAnsi="Times New Roman"/>
          <w:sz w:val="16"/>
          <w:szCs w:val="16"/>
          <w:color w:val="auto"/>
        </w:rPr>
        <w:t>We expect to continue to seek selective acquisitions as an element of our growth strategy. If we are unable to successfully integrate completed or any future acquisitions, we may incur substantial costs and delays or other operational, technical or financial problems, any of which could harm our business and impact the trading price of our common stock. In addition, the failure to successfully integrate any future acquisition may divert management's attention from our core operations or could harm our ability to timely meet the needs of our customers. To finance future acquisitions, we may need to raise funds either by issuing equity</w:t>
      </w:r>
    </w:p>
    <w:p>
      <w:pPr>
        <w:sectPr>
          <w:pgSz w:w="11900" w:h="16838" w:orient="portrait"/>
          <w:cols w:equalWidth="0" w:num="1">
            <w:col w:w="11400"/>
          </w:cols>
          <w:pgMar w:left="240" w:top="125" w:right="259" w:bottom="0" w:gutter="0" w:footer="0" w:header="0"/>
        </w:sectPr>
      </w:pPr>
    </w:p>
    <w:bookmarkStart w:id="8" w:name="page9"/>
    <w:bookmarkEnd w:id="8"/>
    <w:p>
      <w:pPr>
        <w:ind w:right="20"/>
        <w:spacing w:after="0" w:line="275" w:lineRule="auto"/>
        <w:rPr>
          <w:sz w:val="20"/>
          <w:szCs w:val="20"/>
          <w:color w:val="auto"/>
        </w:rPr>
      </w:pPr>
      <w:r>
        <w:rPr>
          <w:rFonts w:ascii="Times New Roman" w:cs="Times New Roman" w:eastAsia="Times New Roman" w:hAnsi="Times New Roman"/>
          <w:sz w:val="18"/>
          <w:szCs w:val="18"/>
          <w:color w:val="auto"/>
        </w:rPr>
        <w:t>securities or incurring debt. If we issue additional equity securities, such sales could reduce the current value of our stock by diluting the ownership interest of our stockholders.</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right="44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Failure to safeguard our databases and consumer privacy could affect our reputation among our clients and their customers and may expose us to legal claims from consumers.</w:t>
      </w:r>
    </w:p>
    <w:p>
      <w:pPr>
        <w:spacing w:after="0" w:line="169" w:lineRule="exact"/>
        <w:rPr>
          <w:sz w:val="20"/>
          <w:szCs w:val="20"/>
          <w:color w:val="auto"/>
        </w:rPr>
      </w:pPr>
    </w:p>
    <w:p>
      <w:pPr>
        <w:ind w:right="60" w:firstLine="341"/>
        <w:spacing w:after="0" w:line="254" w:lineRule="auto"/>
        <w:rPr>
          <w:sz w:val="20"/>
          <w:szCs w:val="20"/>
          <w:color w:val="auto"/>
        </w:rPr>
      </w:pPr>
      <w:r>
        <w:rPr>
          <w:rFonts w:ascii="Times New Roman" w:cs="Times New Roman" w:eastAsia="Times New Roman" w:hAnsi="Times New Roman"/>
          <w:sz w:val="18"/>
          <w:szCs w:val="18"/>
          <w:color w:val="auto"/>
        </w:rPr>
        <w:t>An important feature of our marketing and credit services is our ability to develop and maintain individual consumer profiles. As part of our AIR MILES Reward Program, database marketing program and private label program, we maintain marketing databases containing information on consumers' account transactions. Although we have extensive security procedures, our databases may be subject to unauthorized access. If we experience a security breach, the integrity of our marketing databases could be affected. Security and privacy concerns may cause consumers to resist providing the personal data necessary to support our profiling capability. The use of our loyalty, database marketing or private label programs could decline if any well-publicized compromise of security occurred. Any public perception that we released consumer information without authorization could subject us to legal claims from consumers and adversely affect our client relationships.</w:t>
      </w:r>
    </w:p>
    <w:p>
      <w:pPr>
        <w:spacing w:after="0" w:line="191" w:lineRule="exact"/>
        <w:rPr>
          <w:sz w:val="20"/>
          <w:szCs w:val="20"/>
          <w:color w:val="auto"/>
        </w:rPr>
      </w:pPr>
    </w:p>
    <w:p>
      <w:pPr>
        <w:ind w:right="6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Loss of data center capacity, interruption of telecommunication links, or inability to utilize propriety software of third party vendors could affect our ability to timely meet the needs of our clients and their customers.</w:t>
      </w:r>
    </w:p>
    <w:p>
      <w:pPr>
        <w:spacing w:after="0" w:line="169" w:lineRule="exact"/>
        <w:rPr>
          <w:sz w:val="20"/>
          <w:szCs w:val="20"/>
          <w:color w:val="auto"/>
        </w:rPr>
      </w:pPr>
    </w:p>
    <w:p>
      <w:pPr>
        <w:ind w:firstLine="351"/>
        <w:spacing w:after="0" w:line="258" w:lineRule="auto"/>
        <w:rPr>
          <w:sz w:val="20"/>
          <w:szCs w:val="20"/>
          <w:color w:val="auto"/>
        </w:rPr>
      </w:pPr>
      <w:r>
        <w:rPr>
          <w:rFonts w:ascii="Times New Roman" w:cs="Times New Roman" w:eastAsia="Times New Roman" w:hAnsi="Times New Roman"/>
          <w:sz w:val="18"/>
          <w:szCs w:val="18"/>
          <w:color w:val="auto"/>
        </w:rPr>
        <w:t>Our ability to protect our data centers against damage from fire, power loss, telecommunications failure and other disasters is critical. In order to provide many of our services, we must be able to store, retrieve, process and manage large databases and periodically expand and upgrade our capabilities. Any damage to our data centers, any failure of our telecommunication links that interrupts our operations or any impairment of our ability to use software licensed to us could adversely affect our ability to meet our clients' needs and their confidence in utilizing us for future services.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As a result of our significant Canadian operations, our reported financial information will be affected by fluctuations in the exchange rate between the U.S.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and Canadian dollars.</w:t>
      </w:r>
    </w:p>
    <w:p>
      <w:pPr>
        <w:spacing w:after="0" w:line="213" w:lineRule="exact"/>
        <w:rPr>
          <w:sz w:val="20"/>
          <w:szCs w:val="20"/>
          <w:color w:val="auto"/>
        </w:rPr>
      </w:pPr>
    </w:p>
    <w:p>
      <w:pPr>
        <w:jc w:val="both"/>
        <w:ind w:right="340" w:firstLine="341"/>
        <w:spacing w:after="0" w:line="262" w:lineRule="auto"/>
        <w:rPr>
          <w:sz w:val="20"/>
          <w:szCs w:val="20"/>
          <w:color w:val="auto"/>
        </w:rPr>
      </w:pPr>
      <w:r>
        <w:rPr>
          <w:rFonts w:ascii="Times New Roman" w:cs="Times New Roman" w:eastAsia="Times New Roman" w:hAnsi="Times New Roman"/>
          <w:sz w:val="18"/>
          <w:szCs w:val="18"/>
          <w:color w:val="auto"/>
        </w:rPr>
        <w:t>A significant portion of our Marketing Services revenue is derived from our Loyalty Group operations in Canada, which transacts business in Canadian dollars. Therefore, our reported financial information from quarter-to-quarter will be affected by changes in the exchange rate between the U.S. and Canadian dollars over the relevant periods.</w:t>
      </w:r>
    </w:p>
    <w:p>
      <w:pPr>
        <w:spacing w:after="0" w:line="182" w:lineRule="exact"/>
        <w:rPr>
          <w:sz w:val="20"/>
          <w:szCs w:val="20"/>
          <w:color w:val="auto"/>
        </w:rPr>
      </w:pPr>
    </w:p>
    <w:p>
      <w:pPr>
        <w:ind w:right="28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Our hedging activity subjects us to off-balance sheet counter-party risks relating to the creditworthiness of the commercial banks with whom we enter into hedging transactions.</w:t>
      </w:r>
    </w:p>
    <w:p>
      <w:pPr>
        <w:spacing w:after="0" w:line="169" w:lineRule="exact"/>
        <w:rPr>
          <w:sz w:val="20"/>
          <w:szCs w:val="20"/>
          <w:color w:val="auto"/>
        </w:rPr>
      </w:pPr>
    </w:p>
    <w:p>
      <w:pPr>
        <w:jc w:val="both"/>
        <w:ind w:right="100" w:firstLine="351"/>
        <w:spacing w:after="0" w:line="310" w:lineRule="auto"/>
        <w:rPr>
          <w:sz w:val="20"/>
          <w:szCs w:val="20"/>
          <w:color w:val="auto"/>
        </w:rPr>
      </w:pPr>
      <w:r>
        <w:rPr>
          <w:rFonts w:ascii="Times New Roman" w:cs="Times New Roman" w:eastAsia="Times New Roman" w:hAnsi="Times New Roman"/>
          <w:sz w:val="16"/>
          <w:szCs w:val="16"/>
          <w:color w:val="auto"/>
        </w:rPr>
        <w:t>In order to execute our hedging strategies, we have entered into interest rate and foreign currency derivative contracts with commercial banks. These banks are otherwise known as counter-parties. It is our policy to enter into such contracts with counter-parties that are deemed to be creditworthy. However, if macro or micro economic events were to negatively impact the respective banks, the banks might not be able to honor their obligations and we might suffer a loss.</w:t>
      </w:r>
    </w:p>
    <w:p>
      <w:pPr>
        <w:spacing w:after="0" w:line="147" w:lineRule="exact"/>
        <w:rPr>
          <w:sz w:val="20"/>
          <w:szCs w:val="20"/>
          <w:color w:val="auto"/>
        </w:rPr>
      </w:pPr>
    </w:p>
    <w:p>
      <w:pPr>
        <w:ind w:right="26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Our failure to protect our intellectual property rights may harm our competitive position, and litigation to protect our intellectual property rights or defend against third-party allegations of infringement may be costly.</w:t>
      </w:r>
    </w:p>
    <w:p>
      <w:pPr>
        <w:spacing w:after="0" w:line="169" w:lineRule="exact"/>
        <w:rPr>
          <w:sz w:val="20"/>
          <w:szCs w:val="20"/>
          <w:color w:val="auto"/>
        </w:rPr>
      </w:pPr>
    </w:p>
    <w:p>
      <w:pPr>
        <w:ind w:right="40" w:firstLine="348"/>
        <w:spacing w:after="0" w:line="255" w:lineRule="auto"/>
        <w:rPr>
          <w:sz w:val="20"/>
          <w:szCs w:val="20"/>
          <w:color w:val="auto"/>
        </w:rPr>
      </w:pPr>
      <w:r>
        <w:rPr>
          <w:rFonts w:ascii="Times New Roman" w:cs="Times New Roman" w:eastAsia="Times New Roman" w:hAnsi="Times New Roman"/>
          <w:sz w:val="18"/>
          <w:szCs w:val="18"/>
          <w:color w:val="auto"/>
        </w:rPr>
        <w:t>Third parties may infringe or misappropriate our trademarks or other intellectual property rights, which could have a material adverse effect on our business, financial condition or operating results. The actions we take to protect our trademarks and other proprietary rights may not be adequate. Litigation may be necessary to enforce our intellectual property rights, protect our trade secrets or determine the validity and scope of the proprietary rights of others. We cannot assure you that we will be able to prevent infringement of our intellectual property rights or misappropriation of our proprietary information. Any infringement or misappropriation could harm any competitive advantage we currently derive or may derive from our proprietary rights. Third parties may assert infringement claims against us. Any claims and any resulting litigation could subject us to significant liability for</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color w:val="auto"/>
        </w:rPr>
        <w:t>damages. An adverse determination in any litigation of this type could require us to design around a third party's patent or to license alternative technology from another party. In addition, litigation is time-consuming and expensive to defend and could result in the diversion of our time and resources. Any claims from third parties may also result in limitations on our ability to use the intellectual property subject to these claims.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required to pay state taxes on transaction processing, it could negatively impact our profitability.</w:t>
      </w:r>
    </w:p>
    <w:p>
      <w:pPr>
        <w:spacing w:after="0" w:line="229" w:lineRule="exact"/>
        <w:rPr>
          <w:sz w:val="20"/>
          <w:szCs w:val="20"/>
          <w:color w:val="auto"/>
        </w:rPr>
      </w:pPr>
    </w:p>
    <w:p>
      <w:pPr>
        <w:ind w:right="80" w:firstLine="348"/>
        <w:spacing w:after="0" w:line="275" w:lineRule="auto"/>
        <w:rPr>
          <w:sz w:val="20"/>
          <w:szCs w:val="20"/>
          <w:color w:val="auto"/>
        </w:rPr>
      </w:pPr>
      <w:r>
        <w:rPr>
          <w:rFonts w:ascii="Times New Roman" w:cs="Times New Roman" w:eastAsia="Times New Roman" w:hAnsi="Times New Roman"/>
          <w:sz w:val="18"/>
          <w:szCs w:val="18"/>
          <w:color w:val="auto"/>
        </w:rPr>
        <w:t>Transaction processing companies may be subject to state taxation of certain portions of their fees charged to merchants for their services. If we are required to pay such taxes and are unable to pass this tax expense through to our merchant clients, these taxes would negatively impact our profitability.</w:t>
      </w:r>
    </w:p>
    <w:p>
      <w:pPr>
        <w:spacing w:after="0" w:line="172"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Risks Particular to Transaction Services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pace of deregulation in the utility sector may not continue as we have predicted.</w:t>
      </w:r>
    </w:p>
    <w:p>
      <w:pPr>
        <w:spacing w:after="0" w:line="229" w:lineRule="exact"/>
        <w:rPr>
          <w:sz w:val="20"/>
          <w:szCs w:val="20"/>
          <w:color w:val="auto"/>
        </w:rPr>
      </w:pPr>
    </w:p>
    <w:p>
      <w:pPr>
        <w:ind w:right="260" w:firstLine="348"/>
        <w:spacing w:after="0" w:line="275" w:lineRule="auto"/>
        <w:rPr>
          <w:sz w:val="20"/>
          <w:szCs w:val="20"/>
          <w:color w:val="auto"/>
        </w:rPr>
      </w:pPr>
      <w:r>
        <w:rPr>
          <w:rFonts w:ascii="Times New Roman" w:cs="Times New Roman" w:eastAsia="Times New Roman" w:hAnsi="Times New Roman"/>
          <w:sz w:val="18"/>
          <w:szCs w:val="18"/>
          <w:color w:val="auto"/>
        </w:rPr>
        <w:t>The pace of deregulation may slow, thereby creating fewer opportunities for the types of services we provide. If the pace of deregulation were to slow, we would increase our focus on regulated activities, which have traditionally been less open to outsourcing.</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Competition in our segment is intense and we expect it to intensify.</w:t>
      </w:r>
    </w:p>
    <w:p>
      <w:pPr>
        <w:spacing w:after="0" w:line="229" w:lineRule="exact"/>
        <w:rPr>
          <w:sz w:val="20"/>
          <w:szCs w:val="20"/>
          <w:color w:val="auto"/>
        </w:rPr>
      </w:pPr>
    </w:p>
    <w:p>
      <w:pPr>
        <w:ind w:right="300" w:firstLine="348"/>
        <w:spacing w:after="0" w:line="275" w:lineRule="auto"/>
        <w:rPr>
          <w:sz w:val="20"/>
          <w:szCs w:val="20"/>
          <w:color w:val="auto"/>
        </w:rPr>
      </w:pPr>
      <w:r>
        <w:rPr>
          <w:rFonts w:ascii="Times New Roman" w:cs="Times New Roman" w:eastAsia="Times New Roman" w:hAnsi="Times New Roman"/>
          <w:sz w:val="18"/>
          <w:szCs w:val="18"/>
          <w:color w:val="auto"/>
        </w:rPr>
        <w:t>The utilities market for outsourced billing and customer care is highly competitive, and we expect competition to intensify from larger, more well-funded and well-established companies. Increased competition could result in contracts with lower margins.</w:t>
      </w:r>
    </w:p>
    <w:p>
      <w:pPr>
        <w:sectPr>
          <w:pgSz w:w="11900" w:h="16838" w:orient="portrait"/>
          <w:cols w:equalWidth="0" w:num="1">
            <w:col w:w="11420"/>
          </w:cols>
          <w:pgMar w:left="240" w:top="125" w:right="239" w:bottom="0" w:gutter="0" w:footer="0" w:header="0"/>
        </w:sectPr>
      </w:pPr>
    </w:p>
    <w:bookmarkStart w:id="9" w:name="page10"/>
    <w:bookmarkEnd w:id="9"/>
    <w:p>
      <w:pPr>
        <w:spacing w:after="0" w:line="2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Risks Particular to Credit Services</w:t>
      </w:r>
    </w:p>
    <w:p>
      <w:pPr>
        <w:spacing w:after="0" w:line="223" w:lineRule="exact"/>
        <w:rPr>
          <w:sz w:val="20"/>
          <w:szCs w:val="20"/>
          <w:color w:val="auto"/>
        </w:rPr>
      </w:pPr>
    </w:p>
    <w:p>
      <w:pPr>
        <w:ind w:right="60"/>
        <w:spacing w:after="0" w:line="345" w:lineRule="auto"/>
        <w:rPr>
          <w:sz w:val="20"/>
          <w:szCs w:val="20"/>
          <w:color w:val="auto"/>
        </w:rPr>
      </w:pPr>
      <w:r>
        <w:rPr>
          <w:rFonts w:ascii="Times New Roman" w:cs="Times New Roman" w:eastAsia="Times New Roman" w:hAnsi="Times New Roman"/>
          <w:sz w:val="16"/>
          <w:szCs w:val="16"/>
          <w:b w:val="1"/>
          <w:bCs w:val="1"/>
          <w:i w:val="1"/>
          <w:iCs w:val="1"/>
          <w:color w:val="auto"/>
        </w:rPr>
        <w:t>If we are unable to securitize our credit card receivables due to changes in the market, the unavailability of credit enhancements, an early amortization event or for other reasons, we would not be able to fund new credit card receivables, which would have a negative impact on our operations and earnings.</w:t>
      </w:r>
    </w:p>
    <w:p>
      <w:pPr>
        <w:spacing w:after="0" w:line="123" w:lineRule="exact"/>
        <w:rPr>
          <w:sz w:val="20"/>
          <w:szCs w:val="20"/>
          <w:color w:val="auto"/>
        </w:rPr>
      </w:pPr>
    </w:p>
    <w:p>
      <w:pPr>
        <w:ind w:right="20" w:firstLine="351"/>
        <w:spacing w:after="0" w:line="255" w:lineRule="auto"/>
        <w:rPr>
          <w:sz w:val="20"/>
          <w:szCs w:val="20"/>
          <w:color w:val="auto"/>
        </w:rPr>
      </w:pPr>
      <w:r>
        <w:rPr>
          <w:rFonts w:ascii="Times New Roman" w:cs="Times New Roman" w:eastAsia="Times New Roman" w:hAnsi="Times New Roman"/>
          <w:sz w:val="18"/>
          <w:szCs w:val="18"/>
          <w:color w:val="auto"/>
        </w:rPr>
        <w:t>Since January 1996, we have sold substantially all of the credit card receivables originated by our private label credit card bank, World Financial Network National Bank, to WFN Credit Company, LLC, who then sold them to World Financial Network Credit Card Master Trust and World Financial Network Credit Card Master Note Trust as part of our securitization program. This securitization program is the primary vehicle through which World Financial Network National Bank finances our private label credit card receivables. If World Financial Network National Bank were not able to regularly securitize the receivables it originates, our ability to grow or even maintain our credit services business would be materially impaired. World Financial Network National Bank's ability to effect securitization transactions is impacted by the following factors, some of which are beyond our control:</w:t>
      </w:r>
    </w:p>
    <w:p>
      <w:pPr>
        <w:spacing w:after="0" w:line="207" w:lineRule="exact"/>
        <w:rPr>
          <w:sz w:val="20"/>
          <w:szCs w:val="20"/>
          <w:color w:val="auto"/>
        </w:rPr>
      </w:pPr>
    </w:p>
    <w:p>
      <w:pPr>
        <w:ind w:left="1080" w:hanging="532"/>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in the securities markets in general and the asset-backed securitization market in particular;</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conformity in the quality of credit card receivables to rating agency requirements and changes in those requirements; and</w:t>
      </w:r>
    </w:p>
    <w:p>
      <w:pPr>
        <w:spacing w:after="0" w:line="238" w:lineRule="exact"/>
        <w:rPr>
          <w:rFonts w:ascii="Times New Roman" w:cs="Times New Roman" w:eastAsia="Times New Roman" w:hAnsi="Times New Roman"/>
          <w:sz w:val="18"/>
          <w:szCs w:val="18"/>
          <w:color w:val="auto"/>
        </w:rPr>
      </w:pPr>
    </w:p>
    <w:p>
      <w:pPr>
        <w:ind w:left="1080" w:right="320" w:hanging="532"/>
        <w:spacing w:after="0" w:line="275"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fund required overcollateralizations or credit enhancements, which we routinely utilize in order to achieve better credit ratings to lower our borrowing costs.</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60" w:firstLine="351"/>
        <w:spacing w:after="0" w:line="255" w:lineRule="auto"/>
        <w:rPr>
          <w:sz w:val="20"/>
          <w:szCs w:val="20"/>
          <w:color w:val="auto"/>
        </w:rPr>
      </w:pPr>
      <w:r>
        <w:rPr>
          <w:rFonts w:ascii="Times New Roman" w:cs="Times New Roman" w:eastAsia="Times New Roman" w:hAnsi="Times New Roman"/>
          <w:sz w:val="18"/>
          <w:szCs w:val="18"/>
          <w:color w:val="auto"/>
        </w:rPr>
        <w:t>Once World Financial Network National Bank securitizes receivables, the agreement governing the transaction contains covenants that address the receivables' performance and the continued solvency of the retailer where the underlying sales were generated. In the event such a covenant or other similar covenant is breached, an early amortization event could be declared, in which case the trustee for the securitization trust would retain World Financial Network National Bank's interest in the related receivables, along with the excess interest income that would normally be paid to World Financial Network National Bank, until such time as the securitization investors are fully repaid. The occurrence of an early amortization event would significantly limit, or even negate, our ability to securitize additional receivables.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Increases in net charge-offs beyond our current estimates could have a negative impact on our operating income and profitability.</w:t>
      </w:r>
    </w:p>
    <w:p>
      <w:pPr>
        <w:spacing w:after="0" w:line="229" w:lineRule="exact"/>
        <w:rPr>
          <w:sz w:val="20"/>
          <w:szCs w:val="20"/>
          <w:color w:val="auto"/>
        </w:rPr>
      </w:pPr>
    </w:p>
    <w:p>
      <w:pPr>
        <w:ind w:firstLine="348"/>
        <w:spacing w:after="0" w:line="252" w:lineRule="auto"/>
        <w:rPr>
          <w:sz w:val="20"/>
          <w:szCs w:val="20"/>
          <w:color w:val="auto"/>
        </w:rPr>
      </w:pPr>
      <w:r>
        <w:rPr>
          <w:rFonts w:ascii="Times New Roman" w:cs="Times New Roman" w:eastAsia="Times New Roman" w:hAnsi="Times New Roman"/>
          <w:sz w:val="18"/>
          <w:szCs w:val="18"/>
          <w:color w:val="auto"/>
        </w:rPr>
        <w:t>The primary risk associated with unsecured consumer lending is the risk of default or bankruptcy of the borrower, resulting in the borrower's balance being charged-off as uncollectible. We rely principally on the customer's creditworthiness for repayment of the loan and therefore have no other recourse for collection. We may not be able to successfully identify and evaluate the creditworthiness of cardholders to minimize delinquencies and losses. An increase in defaults or net charge-offs beyond historical levels will reduce the net spread available to us from the securitization master trust and could result in a reduction in finance charge income or a write-down of the interest only strip. General economic factors, such as the rate of inflation, unemployment levels and interest rates, may result in greater delinquencies that lead to greater credit losses among consumers. In addition to being affected by general economic conditions and the success of our collection and recovery efforts, our delinquency and net credit card receivable charge-off rates are affected by the credit risk of credit card receivables and the average age of our various credit card account portfolios. The average age of credit card receivables affects the stability of delinquency and loss rates of the portfolio. At December 31, 2002, 47.7% of the total number of our securitized accounts with outstanding balances and 41.3% of the amount of our outstanding securitized loans were less than 24 months old. For 2002, our securitized net charge-off ratio was 7.4% compared to 8.4% for 2001 and 7.6% for 2000. We cannot assure you that our pricing strategy can offset the negative impact on profitability caused by increases in delinquencies and losses. Any material increases in delinquencies and losses beyond our current estimates could have a material adverse impact on us and the value of our net retained interests in loans that we sell though securitizations.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Changes in the amount of payments and defaults by cardholders on credit card balances may cause a decrease in the estimated value of interest only strips.</w:t>
      </w:r>
    </w:p>
    <w:p>
      <w:pPr>
        <w:spacing w:after="0" w:line="252" w:lineRule="exact"/>
        <w:rPr>
          <w:sz w:val="20"/>
          <w:szCs w:val="20"/>
          <w:color w:val="auto"/>
        </w:rPr>
      </w:pPr>
    </w:p>
    <w:p>
      <w:pPr>
        <w:ind w:firstLine="348"/>
        <w:spacing w:after="0" w:line="254" w:lineRule="auto"/>
        <w:rPr>
          <w:sz w:val="20"/>
          <w:szCs w:val="20"/>
          <w:color w:val="auto"/>
        </w:rPr>
      </w:pPr>
      <w:r>
        <w:rPr>
          <w:rFonts w:ascii="Times New Roman" w:cs="Times New Roman" w:eastAsia="Times New Roman" w:hAnsi="Times New Roman"/>
          <w:sz w:val="18"/>
          <w:szCs w:val="18"/>
          <w:color w:val="auto"/>
        </w:rPr>
        <w:t>The estimated fair value of interest only strips depends upon the anticipated cash flows of the related credit card receivables. A significant factor affecting the anticipated cash flows is the rate at which the underlying principal of the securitized credit card receivables is reduced. Other assumptions used in estimating the value of the interest only strips include estimated future credit losses and a discount rate commensurate with the risks involved. The rate of cardholder payments or defaults on credit card balances may be affected by a variety of economic factors, including interest rates and the availability of alternative financing, most of which are not within our control. A decrease in interest rates could cause cardholder payments to increase, thereby requiring a write down of the interest only strips. If payments from cardholders or defaults by cardholders exceed our estimates, we may be required to decrease the estimated value of the interest only strips through a charge against earnings.</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increases could significantly reduce the amount we realize from the spread between the yield on our assets and our cost of funding.</w:t>
      </w:r>
    </w:p>
    <w:p>
      <w:pPr>
        <w:spacing w:after="0" w:line="229" w:lineRule="exact"/>
        <w:rPr>
          <w:sz w:val="20"/>
          <w:szCs w:val="20"/>
          <w:color w:val="auto"/>
        </w:rPr>
      </w:pPr>
    </w:p>
    <w:p>
      <w:pPr>
        <w:ind w:right="20" w:firstLine="341"/>
        <w:spacing w:after="0" w:line="291" w:lineRule="auto"/>
        <w:rPr>
          <w:sz w:val="20"/>
          <w:szCs w:val="20"/>
          <w:color w:val="auto"/>
        </w:rPr>
      </w:pPr>
      <w:r>
        <w:rPr>
          <w:rFonts w:ascii="Times New Roman" w:cs="Times New Roman" w:eastAsia="Times New Roman" w:hAnsi="Times New Roman"/>
          <w:sz w:val="16"/>
          <w:szCs w:val="16"/>
          <w:color w:val="auto"/>
        </w:rPr>
        <w:t>An increase in market interest rates could reduce the amount we realize from the spread between the yield on our assets and our cost of funding. A rise in market interest rates may indirectly impact the payment performance of consumers or the value of, or amount we could realize from the sale of, interest only strips. At December 31, 2002, approximately 3.4% of our outstanding debt, including the off-balance sheet debt of our securitization program, was subject to fixed rates with a weighted average interest rate of 6.6%. An additional 70.0% of our outstanding debt at December 31, 2002 was locked at an effective interest rate of 5.5% through interest rate swap agreements and treasury locks with notional amounts totaling $1.7 billion. Assuming we do not take any counteractive measures, a 1.0% increase in interest rates would result in a decrease to pretax income of approximately $2.5 million. The foregoing sensitivity analysis is limited to the potential impact of an interest rate increase of 1.0% on cash flows and fair values, and does not address default or credit risk.</w:t>
      </w:r>
    </w:p>
    <w:p>
      <w:pPr>
        <w:spacing w:after="0" w:line="163"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expect growth in our credit services segment to result from new and acquired private label card programs whose credit card receivable performance could result in increased portfolio losses and negatively impact our net retained interests in loans securitized.</w:t>
      </w:r>
    </w:p>
    <w:p>
      <w:pPr>
        <w:spacing w:after="0" w:line="169" w:lineRule="exact"/>
        <w:rPr>
          <w:sz w:val="20"/>
          <w:szCs w:val="20"/>
          <w:color w:val="auto"/>
        </w:rPr>
      </w:pPr>
    </w:p>
    <w:p>
      <w:pPr>
        <w:ind w:right="200" w:firstLine="348"/>
        <w:spacing w:after="0" w:line="339" w:lineRule="auto"/>
        <w:rPr>
          <w:sz w:val="20"/>
          <w:szCs w:val="20"/>
          <w:color w:val="auto"/>
        </w:rPr>
      </w:pPr>
      <w:r>
        <w:rPr>
          <w:rFonts w:ascii="Times New Roman" w:cs="Times New Roman" w:eastAsia="Times New Roman" w:hAnsi="Times New Roman"/>
          <w:sz w:val="16"/>
          <w:szCs w:val="16"/>
          <w:color w:val="auto"/>
        </w:rPr>
        <w:t>We expect an important source of growth in our private label card operations to come from the acquisition of existing private label programs and initiating private label programs with retailers who do not currently offer a private label card. Although we believe our pricing and models for determining credit risk are</w:t>
      </w:r>
    </w:p>
    <w:p>
      <w:pPr>
        <w:sectPr>
          <w:pgSz w:w="11900" w:h="16863" w:orient="portrait"/>
          <w:cols w:equalWidth="0" w:num="1">
            <w:col w:w="11400"/>
          </w:cols>
          <w:pgMar w:left="240" w:top="339" w:right="259" w:bottom="0" w:gutter="0" w:footer="0" w:header="0"/>
        </w:sectPr>
      </w:pPr>
    </w:p>
    <w:bookmarkStart w:id="10" w:name="page11"/>
    <w:bookmarkEnd w:id="10"/>
    <w:p>
      <w:pPr>
        <w:spacing w:after="0" w:line="22"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18"/>
          <w:szCs w:val="18"/>
          <w:color w:val="auto"/>
        </w:rPr>
        <w:t>designed to evaluate the credit risk of existing programs and the credit risk we are willing to assume for acquired and start-up programs, we cannot assure you that the loss experience on acquired and start-up programs will be consistent with our more established programs. The failure to successfully underwrite these private label programs may result in defaults greater than our expectations and could have a material adverse impact on us and the value of our net retained interests in loans securitized.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Current and proposed regulation and legislation relating to our credit services could limit our business activities, product offerings and fees charged.</w:t>
      </w:r>
    </w:p>
    <w:p>
      <w:pPr>
        <w:spacing w:after="0" w:line="229" w:lineRule="exact"/>
        <w:rPr>
          <w:sz w:val="20"/>
          <w:szCs w:val="20"/>
          <w:color w:val="auto"/>
        </w:rPr>
      </w:pPr>
    </w:p>
    <w:p>
      <w:pPr>
        <w:ind w:right="60" w:firstLine="348"/>
        <w:spacing w:after="0" w:line="254" w:lineRule="auto"/>
        <w:rPr>
          <w:sz w:val="20"/>
          <w:szCs w:val="20"/>
          <w:color w:val="auto"/>
        </w:rPr>
      </w:pPr>
      <w:r>
        <w:rPr>
          <w:rFonts w:ascii="Times New Roman" w:cs="Times New Roman" w:eastAsia="Times New Roman" w:hAnsi="Times New Roman"/>
          <w:sz w:val="18"/>
          <w:szCs w:val="18"/>
          <w:color w:val="auto"/>
        </w:rPr>
        <w:t>Various Federal and state laws and regulations significantly limit the credit services activities in which we are permitted to engage. Such laws and regulations, among other things, limit the fees and other charges that we can impose on customers, limit or prescribe certain other terms of our products and services, require specified disclosures to consumers, or require that we maintain certain licenses, qualifications and minimum capital levels. In some cases, the precise application of these statutes and regulations is not clear. In addition, numerous legislative and regulatory proposals are advanced each year which, if adopted, could have a material adverse effect on our profitability or further restrict the manner in which we conduct our activities. The failure to comply with, or adverse changes in, the laws or regulations to which our business is subject, or adverse changes in their interpretation, could have a material adverse effect on our ability to collect our receivables and generate fees on the receivables, thereby adversely affecting our profitability.</w:t>
      </w:r>
    </w:p>
    <w:p>
      <w:pPr>
        <w:spacing w:after="0" w:line="191" w:lineRule="exact"/>
        <w:rPr>
          <w:sz w:val="20"/>
          <w:szCs w:val="20"/>
          <w:color w:val="auto"/>
        </w:rPr>
      </w:pPr>
    </w:p>
    <w:p>
      <w:pPr>
        <w:ind w:right="8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If our bank subsidiary fails to meet credit card bank criteria, we may become subject to regulation under the Bank Holding Company Act, which would force us to cease all of our non-banking business activities and thus cause a drastic reduction in our profits and revenue.</w:t>
      </w:r>
    </w:p>
    <w:p>
      <w:pPr>
        <w:spacing w:after="0" w:line="169" w:lineRule="exact"/>
        <w:rPr>
          <w:sz w:val="20"/>
          <w:szCs w:val="20"/>
          <w:color w:val="auto"/>
        </w:rPr>
      </w:pPr>
    </w:p>
    <w:p>
      <w:pPr>
        <w:ind w:right="60" w:firstLine="351"/>
        <w:spacing w:after="0" w:line="275" w:lineRule="auto"/>
        <w:rPr>
          <w:sz w:val="20"/>
          <w:szCs w:val="20"/>
          <w:color w:val="auto"/>
        </w:rPr>
      </w:pPr>
      <w:r>
        <w:rPr>
          <w:rFonts w:ascii="Times New Roman" w:cs="Times New Roman" w:eastAsia="Times New Roman" w:hAnsi="Times New Roman"/>
          <w:sz w:val="18"/>
          <w:szCs w:val="18"/>
          <w:color w:val="auto"/>
        </w:rPr>
        <w:t>Our bank subsidiary, World Financial Network National Bank, is a limited purpose credit card bank. The Bank Insurance Fund, which is administered by the Federal Deposit Insurance Corporation, insures the deposits of World Financial Network National Bank. World Financial Network National</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Bank is not a "bank" as defined under the Bank Holding Company Act because it is in compliance with the following requirements:</w:t>
      </w:r>
    </w:p>
    <w:p>
      <w:pPr>
        <w:spacing w:after="0" w:line="239" w:lineRule="exact"/>
        <w:rPr>
          <w:sz w:val="20"/>
          <w:szCs w:val="20"/>
          <w:color w:val="auto"/>
        </w:rPr>
      </w:pPr>
    </w:p>
    <w:p>
      <w:pPr>
        <w:ind w:left="1080" w:hanging="532"/>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engages only in credit card operations;</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does not accept demand deposits or deposits that the depositor may withdraw by check or similar means for payment to third parties;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does not accept any savings or time deposits of less than $100,000, except for deposits pledged as collateral for extensions of credit;</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maintains only one office that accepts deposits; and</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does not engage in the business of making commercial loans.</w:t>
      </w:r>
    </w:p>
    <w:p>
      <w:pPr>
        <w:spacing w:after="0" w:line="225" w:lineRule="exact"/>
        <w:rPr>
          <w:sz w:val="20"/>
          <w:szCs w:val="20"/>
          <w:color w:val="auto"/>
        </w:rPr>
      </w:pPr>
    </w:p>
    <w:p>
      <w:pPr>
        <w:ind w:firstLine="351"/>
        <w:spacing w:after="0" w:line="256" w:lineRule="auto"/>
        <w:rPr>
          <w:sz w:val="20"/>
          <w:szCs w:val="20"/>
          <w:color w:val="auto"/>
        </w:rPr>
      </w:pPr>
      <w:r>
        <w:rPr>
          <w:rFonts w:ascii="Times New Roman" w:cs="Times New Roman" w:eastAsia="Times New Roman" w:hAnsi="Times New Roman"/>
          <w:sz w:val="18"/>
          <w:szCs w:val="18"/>
          <w:color w:val="auto"/>
        </w:rPr>
        <w:t>If World Financial Network National Bank failed to meet the credit card bank criteria described above, World Financial Network National Bank would be a "bank" as defined by the Bank Holding Company Act, subjecting us to regulation under the Bank Holding Company Act. Being deemed a bank holding company could significantly harm us, as we could be required to either divest any activities deemed to be non-banking activities or cease any activities not permissible for a bank holding company and its affiliates. While the consequences of being subject to regulation under the Bank Holding Company Act would be severe, we believe that the risk of becoming subject to such regulation is minimal as a result of the precautions we have taken in structuring our business.</w:t>
      </w:r>
    </w:p>
    <w:p>
      <w:pPr>
        <w:spacing w:after="0" w:line="200" w:lineRule="exact"/>
        <w:rPr>
          <w:sz w:val="20"/>
          <w:szCs w:val="20"/>
          <w:color w:val="auto"/>
        </w:rPr>
      </w:pP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Risks Particular to Marketing Services</w:t>
      </w:r>
    </w:p>
    <w:p>
      <w:pPr>
        <w:spacing w:after="0" w:line="223" w:lineRule="exact"/>
        <w:rPr>
          <w:sz w:val="20"/>
          <w:szCs w:val="20"/>
          <w:color w:val="auto"/>
        </w:rPr>
      </w:pPr>
    </w:p>
    <w:p>
      <w:pPr>
        <w:jc w:val="both"/>
        <w:ind w:right="6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Air Canada is the dominant air carrier in Canada and the primary supplier of airline tickets for our AIR MILES Reward Program. Our costs may increase if we are unable to extend our current pricing arrangements with Air Canada, and we may not be able to meet the needs of our collectors if the seating capacity made available to us by Air Canada is inadequate to meet our collectors' demands.</w:t>
      </w:r>
    </w:p>
    <w:p>
      <w:pPr>
        <w:spacing w:after="0" w:line="183" w:lineRule="exact"/>
        <w:rPr>
          <w:sz w:val="20"/>
          <w:szCs w:val="20"/>
          <w:color w:val="auto"/>
        </w:rPr>
      </w:pPr>
    </w:p>
    <w:p>
      <w:pPr>
        <w:ind w:right="20" w:firstLine="351"/>
        <w:spacing w:after="0" w:line="290" w:lineRule="auto"/>
        <w:rPr>
          <w:sz w:val="20"/>
          <w:szCs w:val="20"/>
          <w:color w:val="auto"/>
        </w:rPr>
      </w:pPr>
      <w:r>
        <w:rPr>
          <w:rFonts w:ascii="Times New Roman" w:cs="Times New Roman" w:eastAsia="Times New Roman" w:hAnsi="Times New Roman"/>
          <w:sz w:val="16"/>
          <w:szCs w:val="16"/>
          <w:color w:val="auto"/>
        </w:rPr>
        <w:t>Our supply agreement with Air Canada, which expires on December 31, 2004, limits our guaranteed seating capacity and right to purchase tickets at negotiated rates in 2003 and 2004 to itineraries that include routes on which Air Canada is the only air carrier providing daily direct service on large aircraft. These itineraries tend to be less frequently requested by collectors. Air Canada continues to provide us with seating capacity well in excess of guaranteed levels on all its routes and continues to allow us to purchase tickets at negotiated rates on all its routes; however, if we are unable to negotiate an extension of these arrangements, we may be required to pay more for tickets from Air Canada than the negotiated rates or to purchase tickets from other airlines. Tickets from other airlines could be more expensive than a comparable ticket under the Air Canada supply agreement, and the routes offered by the other airlines may be inconvenient or undesirable to the redeeming collectors. As a result, we would experience higher air travel redemption costs than we experienced in 2002 while at the same time collector satisfaction with the AIR MILES Reward Program may be adversely affected by requiring travel on other carriers on certain routes.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actual redemptions by collectors of AIR MILES reward miles are greater than expected, our profitability could be adversely affected.</w:t>
      </w:r>
    </w:p>
    <w:p>
      <w:pPr>
        <w:spacing w:after="0" w:line="229" w:lineRule="exact"/>
        <w:rPr>
          <w:sz w:val="20"/>
          <w:szCs w:val="20"/>
          <w:color w:val="auto"/>
        </w:rPr>
      </w:pPr>
    </w:p>
    <w:p>
      <w:pPr>
        <w:jc w:val="both"/>
        <w:ind w:right="240" w:firstLine="341"/>
        <w:spacing w:after="0" w:line="262" w:lineRule="auto"/>
        <w:rPr>
          <w:sz w:val="20"/>
          <w:szCs w:val="20"/>
          <w:color w:val="auto"/>
        </w:rPr>
      </w:pPr>
      <w:r>
        <w:rPr>
          <w:rFonts w:ascii="Times New Roman" w:cs="Times New Roman" w:eastAsia="Times New Roman" w:hAnsi="Times New Roman"/>
          <w:sz w:val="18"/>
          <w:szCs w:val="18"/>
          <w:color w:val="auto"/>
        </w:rPr>
        <w:t>A portion of our revenue is based on our estimate of the number of AIR MILES reward miles that will go unused by the collector base. The percentage of unredeemed reward miles is known as "breakage" in the loyalty industry. While our AIR MILES reward miles currently do not expire, we experience breakage when reward miles are not redeemed by collectors for a number of reasons, including:</w:t>
      </w:r>
    </w:p>
    <w:p>
      <w:pPr>
        <w:spacing w:after="0" w:line="200" w:lineRule="exact"/>
        <w:rPr>
          <w:sz w:val="20"/>
          <w:szCs w:val="20"/>
          <w:color w:val="auto"/>
        </w:rPr>
      </w:pPr>
    </w:p>
    <w:p>
      <w:pPr>
        <w:ind w:left="1080" w:hanging="532"/>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interest in the program or sponsors;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080" w:hanging="532"/>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collectors moving out of the program area; and</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death of a collector.</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If actual redemptions are greater than our estimates, our profitability could be adversely affected due to the cost of the excess redemptions.</w:t>
      </w:r>
    </w:p>
    <w:p>
      <w:pPr>
        <w:sectPr>
          <w:pgSz w:w="11900" w:h="16860" w:orient="portrait"/>
          <w:cols w:equalWidth="0" w:num="1">
            <w:col w:w="11420"/>
          </w:cols>
          <w:pgMar w:left="240" w:top="125" w:right="239" w:bottom="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increased competition from Aeroplan, Air Canada's proprietary frequent flyer program.</w:t>
      </w:r>
    </w:p>
    <w:p>
      <w:pPr>
        <w:spacing w:after="0" w:line="229" w:lineRule="exact"/>
        <w:rPr>
          <w:sz w:val="20"/>
          <w:szCs w:val="20"/>
          <w:color w:val="auto"/>
        </w:rPr>
      </w:pPr>
    </w:p>
    <w:p>
      <w:pPr>
        <w:ind w:right="20" w:firstLine="351"/>
        <w:spacing w:after="0" w:line="262" w:lineRule="auto"/>
        <w:rPr>
          <w:sz w:val="20"/>
          <w:szCs w:val="20"/>
          <w:color w:val="auto"/>
        </w:rPr>
      </w:pPr>
      <w:r>
        <w:rPr>
          <w:rFonts w:ascii="Times New Roman" w:cs="Times New Roman" w:eastAsia="Times New Roman" w:hAnsi="Times New Roman"/>
          <w:sz w:val="18"/>
          <w:szCs w:val="18"/>
          <w:color w:val="auto"/>
        </w:rPr>
        <w:t>In January 2003, Air Canada announced the sale of a 35% equity interest in Aeroplan to Onex Corporation on terms that would enhance Aeroplan's ability to compete with our AIR MILES Reward Program through access to increased funding and other resources. As a result, we may experience greater competition in attracting and retaining sponsors in our AIR MILES Reward Program.</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loss of our most active AIR MILES reward miles collectors could negatively impact our growth and profitability.</w:t>
      </w:r>
    </w:p>
    <w:p>
      <w:pPr>
        <w:spacing w:after="0" w:line="229" w:lineRule="exact"/>
        <w:rPr>
          <w:sz w:val="20"/>
          <w:szCs w:val="20"/>
          <w:color w:val="auto"/>
        </w:rPr>
      </w:pPr>
    </w:p>
    <w:p>
      <w:pPr>
        <w:ind w:right="40" w:firstLine="351"/>
        <w:spacing w:after="0" w:line="256" w:lineRule="auto"/>
        <w:rPr>
          <w:sz w:val="20"/>
          <w:szCs w:val="20"/>
          <w:color w:val="auto"/>
        </w:rPr>
      </w:pPr>
      <w:r>
        <w:rPr>
          <w:rFonts w:ascii="Times New Roman" w:cs="Times New Roman" w:eastAsia="Times New Roman" w:hAnsi="Times New Roman"/>
          <w:sz w:val="18"/>
          <w:szCs w:val="18"/>
          <w:color w:val="auto"/>
        </w:rPr>
        <w:t>Our most active AIR MILES reward miles collectors represent a disproportionately large percentage of our AIR MILES Reward Program revenue. We estimate that over half of the AIR MILES Reward Program revenues for 2003 will be derived from our most active AIR MILES reward miles collectors. The loss of a significant portion of these collectors, for any reason, could impact our ability to generate significant revenue from sponsors and loyalty partners. The continued attractiveness of our loyalty and rewards programs will depend in large part on our ability to remain affiliated with sponsors that are desirable to consumers and to offer rewards that are both attainable and attractive.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Airline or travel industry disruptions, such as an airline insolvency, could negatively affect the AIR MILES Reward Program, our revenues and profitability.</w:t>
      </w:r>
    </w:p>
    <w:p>
      <w:pPr>
        <w:spacing w:after="0" w:line="252" w:lineRule="exact"/>
        <w:rPr>
          <w:sz w:val="20"/>
          <w:szCs w:val="20"/>
          <w:color w:val="auto"/>
        </w:rPr>
      </w:pPr>
    </w:p>
    <w:p>
      <w:pPr>
        <w:ind w:right="40" w:firstLine="341"/>
        <w:spacing w:after="0" w:line="255" w:lineRule="auto"/>
        <w:rPr>
          <w:sz w:val="20"/>
          <w:szCs w:val="20"/>
          <w:color w:val="auto"/>
        </w:rPr>
      </w:pPr>
      <w:r>
        <w:rPr>
          <w:rFonts w:ascii="Times New Roman" w:cs="Times New Roman" w:eastAsia="Times New Roman" w:hAnsi="Times New Roman"/>
          <w:sz w:val="18"/>
          <w:szCs w:val="18"/>
          <w:color w:val="auto"/>
        </w:rPr>
        <w:t>Air travel is one of the appeals of the AIR MILES Reward Program to collectors. As a result of airline insolvencies and restructurings, we may experience service disruptions that prevent us from fulfilling collectors' flight redemption requests. As a result of airline or travel industry disruptions, such as resulted from the catastrophic events of September 11, 2001, some collectors could determine that air travel is too dangerous or, given new airport regulations, too burdensome. Consequently, collectors might forego redeeming points for air travel and therefore might not participate in the AIR MILES Reward Program to the extent they previously did, which could adversely affect our revenue from the program. A reduction in collector use of the program could impact our ability to attract new sponsors and loyalty partners and to generate revenue from current sponsors and loyalty partners.</w:t>
      </w:r>
    </w:p>
    <w:p>
      <w:pPr>
        <w:spacing w:after="0" w:line="193" w:lineRule="exact"/>
        <w:rPr>
          <w:sz w:val="20"/>
          <w:szCs w:val="20"/>
          <w:color w:val="auto"/>
        </w:rPr>
      </w:pPr>
    </w:p>
    <w:p>
      <w:pPr>
        <w:ind w:firstLine="341"/>
        <w:spacing w:after="0" w:line="262" w:lineRule="auto"/>
        <w:rPr>
          <w:sz w:val="20"/>
          <w:szCs w:val="20"/>
          <w:color w:val="auto"/>
        </w:rPr>
      </w:pPr>
      <w:r>
        <w:rPr>
          <w:rFonts w:ascii="Times New Roman" w:cs="Times New Roman" w:eastAsia="Times New Roman" w:hAnsi="Times New Roman"/>
          <w:sz w:val="18"/>
          <w:szCs w:val="18"/>
          <w:color w:val="auto"/>
        </w:rPr>
        <w:t>Air Canada faces substantial debt maturities in 2003 and 2004 as well as increasing competition from airline competitors. If Air Canada were to become insolvent, we could experience service disruptions that would adversely affect our ability to fulfill collector flight redemption requests and lead to higher air travel redemption costs.</w:t>
      </w:r>
    </w:p>
    <w:p>
      <w:pPr>
        <w:spacing w:after="0" w:line="182" w:lineRule="exact"/>
        <w:rPr>
          <w:sz w:val="20"/>
          <w:szCs w:val="20"/>
          <w:color w:val="auto"/>
        </w:rPr>
      </w:pPr>
    </w:p>
    <w:p>
      <w:pPr>
        <w:ind w:right="18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Legislation relating to consumer privacy may affect our ability to collect data that we use in providing our marketing services, which could negatively affect our ability to satisfy our clients' needs.</w:t>
      </w:r>
    </w:p>
    <w:p>
      <w:pPr>
        <w:spacing w:after="0" w:line="169" w:lineRule="exact"/>
        <w:rPr>
          <w:sz w:val="20"/>
          <w:szCs w:val="20"/>
          <w:color w:val="auto"/>
        </w:rPr>
      </w:pPr>
    </w:p>
    <w:p>
      <w:pPr>
        <w:ind w:right="180" w:firstLine="348"/>
        <w:spacing w:after="0" w:line="258" w:lineRule="auto"/>
        <w:rPr>
          <w:sz w:val="20"/>
          <w:szCs w:val="20"/>
          <w:color w:val="auto"/>
        </w:rPr>
      </w:pPr>
      <w:r>
        <w:rPr>
          <w:rFonts w:ascii="Times New Roman" w:cs="Times New Roman" w:eastAsia="Times New Roman" w:hAnsi="Times New Roman"/>
          <w:sz w:val="18"/>
          <w:szCs w:val="18"/>
          <w:color w:val="auto"/>
        </w:rPr>
        <w:t>The enactment of legislation or industry regulations arising from public concern over consumer privacy issues could have a material adverse impact on our marketing services. Any such legislation or industry regulations could place restrictions upon the collection and use of information that is currently legally available, which could materially increase our cost of collecting some data. Legislation or industry regulation could also prohibit us from collecting or disseminating certain types of data, which could adversely affect our ability to meet our clients' requirements.</w:t>
      </w:r>
    </w:p>
    <w:p>
      <w:pPr>
        <w:spacing w:after="0" w:line="190" w:lineRule="exact"/>
        <w:rPr>
          <w:sz w:val="20"/>
          <w:szCs w:val="20"/>
          <w:color w:val="auto"/>
        </w:rPr>
      </w:pPr>
    </w:p>
    <w:p>
      <w:pPr>
        <w:ind w:right="340" w:firstLine="348"/>
        <w:spacing w:after="0" w:line="275" w:lineRule="auto"/>
        <w:rPr>
          <w:sz w:val="20"/>
          <w:szCs w:val="20"/>
          <w:color w:val="auto"/>
        </w:rPr>
      </w:pPr>
      <w:r>
        <w:rPr>
          <w:rFonts w:ascii="Times New Roman" w:cs="Times New Roman" w:eastAsia="Times New Roman" w:hAnsi="Times New Roman"/>
          <w:sz w:val="18"/>
          <w:szCs w:val="18"/>
          <w:color w:val="auto"/>
        </w:rPr>
        <w:t>The federal Gramm-Leach-Bliley Act makes it more difficult to collect and use information that has been legally available and may increase our costs of collecting some data. Regulations under this</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act give cardholders the ability to "opt out" of having information generated by their credit card purchases shared with other parties or the public. Our ability to gather and utilize this data will be adversely affected if a significant percentage of the consumers whose purchasing behavior we track elect to "opt out," thereby precluding us from using their data. Under the regulations, we generally are required to refrain from sharing data generated by our new cardholders until such cardholders are given the opportunity to "opt out."</w:t>
      </w:r>
    </w:p>
    <w:p>
      <w:pPr>
        <w:spacing w:after="0" w:line="190" w:lineRule="exact"/>
        <w:rPr>
          <w:sz w:val="20"/>
          <w:szCs w:val="20"/>
          <w:color w:val="auto"/>
        </w:rPr>
      </w:pPr>
    </w:p>
    <w:p>
      <w:pPr>
        <w:ind w:right="100" w:firstLine="348"/>
        <w:spacing w:after="0" w:line="255" w:lineRule="auto"/>
        <w:rPr>
          <w:sz w:val="20"/>
          <w:szCs w:val="20"/>
          <w:color w:val="auto"/>
        </w:rPr>
      </w:pPr>
      <w:r>
        <w:rPr>
          <w:rFonts w:ascii="Times New Roman" w:cs="Times New Roman" w:eastAsia="Times New Roman" w:hAnsi="Times New Roman"/>
          <w:sz w:val="18"/>
          <w:szCs w:val="18"/>
          <w:color w:val="auto"/>
        </w:rPr>
        <w:t>The Personal Information Protection and Electronic Documents Act enacted in Canada requires organizations to obtain a consumer's consent to collect, use or disclose personal information. Under this Act, which took effect on January 1, 2001, the nature of the required consent depends on the sensitivity of the personal information, and the Act permits personal information to be used only for the purposes for which it was collected. The Loyalty Group allows its customers to voluntarily "opt out" from receiving either one or both promotional and marketing mail or promotional and marketing electronic mail. Heightened consumer awareness of, and concern about, privacy may result in more customers "opting out" at higher rates than they have historically. This would mean that a reduced number of customers would receive bonus mile offers and therefore would collect fewer AIR MILES reward miles.</w:t>
      </w:r>
    </w:p>
    <w:p>
      <w:pPr>
        <w:spacing w:after="0" w:line="200" w:lineRule="exact"/>
        <w:rPr>
          <w:sz w:val="20"/>
          <w:szCs w:val="20"/>
          <w:color w:val="auto"/>
        </w:rPr>
      </w:pP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Risks Related to Our Company</w:t>
      </w:r>
    </w:p>
    <w:p>
      <w:pPr>
        <w:spacing w:after="0" w:line="223" w:lineRule="exact"/>
        <w:rPr>
          <w:sz w:val="20"/>
          <w:szCs w:val="20"/>
          <w:color w:val="auto"/>
        </w:rPr>
      </w:pPr>
    </w:p>
    <w:p>
      <w:pPr>
        <w:ind w:right="4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Some of our stockholders currently own a significant amount of our common stock. These stockholders may have interests that conflict with yours and would be able to control the election of directors and the approval of significant corporate transactions, including a change in control.</w:t>
      </w:r>
    </w:p>
    <w:p>
      <w:pPr>
        <w:spacing w:after="0" w:line="169" w:lineRule="exact"/>
        <w:rPr>
          <w:sz w:val="20"/>
          <w:szCs w:val="20"/>
          <w:color w:val="auto"/>
        </w:rPr>
      </w:pPr>
    </w:p>
    <w:p>
      <w:pPr>
        <w:ind w:right="40" w:firstLine="351"/>
        <w:spacing w:after="0" w:line="254" w:lineRule="auto"/>
        <w:rPr>
          <w:sz w:val="20"/>
          <w:szCs w:val="20"/>
          <w:color w:val="auto"/>
        </w:rPr>
      </w:pPr>
      <w:r>
        <w:rPr>
          <w:rFonts w:ascii="Times New Roman" w:cs="Times New Roman" w:eastAsia="Times New Roman" w:hAnsi="Times New Roman"/>
          <w:sz w:val="18"/>
          <w:szCs w:val="18"/>
          <w:color w:val="auto"/>
        </w:rPr>
        <w:t>Limited Commerce Corp. and the affiliated entities of Welsh Carson beneficially owned approximately 19.6% and 58.3%, respectively, of our outstanding common stock as of February 28, 2003. Through a stockholders agreement, Limited Commerce Corp. has the right to designate up to two members of our board of directors and Welsh Carson has the ability to designate up to three members of our board of directors. As a result, these stockholders are able to exercise significant influence over, and in most cases control, matters requiring stockholder approval, including the election of directors, changes to our charter documents and significant corporate transactions. This concentration of ownership makes it unlikely that any other holder or group of holders of common stock will be able to affect the way we are managed or the direction of our business. Limited Commerce Corp. and Welsh Carson may have interests that conflict with the interests of our company or other stockholders. Their continued concentrated ownership will make it impossible for another company to acquire us and for you to receive any related takeover premium for your shares unless they approve the acquisition.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Delaware law and our charter documents could prevent a change of control that might be beneficial to you.</w:t>
      </w:r>
    </w:p>
    <w:p>
      <w:pPr>
        <w:spacing w:after="0" w:line="229" w:lineRule="exact"/>
        <w:rPr>
          <w:sz w:val="20"/>
          <w:szCs w:val="20"/>
          <w:color w:val="auto"/>
        </w:rPr>
      </w:pPr>
    </w:p>
    <w:p>
      <w:pPr>
        <w:ind w:right="260" w:firstLine="351"/>
        <w:spacing w:after="0" w:line="275" w:lineRule="auto"/>
        <w:rPr>
          <w:sz w:val="20"/>
          <w:szCs w:val="20"/>
          <w:color w:val="auto"/>
        </w:rPr>
      </w:pPr>
      <w:r>
        <w:rPr>
          <w:rFonts w:ascii="Times New Roman" w:cs="Times New Roman" w:eastAsia="Times New Roman" w:hAnsi="Times New Roman"/>
          <w:sz w:val="18"/>
          <w:szCs w:val="18"/>
          <w:color w:val="auto"/>
        </w:rPr>
        <w:t>Delaware law, as well as provisions of our certificate of incorporation and bylaws, could discourage unsolicited proposals to acquire us, even though such proposals may be beneficial to you. These provisions include:</w:t>
      </w:r>
    </w:p>
    <w:p>
      <w:pPr>
        <w:spacing w:after="0" w:line="17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p>
    <w:p>
      <w:pPr>
        <w:sectPr>
          <w:pgSz w:w="11900" w:h="16838" w:orient="portrait"/>
          <w:cols w:equalWidth="0" w:num="1">
            <w:col w:w="11420"/>
          </w:cols>
          <w:pgMar w:left="240" w:top="121" w:right="239" w:bottom="0" w:gutter="0" w:footer="0" w:header="0"/>
        </w:sectPr>
      </w:pPr>
    </w:p>
    <w:bookmarkStart w:id="12" w:name="page13"/>
    <w:bookmarkEnd w:id="12"/>
    <w:p>
      <w:pPr>
        <w:spacing w:after="0" w:line="4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a board of directors classified into three classes of directors with the directors of each class having staggered, three-year terms;</w:t>
      </w:r>
    </w:p>
    <w:p>
      <w:pPr>
        <w:spacing w:after="0" w:line="239" w:lineRule="exact"/>
        <w:rPr>
          <w:sz w:val="20"/>
          <w:szCs w:val="20"/>
          <w:color w:val="auto"/>
        </w:rPr>
      </w:pPr>
    </w:p>
    <w:p>
      <w:pPr>
        <w:ind w:left="1080" w:hanging="532"/>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board's authority to issue shares of preferred stock without stockholder approval; and</w:t>
      </w:r>
    </w:p>
    <w:p>
      <w:pPr>
        <w:spacing w:after="0" w:line="252" w:lineRule="exact"/>
        <w:rPr>
          <w:rFonts w:ascii="Times New Roman" w:cs="Times New Roman" w:eastAsia="Times New Roman" w:hAnsi="Times New Roman"/>
          <w:sz w:val="18"/>
          <w:szCs w:val="18"/>
          <w:color w:val="auto"/>
        </w:rPr>
      </w:pPr>
    </w:p>
    <w:p>
      <w:pPr>
        <w:ind w:left="1080" w:right="200" w:hanging="532"/>
        <w:spacing w:after="0" w:line="275"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of Delaware law that restrict many business combinations and provide that directors serving on staggered boards of directors, such as ours, may be removed only for cause.</w:t>
      </w:r>
    </w:p>
    <w:p>
      <w:pPr>
        <w:spacing w:after="0" w:line="174" w:lineRule="exact"/>
        <w:rPr>
          <w:sz w:val="20"/>
          <w:szCs w:val="20"/>
          <w:color w:val="auto"/>
        </w:rPr>
      </w:pPr>
    </w:p>
    <w:p>
      <w:pPr>
        <w:ind w:firstLine="348"/>
        <w:spacing w:after="0" w:line="275" w:lineRule="auto"/>
        <w:rPr>
          <w:sz w:val="20"/>
          <w:szCs w:val="20"/>
          <w:color w:val="auto"/>
        </w:rPr>
      </w:pPr>
      <w:r>
        <w:rPr>
          <w:rFonts w:ascii="Times New Roman" w:cs="Times New Roman" w:eastAsia="Times New Roman" w:hAnsi="Times New Roman"/>
          <w:sz w:val="18"/>
          <w:szCs w:val="18"/>
          <w:color w:val="auto"/>
        </w:rPr>
        <w:t>These provisions of our certificate of incorporation, bylaws and Delaware law could discourage tender offers or other transactions that might otherwise result in our stockholders receiving a premium over the market price for our common stock.</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sales of our common stock may adversely affect our common stock price.</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We may pursue acquisitions of competitors and related businesses and may issue shares of our common stock in connection with these acquisitions. As of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28, 2003, we had an aggregate of 113,253,654 shares of our common stock authorized but unissued and not reserved for specific purposes. In general,</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may issue all of these shares without any action or approval by our stockholders. We have also reserved 10,253,000 shares of our common stock for issuance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our stock option and restricted stock plans and employee stock purchase plan, of which 7,500,891 shares are issuable upon vesting of restricted stock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awards and upon exercise of options granted as of February 28, 2003, including options to purchase approximately 3,545,122 shares exercisable as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28, 2003 or that will become exercisable within 60 days after February 28, 2003. We have reserved 1,500,000 shares of our common stock for issuance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our 401(k) and Retirement Savings Plan. Sales or issuances of a substantial number of shares of common stock, or the perception that such sales could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occur, could adversely affect prevailing market prices of our common stock and dilute the percentage ownership held by our stockholders. In addition, sales of 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substantial number of shares of common stock by Limited Commerce Corp. or Welsh Carson, or the perception that such sales could occur, could also adversely</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affect prevailing market prices of our common stock.</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6"/>
          <w:szCs w:val="16"/>
          <w:b w:val="1"/>
          <w:bCs w:val="1"/>
          <w:color w:val="auto"/>
        </w:rPr>
        <w:t>Properties</w:t>
      </w:r>
    </w:p>
    <w:p>
      <w:pPr>
        <w:spacing w:after="0" w:line="227" w:lineRule="exact"/>
        <w:rPr>
          <w:sz w:val="20"/>
          <w:szCs w:val="20"/>
          <w:color w:val="auto"/>
        </w:rPr>
      </w:pPr>
    </w:p>
    <w:p>
      <w:pPr>
        <w:jc w:val="both"/>
        <w:ind w:right="300" w:firstLine="348"/>
        <w:spacing w:after="0" w:line="262" w:lineRule="auto"/>
        <w:rPr>
          <w:sz w:val="20"/>
          <w:szCs w:val="20"/>
          <w:color w:val="auto"/>
        </w:rPr>
      </w:pPr>
      <w:r>
        <w:rPr>
          <w:rFonts w:ascii="Times New Roman" w:cs="Times New Roman" w:eastAsia="Times New Roman" w:hAnsi="Times New Roman"/>
          <w:sz w:val="18"/>
          <w:szCs w:val="18"/>
          <w:color w:val="auto"/>
        </w:rPr>
        <w:t>We have several facilities throughout the United States, Canada, and New Zealand. As of December 31, 2002, we lease over 33 general office properties, comprising over 1.7 million square feet. These facilities are used to carry out our operational, sales and administrative functions. Our principal facilities are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2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Approximate</w:t>
            </w:r>
          </w:p>
        </w:tc>
        <w:tc>
          <w:tcPr>
            <w:tcW w:w="220" w:type="dxa"/>
            <w:vAlign w:val="bottom"/>
          </w:tcPr>
          <w:p>
            <w:pPr>
              <w:spacing w:after="0"/>
              <w:rPr>
                <w:sz w:val="13"/>
                <w:szCs w:val="13"/>
                <w:color w:val="auto"/>
              </w:rPr>
            </w:pPr>
          </w:p>
        </w:tc>
        <w:tc>
          <w:tcPr>
            <w:tcW w:w="264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9"/>
              </w:rPr>
              <w:t>Lease</w:t>
            </w:r>
          </w:p>
        </w:tc>
        <w:tc>
          <w:tcPr>
            <w:tcW w:w="0" w:type="dxa"/>
            <w:vAlign w:val="bottom"/>
          </w:tcPr>
          <w:p>
            <w:pPr>
              <w:spacing w:after="0"/>
              <w:rPr>
                <w:sz w:val="1"/>
                <w:szCs w:val="1"/>
                <w:color w:val="auto"/>
              </w:rPr>
            </w:pPr>
          </w:p>
        </w:tc>
      </w:tr>
      <w:tr>
        <w:trPr>
          <w:trHeight w:val="178"/>
        </w:trPr>
        <w:tc>
          <w:tcPr>
            <w:tcW w:w="32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240" w:type="dxa"/>
            <w:vAlign w:val="bottom"/>
          </w:tcPr>
          <w:p>
            <w:pPr>
              <w:spacing w:after="0"/>
              <w:rPr>
                <w:sz w:val="15"/>
                <w:szCs w:val="15"/>
                <w:color w:val="auto"/>
              </w:rPr>
            </w:pPr>
          </w:p>
        </w:tc>
        <w:tc>
          <w:tcPr>
            <w:tcW w:w="3100" w:type="dxa"/>
            <w:vAlign w:val="bottom"/>
          </w:tcPr>
          <w:p>
            <w:pPr>
              <w:ind w:left="1300"/>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220" w:type="dxa"/>
            <w:vAlign w:val="bottom"/>
          </w:tcPr>
          <w:p>
            <w:pPr>
              <w:spacing w:after="0"/>
              <w:rPr>
                <w:sz w:val="15"/>
                <w:szCs w:val="15"/>
                <w:color w:val="auto"/>
              </w:rPr>
            </w:pPr>
          </w:p>
        </w:tc>
        <w:tc>
          <w:tcPr>
            <w:tcW w:w="1820" w:type="dxa"/>
            <w:vAlign w:val="bottom"/>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Square Footage</w:t>
            </w:r>
          </w:p>
        </w:tc>
        <w:tc>
          <w:tcPr>
            <w:tcW w:w="220" w:type="dxa"/>
            <w:vAlign w:val="bottom"/>
          </w:tcPr>
          <w:p>
            <w:pPr>
              <w:spacing w:after="0"/>
              <w:rPr>
                <w:sz w:val="15"/>
                <w:szCs w:val="15"/>
                <w:color w:val="auto"/>
              </w:rPr>
            </w:pPr>
          </w:p>
        </w:tc>
        <w:tc>
          <w:tcPr>
            <w:tcW w:w="264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7"/>
              </w:rPr>
              <w:t>Expiration Date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1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31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8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6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3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Dallas, Texas</w:t>
            </w:r>
          </w:p>
        </w:tc>
        <w:tc>
          <w:tcPr>
            <w:tcW w:w="240" w:type="dxa"/>
            <w:vAlign w:val="bottom"/>
            <w:shd w:val="clear" w:color="auto" w:fill="CCEEFF"/>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Transaction Services</w:t>
            </w:r>
          </w:p>
        </w:tc>
        <w:tc>
          <w:tcPr>
            <w:tcW w:w="2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230,061</w:t>
            </w:r>
          </w:p>
        </w:tc>
        <w:tc>
          <w:tcPr>
            <w:tcW w:w="220" w:type="dxa"/>
            <w:vAlign w:val="bottom"/>
            <w:shd w:val="clear" w:color="auto" w:fill="CCEEFF"/>
          </w:tcPr>
          <w:p>
            <w:pPr>
              <w:spacing w:after="0"/>
              <w:rPr>
                <w:sz w:val="18"/>
                <w:szCs w:val="18"/>
                <w:color w:val="auto"/>
              </w:rPr>
            </w:pPr>
          </w:p>
        </w:tc>
        <w:tc>
          <w:tcPr>
            <w:tcW w:w="2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October 10, 2010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Dallas, Texas</w:t>
            </w:r>
          </w:p>
        </w:tc>
        <w:tc>
          <w:tcPr>
            <w:tcW w:w="24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Corporate</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61,750</w:t>
            </w:r>
          </w:p>
        </w:tc>
        <w:tc>
          <w:tcPr>
            <w:tcW w:w="220" w:type="dxa"/>
            <w:vAlign w:val="bottom"/>
          </w:tcPr>
          <w:p>
            <w:pPr>
              <w:spacing w:after="0"/>
              <w:rPr>
                <w:sz w:val="18"/>
                <w:szCs w:val="18"/>
                <w:color w:val="auto"/>
              </w:rPr>
            </w:pP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July 31, 2007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Dallas, Texas</w:t>
            </w:r>
          </w:p>
        </w:tc>
        <w:tc>
          <w:tcPr>
            <w:tcW w:w="240" w:type="dxa"/>
            <w:vAlign w:val="bottom"/>
            <w:shd w:val="clear" w:color="auto" w:fill="CCEEFF"/>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Transaction Services</w:t>
            </w:r>
          </w:p>
        </w:tc>
        <w:tc>
          <w:tcPr>
            <w:tcW w:w="2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247,618</w:t>
            </w:r>
          </w:p>
        </w:tc>
        <w:tc>
          <w:tcPr>
            <w:tcW w:w="220" w:type="dxa"/>
            <w:vAlign w:val="bottom"/>
            <w:shd w:val="clear" w:color="auto" w:fill="CCEEFF"/>
          </w:tcPr>
          <w:p>
            <w:pPr>
              <w:spacing w:after="0"/>
              <w:rPr>
                <w:sz w:val="18"/>
                <w:szCs w:val="18"/>
                <w:color w:val="auto"/>
              </w:rPr>
            </w:pPr>
          </w:p>
        </w:tc>
        <w:tc>
          <w:tcPr>
            <w:tcW w:w="2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July 31, 2009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San Antonio, Texas</w:t>
            </w:r>
          </w:p>
        </w:tc>
        <w:tc>
          <w:tcPr>
            <w:tcW w:w="24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Transaction Services</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67,540</w:t>
            </w:r>
          </w:p>
        </w:tc>
        <w:tc>
          <w:tcPr>
            <w:tcW w:w="220" w:type="dxa"/>
            <w:vAlign w:val="bottom"/>
          </w:tcPr>
          <w:p>
            <w:pPr>
              <w:spacing w:after="0"/>
              <w:rPr>
                <w:sz w:val="18"/>
                <w:szCs w:val="18"/>
                <w:color w:val="auto"/>
              </w:rPr>
            </w:pP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October 31, 2007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Columbus, Ohio</w:t>
            </w:r>
          </w:p>
        </w:tc>
        <w:tc>
          <w:tcPr>
            <w:tcW w:w="240" w:type="dxa"/>
            <w:vAlign w:val="bottom"/>
            <w:shd w:val="clear" w:color="auto" w:fill="CCEEFF"/>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Credit Services</w:t>
            </w:r>
          </w:p>
        </w:tc>
        <w:tc>
          <w:tcPr>
            <w:tcW w:w="2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103,161</w:t>
            </w:r>
          </w:p>
        </w:tc>
        <w:tc>
          <w:tcPr>
            <w:tcW w:w="220" w:type="dxa"/>
            <w:vAlign w:val="bottom"/>
            <w:shd w:val="clear" w:color="auto" w:fill="CCEEFF"/>
          </w:tcPr>
          <w:p>
            <w:pPr>
              <w:spacing w:after="0"/>
              <w:rPr>
                <w:sz w:val="18"/>
                <w:szCs w:val="18"/>
                <w:color w:val="auto"/>
              </w:rPr>
            </w:pPr>
          </w:p>
        </w:tc>
        <w:tc>
          <w:tcPr>
            <w:tcW w:w="2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January 1, 2008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Westerville, Ohio</w:t>
            </w:r>
          </w:p>
        </w:tc>
        <w:tc>
          <w:tcPr>
            <w:tcW w:w="24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Credit Services</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100,800</w:t>
            </w:r>
          </w:p>
        </w:tc>
        <w:tc>
          <w:tcPr>
            <w:tcW w:w="220" w:type="dxa"/>
            <w:vAlign w:val="bottom"/>
          </w:tcPr>
          <w:p>
            <w:pPr>
              <w:spacing w:after="0"/>
              <w:rPr>
                <w:sz w:val="18"/>
                <w:szCs w:val="18"/>
                <w:color w:val="auto"/>
              </w:rPr>
            </w:pP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May 31, 2006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Toronto, Ontario, Canada</w:t>
            </w:r>
          </w:p>
        </w:tc>
        <w:tc>
          <w:tcPr>
            <w:tcW w:w="240" w:type="dxa"/>
            <w:vAlign w:val="bottom"/>
            <w:shd w:val="clear" w:color="auto" w:fill="CCEEFF"/>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Marketing Services</w:t>
            </w:r>
          </w:p>
        </w:tc>
        <w:tc>
          <w:tcPr>
            <w:tcW w:w="2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137,141</w:t>
            </w:r>
          </w:p>
        </w:tc>
        <w:tc>
          <w:tcPr>
            <w:tcW w:w="220" w:type="dxa"/>
            <w:vAlign w:val="bottom"/>
            <w:shd w:val="clear" w:color="auto" w:fill="CCEEFF"/>
          </w:tcPr>
          <w:p>
            <w:pPr>
              <w:spacing w:after="0"/>
              <w:rPr>
                <w:sz w:val="18"/>
                <w:szCs w:val="18"/>
                <w:color w:val="auto"/>
              </w:rPr>
            </w:pPr>
          </w:p>
        </w:tc>
        <w:tc>
          <w:tcPr>
            <w:tcW w:w="2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September 16, 2007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2026920</wp:posOffset>
            </wp:positionH>
            <wp:positionV relativeFrom="paragraph">
              <wp:posOffset>-1041400</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-1041400</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-1041400</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2181225</wp:posOffset>
            </wp:positionH>
            <wp:positionV relativeFrom="paragraph">
              <wp:posOffset>-1041400</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-1041400</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4290695</wp:posOffset>
            </wp:positionH>
            <wp:positionV relativeFrom="paragraph">
              <wp:posOffset>-1041400</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-1041400</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-1041400</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2" w:lineRule="exact"/>
        <w:rPr>
          <w:sz w:val="20"/>
          <w:szCs w:val="20"/>
          <w:color w:val="auto"/>
        </w:rPr>
      </w:pPr>
    </w:p>
    <w:p>
      <w:pPr>
        <w:ind w:right="640" w:firstLine="348"/>
        <w:spacing w:after="0" w:line="275" w:lineRule="auto"/>
        <w:rPr>
          <w:sz w:val="20"/>
          <w:szCs w:val="20"/>
          <w:color w:val="auto"/>
        </w:rPr>
      </w:pPr>
      <w:r>
        <w:rPr>
          <w:rFonts w:ascii="Times New Roman" w:cs="Times New Roman" w:eastAsia="Times New Roman" w:hAnsi="Times New Roman"/>
          <w:sz w:val="18"/>
          <w:szCs w:val="18"/>
          <w:color w:val="auto"/>
        </w:rPr>
        <w:t>We believe our current and proposed facilities are suitable to our businesses and that we will be able to lease, purchase or newly construct additional facilities as needed.</w:t>
      </w:r>
    </w:p>
    <w:p>
      <w:pPr>
        <w:spacing w:after="0" w:line="38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6"/>
          <w:szCs w:val="16"/>
          <w:b w:val="1"/>
          <w:bCs w:val="1"/>
          <w:color w:val="auto"/>
        </w:rPr>
        <w:t>Legal Proceedings</w:t>
      </w:r>
    </w:p>
    <w:p>
      <w:pPr>
        <w:spacing w:after="0" w:line="227" w:lineRule="exact"/>
        <w:rPr>
          <w:sz w:val="20"/>
          <w:szCs w:val="20"/>
          <w:color w:val="auto"/>
        </w:rPr>
      </w:pPr>
    </w:p>
    <w:p>
      <w:pPr>
        <w:ind w:right="140" w:firstLine="351"/>
        <w:spacing w:after="0" w:line="275" w:lineRule="auto"/>
        <w:rPr>
          <w:sz w:val="20"/>
          <w:szCs w:val="20"/>
          <w:color w:val="auto"/>
        </w:rPr>
      </w:pPr>
      <w:r>
        <w:rPr>
          <w:rFonts w:ascii="Times New Roman" w:cs="Times New Roman" w:eastAsia="Times New Roman" w:hAnsi="Times New Roman"/>
          <w:sz w:val="18"/>
          <w:szCs w:val="18"/>
          <w:color w:val="auto"/>
        </w:rPr>
        <w:t>From time to time, we are involved in various claims and lawsuits incidental to our business, including claims and lawsuits alleging breaches of contractual obligations.</w:t>
      </w:r>
    </w:p>
    <w:p>
      <w:pPr>
        <w:spacing w:after="0" w:line="174" w:lineRule="exact"/>
        <w:rPr>
          <w:sz w:val="20"/>
          <w:szCs w:val="20"/>
          <w:color w:val="auto"/>
        </w:rPr>
      </w:pPr>
    </w:p>
    <w:p>
      <w:pPr>
        <w:ind w:right="180" w:firstLine="351"/>
        <w:spacing w:after="0" w:line="293" w:lineRule="auto"/>
        <w:rPr>
          <w:sz w:val="20"/>
          <w:szCs w:val="20"/>
          <w:color w:val="auto"/>
        </w:rPr>
      </w:pPr>
      <w:r>
        <w:rPr>
          <w:rFonts w:ascii="Times New Roman" w:cs="Times New Roman" w:eastAsia="Times New Roman" w:hAnsi="Times New Roman"/>
          <w:sz w:val="16"/>
          <w:szCs w:val="16"/>
          <w:color w:val="auto"/>
        </w:rPr>
        <w:t>On November 16, 2000, in the United States District Court, Southern District of Florida, Miami Division, a group of World Financial Network National Bank cardholders filed a putative class action complaint against World Financial Network National Bank. The plaintiffs, individually and on behalf of all others similarly situated, commenced the action alleging that World Financial Network National Bank engaged in a systematic program of false, misleading, and deceptive practices to improperly bill and collect consumer debts from thousands of cardholders, stemming from World Financial Network National Bank's alleged practices involved in calculating finance charges and in crediting cardholder payments on the next business day if received after 6:30 a.m. The parties agreed to a settlement, which did not have a material impact on us, and the case was dismissed with prejudice on November 27, 2002.</w:t>
      </w:r>
    </w:p>
    <w:p>
      <w:pPr>
        <w:spacing w:after="0" w:line="37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6"/>
          <w:szCs w:val="16"/>
          <w:b w:val="1"/>
          <w:bCs w:val="1"/>
          <w:color w:val="auto"/>
        </w:rPr>
        <w:t>Submission of Matters to a Vote of Security Holders</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There were no matters submitted to a vote of the security holders during the fourth quarter of 2002.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6"/>
          <w:szCs w:val="16"/>
          <w:b w:val="1"/>
          <w:bCs w:val="1"/>
          <w:color w:val="auto"/>
        </w:rPr>
        <w:t>Market for Registrant's Common Equity and Related Stockholder Matters</w:t>
      </w:r>
    </w:p>
    <w:p>
      <w:pPr>
        <w:sectPr>
          <w:pgSz w:w="11900" w:h="16885" w:orient="portrait"/>
          <w:cols w:equalWidth="0" w:num="1">
            <w:col w:w="11420"/>
          </w:cols>
          <w:pgMar w:left="240" w:top="125" w:right="239" w:bottom="0" w:gutter="0" w:footer="0" w:header="0"/>
        </w:sectPr>
      </w:pPr>
    </w:p>
    <w:bookmarkStart w:id="13" w:name="page14"/>
    <w:bookmarkEnd w:id="13"/>
    <w:p>
      <w:pPr>
        <w:spacing w:after="0" w:line="62" w:lineRule="exact"/>
        <w:rPr>
          <w:sz w:val="20"/>
          <w:szCs w:val="20"/>
          <w:color w:val="auto"/>
        </w:rPr>
      </w:pPr>
    </w:p>
    <w:p>
      <w:pPr>
        <w:ind w:right="180" w:firstLine="351"/>
        <w:spacing w:after="0" w:line="262" w:lineRule="auto"/>
        <w:rPr>
          <w:sz w:val="20"/>
          <w:szCs w:val="20"/>
          <w:color w:val="auto"/>
        </w:rPr>
      </w:pPr>
      <w:r>
        <w:rPr>
          <w:rFonts w:ascii="Times New Roman" w:cs="Times New Roman" w:eastAsia="Times New Roman" w:hAnsi="Times New Roman"/>
          <w:sz w:val="18"/>
          <w:szCs w:val="18"/>
          <w:color w:val="auto"/>
        </w:rPr>
        <w:t>In June 2001, we completed the initial public offering of our common stock at a price of $12.00 per share. Our common stock is listed on the New York Stock Exchange and trades under the symbol "ADS." The following table sets forth for the periods indicated the high and low composite per share closing sales prices as reported by the New York Stock Exchange.</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9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High</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Low</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91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Fiscal Year Ended December 31, 2001</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Second quarter (June 8 to June 30)</w:t>
            </w:r>
          </w:p>
        </w:tc>
        <w:tc>
          <w:tcPr>
            <w:tcW w:w="22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15.11</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16.75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Fourth quarter</w:t>
            </w: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19.15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14.33</w:t>
            </w: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Fiscal Year Ended December 31, 2002</w:t>
            </w: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25.14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25.95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25.15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Fourth quarter</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21.00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6426200</wp:posOffset>
            </wp:positionH>
            <wp:positionV relativeFrom="paragraph">
              <wp:posOffset>-1470025</wp:posOffset>
            </wp:positionV>
            <wp:extent cx="12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-1470025</wp:posOffset>
            </wp:positionV>
            <wp:extent cx="12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-1470025</wp:posOffset>
            </wp:positionV>
            <wp:extent cx="12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-1470025</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2" w:lineRule="exact"/>
        <w:rPr>
          <w:sz w:val="20"/>
          <w:szCs w:val="20"/>
          <w:color w:val="auto"/>
        </w:rPr>
      </w:pPr>
    </w:p>
    <w:p>
      <w:pPr>
        <w:ind w:right="60" w:firstLine="341"/>
        <w:spacing w:after="0" w:line="275" w:lineRule="auto"/>
        <w:rPr>
          <w:sz w:val="20"/>
          <w:szCs w:val="20"/>
          <w:color w:val="auto"/>
        </w:rPr>
      </w:pPr>
      <w:r>
        <w:rPr>
          <w:rFonts w:ascii="Times New Roman" w:cs="Times New Roman" w:eastAsia="Times New Roman" w:hAnsi="Times New Roman"/>
          <w:sz w:val="18"/>
          <w:szCs w:val="18"/>
          <w:color w:val="auto"/>
        </w:rPr>
        <w:t>As of February 28, 2003, the closing price of our common stock was $16.60, there were 74,993,346 shares of our common stock outstanding, and there were approximately 70 holders of record of our common stock.</w:t>
      </w:r>
    </w:p>
    <w:p>
      <w:pPr>
        <w:spacing w:after="0" w:line="174" w:lineRule="exact"/>
        <w:rPr>
          <w:sz w:val="20"/>
          <w:szCs w:val="20"/>
          <w:color w:val="auto"/>
        </w:rPr>
      </w:pPr>
    </w:p>
    <w:p>
      <w:pPr>
        <w:ind w:right="140" w:firstLine="348"/>
        <w:spacing w:after="0" w:line="255" w:lineRule="auto"/>
        <w:rPr>
          <w:sz w:val="20"/>
          <w:szCs w:val="20"/>
          <w:color w:val="auto"/>
        </w:rPr>
      </w:pPr>
      <w:r>
        <w:rPr>
          <w:rFonts w:ascii="Times New Roman" w:cs="Times New Roman" w:eastAsia="Times New Roman" w:hAnsi="Times New Roman"/>
          <w:sz w:val="18"/>
          <w:szCs w:val="18"/>
          <w:color w:val="auto"/>
        </w:rPr>
        <w:t>We have never declared or paid any dividends on our common stock, and we do not anticipate paying any cash dividends on our common stock in the foreseeable future. We currently intend to retain future earnings, if any, to finance operations and the expansion of our business. Any future determination to pay cash dividends on our common stock will be at the discretion of our board of directors and will be dependent upon our financial condition, operating results, capital requirements and other factors that our board deems relevant. In addition, under the terms of our credit facilities, we cannot declare or pay dividends or return capital to our common stockholders, and we are restricted in the amount of any other distribution, payment or delivery of property or cash to our common stockholders.</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6"/>
          <w:szCs w:val="16"/>
          <w:b w:val="1"/>
          <w:bCs w:val="1"/>
          <w:color w:val="auto"/>
        </w:rPr>
        <w:t>Selected Financial Data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SELECTED HISTORICAL CONSOLIDATED FINANCIAL AND OPERATING INFORMATION</w:t>
      </w:r>
    </w:p>
    <w:p>
      <w:pPr>
        <w:spacing w:after="0" w:line="227" w:lineRule="exact"/>
        <w:rPr>
          <w:sz w:val="20"/>
          <w:szCs w:val="20"/>
          <w:color w:val="auto"/>
        </w:rPr>
      </w:pPr>
    </w:p>
    <w:p>
      <w:pPr>
        <w:ind w:right="40" w:firstLine="351"/>
        <w:spacing w:after="0" w:line="296" w:lineRule="auto"/>
        <w:rPr>
          <w:sz w:val="20"/>
          <w:szCs w:val="20"/>
          <w:color w:val="auto"/>
        </w:rPr>
      </w:pPr>
      <w:r>
        <w:rPr>
          <w:rFonts w:ascii="Times New Roman" w:cs="Times New Roman" w:eastAsia="Times New Roman" w:hAnsi="Times New Roman"/>
          <w:sz w:val="16"/>
          <w:szCs w:val="16"/>
          <w:color w:val="auto"/>
        </w:rPr>
        <w:t>Prior to December 31, 1998, our fiscal year was based on a 52/53 week fiscal year ending on the Saturday closest to January 31. We have since changed our fiscal year end to December 31. Fiscal 1998 represents the eleven month period ended December 31, 1998. The following table sets forth our summary historical financial information for the periods ended and as of the dates indicated. This information was derived from our consolidated financial statements that were audited by Deloitte &amp; Touche LLP. You should read the following historical financial information along with Management's Discussion and Analysis of Financial Condition and Results of Operations contained in this Form 10-K, including the financial statements and related notes that are included in this Form 10-K.</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3"/>
              </w:rPr>
              <w:t>Eleven</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20" w:type="dxa"/>
            <w:vAlign w:val="bottom"/>
            <w:gridSpan w:val="5"/>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0" w:type="dxa"/>
            <w:vAlign w:val="bottom"/>
            <w:gridSpan w:val="2"/>
          </w:tcPr>
          <w:p>
            <w:pPr>
              <w:jc w:val="center"/>
              <w:ind w:right="420"/>
              <w:spacing w:after="0" w:line="132" w:lineRule="exact"/>
              <w:rPr>
                <w:sz w:val="20"/>
                <w:szCs w:val="20"/>
                <w:color w:val="auto"/>
              </w:rPr>
            </w:pPr>
            <w:r>
              <w:rPr>
                <w:rFonts w:ascii="Times New Roman" w:cs="Times New Roman" w:eastAsia="Times New Roman" w:hAnsi="Times New Roman"/>
                <w:sz w:val="14"/>
                <w:szCs w:val="14"/>
                <w:b w:val="1"/>
                <w:bCs w:val="1"/>
                <w:color w:val="auto"/>
                <w:w w:val="98"/>
              </w:rPr>
              <w:t>months ended</w:t>
            </w:r>
          </w:p>
        </w:tc>
        <w:tc>
          <w:tcPr>
            <w:tcW w:w="80" w:type="dxa"/>
            <w:vAlign w:val="bottom"/>
          </w:tcPr>
          <w:p>
            <w:pPr>
              <w:spacing w:after="0"/>
              <w:rPr>
                <w:sz w:val="12"/>
                <w:szCs w:val="12"/>
                <w:color w:val="auto"/>
              </w:rPr>
            </w:pPr>
          </w:p>
        </w:tc>
        <w:tc>
          <w:tcPr>
            <w:tcW w:w="160" w:type="dxa"/>
            <w:vAlign w:val="bottom"/>
            <w:tcBorders>
              <w:bottom w:val="single" w:sz="8" w:color="808080"/>
            </w:tcBorders>
          </w:tcPr>
          <w:p>
            <w:pPr>
              <w:spacing w:after="0"/>
              <w:rPr>
                <w:sz w:val="12"/>
                <w:szCs w:val="12"/>
                <w:color w:val="auto"/>
              </w:rPr>
            </w:pPr>
          </w:p>
        </w:tc>
        <w:tc>
          <w:tcPr>
            <w:tcW w:w="1000" w:type="dxa"/>
            <w:vAlign w:val="bottom"/>
            <w:tcBorders>
              <w:bottom w:val="single" w:sz="8" w:color="808080"/>
            </w:tcBorders>
          </w:tcPr>
          <w:p>
            <w:pPr>
              <w:spacing w:after="0"/>
              <w:rPr>
                <w:sz w:val="12"/>
                <w:szCs w:val="12"/>
                <w:color w:val="auto"/>
              </w:rPr>
            </w:pPr>
          </w:p>
        </w:tc>
        <w:tc>
          <w:tcPr>
            <w:tcW w:w="220" w:type="dxa"/>
            <w:vAlign w:val="bottom"/>
            <w:tcBorders>
              <w:bottom w:val="single" w:sz="8" w:color="808080"/>
            </w:tcBorders>
          </w:tcPr>
          <w:p>
            <w:pPr>
              <w:spacing w:after="0"/>
              <w:rPr>
                <w:sz w:val="12"/>
                <w:szCs w:val="12"/>
                <w:color w:val="auto"/>
              </w:rPr>
            </w:pPr>
          </w:p>
        </w:tc>
        <w:tc>
          <w:tcPr>
            <w:tcW w:w="260" w:type="dxa"/>
            <w:vAlign w:val="bottom"/>
            <w:tcBorders>
              <w:bottom w:val="single" w:sz="8" w:color="808080"/>
            </w:tcBorders>
          </w:tcPr>
          <w:p>
            <w:pPr>
              <w:spacing w:after="0"/>
              <w:rPr>
                <w:sz w:val="12"/>
                <w:szCs w:val="12"/>
                <w:color w:val="auto"/>
              </w:rPr>
            </w:pPr>
          </w:p>
        </w:tc>
        <w:tc>
          <w:tcPr>
            <w:tcW w:w="900" w:type="dxa"/>
            <w:vAlign w:val="bottom"/>
            <w:tcBorders>
              <w:bottom w:val="single" w:sz="8" w:color="808080"/>
            </w:tcBorders>
          </w:tcPr>
          <w:p>
            <w:pPr>
              <w:spacing w:after="0"/>
              <w:rPr>
                <w:sz w:val="12"/>
                <w:szCs w:val="12"/>
                <w:color w:val="auto"/>
              </w:rPr>
            </w:pPr>
          </w:p>
        </w:tc>
        <w:tc>
          <w:tcPr>
            <w:tcW w:w="220" w:type="dxa"/>
            <w:vAlign w:val="bottom"/>
            <w:tcBorders>
              <w:bottom w:val="single" w:sz="8" w:color="808080"/>
            </w:tcBorders>
          </w:tcPr>
          <w:p>
            <w:pPr>
              <w:spacing w:after="0"/>
              <w:rPr>
                <w:sz w:val="12"/>
                <w:szCs w:val="12"/>
                <w:color w:val="auto"/>
              </w:rPr>
            </w:pPr>
          </w:p>
        </w:tc>
        <w:tc>
          <w:tcPr>
            <w:tcW w:w="420" w:type="dxa"/>
            <w:vAlign w:val="bottom"/>
            <w:tcBorders>
              <w:bottom w:val="single" w:sz="8" w:color="808080"/>
            </w:tcBorders>
          </w:tcPr>
          <w:p>
            <w:pPr>
              <w:spacing w:after="0"/>
              <w:rPr>
                <w:sz w:val="12"/>
                <w:szCs w:val="12"/>
                <w:color w:val="auto"/>
              </w:rPr>
            </w:pPr>
          </w:p>
        </w:tc>
        <w:tc>
          <w:tcPr>
            <w:tcW w:w="760" w:type="dxa"/>
            <w:vAlign w:val="bottom"/>
            <w:tcBorders>
              <w:bottom w:val="single" w:sz="8" w:color="808080"/>
            </w:tcBorders>
          </w:tcPr>
          <w:p>
            <w:pPr>
              <w:spacing w:after="0"/>
              <w:rPr>
                <w:sz w:val="12"/>
                <w:szCs w:val="12"/>
                <w:color w:val="auto"/>
              </w:rPr>
            </w:pPr>
          </w:p>
        </w:tc>
        <w:tc>
          <w:tcPr>
            <w:tcW w:w="220" w:type="dxa"/>
            <w:vAlign w:val="bottom"/>
            <w:tcBorders>
              <w:bottom w:val="single" w:sz="8" w:color="808080"/>
            </w:tcBorders>
          </w:tcPr>
          <w:p>
            <w:pPr>
              <w:spacing w:after="0"/>
              <w:rPr>
                <w:sz w:val="12"/>
                <w:szCs w:val="12"/>
                <w:color w:val="auto"/>
              </w:rPr>
            </w:pPr>
          </w:p>
        </w:tc>
        <w:tc>
          <w:tcPr>
            <w:tcW w:w="280" w:type="dxa"/>
            <w:vAlign w:val="bottom"/>
            <w:tcBorders>
              <w:bottom w:val="single" w:sz="8" w:color="808080"/>
            </w:tcBorders>
          </w:tcPr>
          <w:p>
            <w:pPr>
              <w:spacing w:after="0"/>
              <w:rPr>
                <w:sz w:val="12"/>
                <w:szCs w:val="12"/>
                <w:color w:val="auto"/>
              </w:rPr>
            </w:pPr>
          </w:p>
        </w:tc>
        <w:tc>
          <w:tcPr>
            <w:tcW w:w="920" w:type="dxa"/>
            <w:vAlign w:val="bottom"/>
            <w:tcBorders>
              <w:bottom w:val="single" w:sz="8" w:color="808080"/>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9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0" w:type="dxa"/>
            <w:vAlign w:val="bottom"/>
            <w:gridSpan w:val="2"/>
          </w:tcPr>
          <w:p>
            <w:pPr>
              <w:jc w:val="center"/>
              <w:ind w:right="420"/>
              <w:spacing w:after="0" w:line="115" w:lineRule="exact"/>
              <w:rPr>
                <w:sz w:val="20"/>
                <w:szCs w:val="20"/>
                <w:color w:val="auto"/>
              </w:rPr>
            </w:pPr>
            <w:r>
              <w:rPr>
                <w:rFonts w:ascii="Times New Roman" w:cs="Times New Roman" w:eastAsia="Times New Roman" w:hAnsi="Times New Roman"/>
                <w:sz w:val="12"/>
                <w:szCs w:val="12"/>
                <w:b w:val="1"/>
                <w:bCs w:val="1"/>
                <w:color w:val="auto"/>
              </w:rPr>
              <w:t>December 31,</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60" w:type="dxa"/>
            <w:vAlign w:val="bottom"/>
          </w:tcPr>
          <w:p>
            <w:pPr>
              <w:jc w:val="center"/>
              <w:ind w:right="196"/>
              <w:spacing w:after="0"/>
              <w:rPr>
                <w:sz w:val="20"/>
                <w:szCs w:val="20"/>
                <w:color w:val="auto"/>
              </w:rPr>
            </w:pPr>
            <w:r>
              <w:rPr>
                <w:rFonts w:ascii="Times New Roman" w:cs="Times New Roman" w:eastAsia="Times New Roman" w:hAnsi="Times New Roman"/>
                <w:sz w:val="14"/>
                <w:szCs w:val="14"/>
                <w:b w:val="1"/>
                <w:bCs w:val="1"/>
                <w:color w:val="auto"/>
                <w:w w:val="92"/>
              </w:rPr>
              <w:t>1998</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1999</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2000</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w w:val="99"/>
              </w:rPr>
              <w:t>2001</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2002</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96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tcBorders>
              <w:bottom w:val="single" w:sz="8" w:color="808080"/>
            </w:tcBorders>
            <w:gridSpan w:val="2"/>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39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02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(amounts in thousands, except per share amounts)</w:t>
            </w:r>
          </w:p>
        </w:tc>
        <w:tc>
          <w:tcPr>
            <w:tcW w:w="7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3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statement data</w:t>
            </w:r>
          </w:p>
        </w:tc>
        <w:tc>
          <w:tcPr>
            <w:tcW w:w="2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28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w w:val="74"/>
              </w:rPr>
              <w:t>$</w:t>
            </w:r>
          </w:p>
        </w:tc>
        <w:tc>
          <w:tcPr>
            <w:tcW w:w="16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410,913</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583,082</w:t>
            </w:r>
          </w:p>
        </w:tc>
        <w:tc>
          <w:tcPr>
            <w:tcW w:w="220" w:type="dxa"/>
            <w:vAlign w:val="bottom"/>
          </w:tcPr>
          <w:p>
            <w:pPr>
              <w:spacing w:after="0"/>
              <w:rPr>
                <w:sz w:val="18"/>
                <w:szCs w:val="18"/>
                <w:color w:val="auto"/>
              </w:rPr>
            </w:pPr>
          </w:p>
        </w:tc>
        <w:tc>
          <w:tcPr>
            <w:tcW w:w="26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678,195</w:t>
            </w:r>
          </w:p>
        </w:tc>
        <w:tc>
          <w:tcPr>
            <w:tcW w:w="220" w:type="dxa"/>
            <w:vAlign w:val="bottom"/>
          </w:tcPr>
          <w:p>
            <w:pPr>
              <w:spacing w:after="0"/>
              <w:rPr>
                <w:sz w:val="18"/>
                <w:szCs w:val="18"/>
                <w:color w:val="auto"/>
              </w:rPr>
            </w:pPr>
          </w:p>
        </w:tc>
        <w:tc>
          <w:tcPr>
            <w:tcW w:w="420" w:type="dxa"/>
            <w:vAlign w:val="bottom"/>
          </w:tcPr>
          <w:p>
            <w:pPr>
              <w:jc w:val="right"/>
              <w:ind w:right="258"/>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777,351</w:t>
            </w: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871,451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operations</w:t>
            </w:r>
          </w:p>
        </w:tc>
        <w:tc>
          <w:tcPr>
            <w:tcW w:w="2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335,804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466,856</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547,985</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603,493</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668,231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tcPr>
          <w:p>
            <w:pPr>
              <w:spacing w:after="0"/>
              <w:rPr>
                <w:sz w:val="18"/>
                <w:szCs w:val="18"/>
                <w:color w:val="auto"/>
              </w:rPr>
            </w:pPr>
          </w:p>
        </w:tc>
        <w:tc>
          <w:tcPr>
            <w:tcW w:w="16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17,589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35,971</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32,201</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45,431</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56,097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other amortization</w:t>
            </w:r>
          </w:p>
        </w:tc>
        <w:tc>
          <w:tcPr>
            <w:tcW w:w="2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8,270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16,183</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26,265</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30,698</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41,768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purchased intangibles</w:t>
            </w:r>
          </w:p>
        </w:tc>
        <w:tc>
          <w:tcPr>
            <w:tcW w:w="280" w:type="dxa"/>
            <w:vAlign w:val="bottom"/>
          </w:tcPr>
          <w:p>
            <w:pPr>
              <w:spacing w:after="0"/>
              <w:rPr>
                <w:sz w:val="19"/>
                <w:szCs w:val="19"/>
                <w:color w:val="auto"/>
              </w:rPr>
            </w:pPr>
          </w:p>
        </w:tc>
        <w:tc>
          <w:tcPr>
            <w:tcW w:w="16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43,766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61,617</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49,879</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43,506</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24,707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396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9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80" w:type="dxa"/>
            <w:vAlign w:val="bottom"/>
            <w:shd w:val="clear" w:color="auto" w:fill="CCEEFF"/>
          </w:tcPr>
          <w:p>
            <w:pPr>
              <w:spacing w:after="0"/>
              <w:rPr>
                <w:sz w:val="21"/>
                <w:szCs w:val="21"/>
                <w:color w:val="auto"/>
              </w:rPr>
            </w:pPr>
          </w:p>
        </w:tc>
        <w:tc>
          <w:tcPr>
            <w:tcW w:w="1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405,429</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580,627</w:t>
            </w:r>
          </w:p>
        </w:tc>
        <w:tc>
          <w:tcPr>
            <w:tcW w:w="2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656,330</w:t>
            </w:r>
          </w:p>
        </w:tc>
        <w:tc>
          <w:tcPr>
            <w:tcW w:w="2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723,128</w:t>
            </w: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790,803</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3980" w:type="dxa"/>
            <w:vAlign w:val="bottom"/>
            <w:gridSpan w:val="2"/>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280" w:type="dxa"/>
            <w:vAlign w:val="bottom"/>
          </w:tcPr>
          <w:p>
            <w:pPr>
              <w:spacing w:after="0"/>
              <w:rPr>
                <w:sz w:val="24"/>
                <w:szCs w:val="24"/>
                <w:color w:val="auto"/>
              </w:rPr>
            </w:pPr>
          </w:p>
        </w:tc>
        <w:tc>
          <w:tcPr>
            <w:tcW w:w="16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5,484</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2,455</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21,865</w:t>
            </w: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54,223</w:t>
            </w: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80,648</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2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2,477</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5,000</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Fair value loss on interest rate derivative</w:t>
            </w:r>
          </w:p>
        </w:tc>
        <w:tc>
          <w:tcPr>
            <w:tcW w:w="280" w:type="dxa"/>
            <w:vAlign w:val="bottom"/>
          </w:tcPr>
          <w:p>
            <w:pPr>
              <w:spacing w:after="0"/>
              <w:rPr>
                <w:sz w:val="18"/>
                <w:szCs w:val="18"/>
                <w:color w:val="auto"/>
              </w:rPr>
            </w:pPr>
          </w:p>
        </w:tc>
        <w:tc>
          <w:tcPr>
            <w:tcW w:w="16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15,131</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12,017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27,884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42,785</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38,870</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30,097</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21,215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39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Income (loss) from continuing operations before</w:t>
            </w:r>
          </w:p>
        </w:tc>
        <w:tc>
          <w:tcPr>
            <w:tcW w:w="28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7"/>
        </w:trPr>
        <w:tc>
          <w:tcPr>
            <w:tcW w:w="398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taxes, discontinued operations and</w:t>
            </w:r>
          </w:p>
        </w:tc>
        <w:tc>
          <w:tcPr>
            <w:tcW w:w="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extraordinary item</w:t>
            </w:r>
          </w:p>
        </w:tc>
        <w:tc>
          <w:tcPr>
            <w:tcW w:w="280" w:type="dxa"/>
            <w:vAlign w:val="bottom"/>
          </w:tcPr>
          <w:p>
            <w:pPr>
              <w:spacing w:after="0"/>
              <w:rPr>
                <w:sz w:val="19"/>
                <w:szCs w:val="19"/>
                <w:color w:val="auto"/>
              </w:rPr>
            </w:pPr>
          </w:p>
        </w:tc>
        <w:tc>
          <w:tcPr>
            <w:tcW w:w="1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(22,400)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(40,330)</w:t>
            </w:r>
          </w:p>
        </w:tc>
        <w:tc>
          <w:tcPr>
            <w:tcW w:w="26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(19,482)</w:t>
            </w:r>
          </w:p>
        </w:tc>
        <w:tc>
          <w:tcPr>
            <w:tcW w:w="42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3,995</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47,416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(4,708)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(6,538)</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1,841</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11,612</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20,671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39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Income (loss) from continuing operations before</w:t>
            </w:r>
          </w:p>
        </w:tc>
        <w:tc>
          <w:tcPr>
            <w:tcW w:w="28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7"/>
        </w:trPr>
        <w:tc>
          <w:tcPr>
            <w:tcW w:w="398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discontinued operations and extraordinary item</w:t>
            </w:r>
          </w:p>
        </w:tc>
        <w:tc>
          <w:tcPr>
            <w:tcW w:w="280" w:type="dxa"/>
            <w:vAlign w:val="bottom"/>
          </w:tcPr>
          <w:p>
            <w:pPr>
              <w:spacing w:after="0"/>
              <w:rPr>
                <w:sz w:val="19"/>
                <w:szCs w:val="19"/>
                <w:color w:val="auto"/>
              </w:rPr>
            </w:pPr>
          </w:p>
        </w:tc>
        <w:tc>
          <w:tcPr>
            <w:tcW w:w="1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(17,692)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(33,792)</w:t>
            </w:r>
          </w:p>
        </w:tc>
        <w:tc>
          <w:tcPr>
            <w:tcW w:w="26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(21,323)</w:t>
            </w:r>
          </w:p>
        </w:tc>
        <w:tc>
          <w:tcPr>
            <w:tcW w:w="42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(7,617)</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26,745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960" w:type="dxa"/>
            <w:vAlign w:val="bottom"/>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rPr>
              <w:t>Income (loss) from discontinued operations, net of</w:t>
            </w:r>
          </w:p>
        </w:tc>
        <w:tc>
          <w:tcPr>
            <w:tcW w:w="2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taxes</w:t>
            </w:r>
          </w:p>
        </w:tc>
        <w:tc>
          <w:tcPr>
            <w:tcW w:w="280" w:type="dxa"/>
            <w:vAlign w:val="bottom"/>
            <w:shd w:val="clear" w:color="auto" w:fill="CCEEFF"/>
          </w:tcPr>
          <w:p>
            <w:pPr>
              <w:spacing w:after="0"/>
              <w:rPr>
                <w:sz w:val="20"/>
                <w:szCs w:val="20"/>
                <w:color w:val="auto"/>
              </w:rPr>
            </w:pPr>
          </w:p>
        </w:tc>
        <w:tc>
          <w:tcPr>
            <w:tcW w:w="1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(300)</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7,688</w:t>
            </w:r>
          </w:p>
        </w:tc>
        <w:tc>
          <w:tcPr>
            <w:tcW w:w="2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6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Loss on disposal of discontinued operations, net of</w:t>
            </w:r>
          </w:p>
        </w:tc>
        <w:tc>
          <w:tcPr>
            <w:tcW w:w="2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taxes</w:t>
            </w:r>
          </w:p>
        </w:tc>
        <w:tc>
          <w:tcPr>
            <w:tcW w:w="280" w:type="dxa"/>
            <w:vAlign w:val="bottom"/>
          </w:tcPr>
          <w:p>
            <w:pPr>
              <w:spacing w:after="0"/>
              <w:rPr>
                <w:sz w:val="19"/>
                <w:szCs w:val="19"/>
                <w:color w:val="auto"/>
              </w:rPr>
            </w:pPr>
          </w:p>
        </w:tc>
        <w:tc>
          <w:tcPr>
            <w:tcW w:w="16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(3,737)</w:t>
            </w:r>
          </w:p>
        </w:tc>
        <w:tc>
          <w:tcPr>
            <w:tcW w:w="26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Extraordinary item, net</w:t>
            </w:r>
          </w:p>
        </w:tc>
        <w:tc>
          <w:tcPr>
            <w:tcW w:w="2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(615)</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(542)</w:t>
            </w:r>
          </w:p>
        </w:tc>
        <w:tc>
          <w:tcPr>
            <w:tcW w:w="0" w:type="dxa"/>
            <w:vAlign w:val="bottom"/>
          </w:tcPr>
          <w:p>
            <w:pPr>
              <w:spacing w:after="0"/>
              <w:rPr>
                <w:sz w:val="1"/>
                <w:szCs w:val="1"/>
                <w:color w:val="auto"/>
              </w:rPr>
            </w:pPr>
          </w:p>
        </w:tc>
      </w:tr>
      <w:tr>
        <w:trPr>
          <w:trHeight w:val="118"/>
        </w:trPr>
        <w:tc>
          <w:tcPr>
            <w:tcW w:w="3980" w:type="dxa"/>
            <w:vAlign w:val="bottom"/>
            <w:gridSpan w:val="2"/>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8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w w:val="74"/>
              </w:rPr>
              <w:t>$</w:t>
            </w:r>
          </w:p>
        </w:tc>
        <w:tc>
          <w:tcPr>
            <w:tcW w:w="1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(17,992)</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(29,841)</w:t>
            </w:r>
          </w:p>
        </w:tc>
        <w:tc>
          <w:tcPr>
            <w:tcW w:w="26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(21,323)</w:t>
            </w:r>
          </w:p>
        </w:tc>
        <w:tc>
          <w:tcPr>
            <w:tcW w:w="420" w:type="dxa"/>
            <w:vAlign w:val="bottom"/>
          </w:tcPr>
          <w:p>
            <w:pPr>
              <w:jc w:val="right"/>
              <w:ind w:right="258"/>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(8,232)</w:t>
            </w: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26,203</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96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960" w:type="dxa"/>
            <w:vAlign w:val="bottom"/>
            <w:tcBorders>
              <w:bottom w:val="single" w:sz="8" w:color="CCEEFF"/>
            </w:tcBorders>
          </w:tcPr>
          <w:p>
            <w:pPr>
              <w:spacing w:after="0"/>
              <w:rPr>
                <w:sz w:val="9"/>
                <w:szCs w:val="9"/>
                <w:color w:val="auto"/>
              </w:rPr>
            </w:pPr>
          </w:p>
        </w:tc>
        <w:tc>
          <w:tcPr>
            <w:tcW w:w="280" w:type="dxa"/>
            <w:vAlign w:val="bottom"/>
            <w:tcBorders>
              <w:bottom w:val="single" w:sz="8" w:color="CCEEFF"/>
            </w:tcBorders>
          </w:tcPr>
          <w:p>
            <w:pPr>
              <w:spacing w:after="0"/>
              <w:rPr>
                <w:sz w:val="9"/>
                <w:szCs w:val="9"/>
                <w:color w:val="auto"/>
              </w:rPr>
            </w:pPr>
          </w:p>
        </w:tc>
        <w:tc>
          <w:tcPr>
            <w:tcW w:w="1460" w:type="dxa"/>
            <w:vAlign w:val="bottom"/>
            <w:tcBorders>
              <w:bottom w:val="single" w:sz="8" w:color="CCEEFF"/>
            </w:tcBorders>
          </w:tcPr>
          <w:p>
            <w:pPr>
              <w:spacing w:after="0"/>
              <w:rPr>
                <w:sz w:val="9"/>
                <w:szCs w:val="9"/>
                <w:color w:val="auto"/>
              </w:rPr>
            </w:pPr>
          </w:p>
        </w:tc>
        <w:tc>
          <w:tcPr>
            <w:tcW w:w="140" w:type="dxa"/>
            <w:vAlign w:val="bottom"/>
            <w:tcBorders>
              <w:bottom w:val="single" w:sz="8" w:color="CCEEFF"/>
            </w:tcBorders>
          </w:tcPr>
          <w:p>
            <w:pPr>
              <w:spacing w:after="0"/>
              <w:rPr>
                <w:sz w:val="9"/>
                <w:szCs w:val="9"/>
                <w:color w:val="auto"/>
              </w:rPr>
            </w:pPr>
          </w:p>
        </w:tc>
        <w:tc>
          <w:tcPr>
            <w:tcW w:w="80" w:type="dxa"/>
            <w:vAlign w:val="bottom"/>
            <w:tcBorders>
              <w:bottom w:val="single" w:sz="8" w:color="CCEEFF"/>
            </w:tcBorders>
          </w:tcPr>
          <w:p>
            <w:pPr>
              <w:spacing w:after="0"/>
              <w:rPr>
                <w:sz w:val="9"/>
                <w:szCs w:val="9"/>
                <w:color w:val="auto"/>
              </w:rPr>
            </w:pPr>
          </w:p>
        </w:tc>
        <w:tc>
          <w:tcPr>
            <w:tcW w:w="160" w:type="dxa"/>
            <w:vAlign w:val="bottom"/>
            <w:tcBorders>
              <w:bottom w:val="single" w:sz="8" w:color="CCEEFF"/>
            </w:tcBorders>
          </w:tcPr>
          <w:p>
            <w:pPr>
              <w:spacing w:after="0"/>
              <w:rPr>
                <w:sz w:val="9"/>
                <w:szCs w:val="9"/>
                <w:color w:val="auto"/>
              </w:rPr>
            </w:pPr>
          </w:p>
        </w:tc>
        <w:tc>
          <w:tcPr>
            <w:tcW w:w="1000" w:type="dxa"/>
            <w:vAlign w:val="bottom"/>
            <w:tcBorders>
              <w:bottom w:val="single" w:sz="8" w:color="CCEEFF"/>
            </w:tcBorders>
          </w:tcPr>
          <w:p>
            <w:pPr>
              <w:spacing w:after="0"/>
              <w:rPr>
                <w:sz w:val="9"/>
                <w:szCs w:val="9"/>
                <w:color w:val="auto"/>
              </w:rPr>
            </w:pPr>
          </w:p>
        </w:tc>
        <w:tc>
          <w:tcPr>
            <w:tcW w:w="220" w:type="dxa"/>
            <w:vAlign w:val="bottom"/>
            <w:tcBorders>
              <w:bottom w:val="single" w:sz="8" w:color="CCEEFF"/>
            </w:tcBorders>
          </w:tcPr>
          <w:p>
            <w:pPr>
              <w:spacing w:after="0"/>
              <w:rPr>
                <w:sz w:val="9"/>
                <w:szCs w:val="9"/>
                <w:color w:val="auto"/>
              </w:rPr>
            </w:pPr>
          </w:p>
        </w:tc>
        <w:tc>
          <w:tcPr>
            <w:tcW w:w="260" w:type="dxa"/>
            <w:vAlign w:val="bottom"/>
            <w:tcBorders>
              <w:bottom w:val="single" w:sz="8" w:color="CCEEFF"/>
            </w:tcBorders>
          </w:tcPr>
          <w:p>
            <w:pPr>
              <w:spacing w:after="0"/>
              <w:rPr>
                <w:sz w:val="9"/>
                <w:szCs w:val="9"/>
                <w:color w:val="auto"/>
              </w:rPr>
            </w:pPr>
          </w:p>
        </w:tc>
        <w:tc>
          <w:tcPr>
            <w:tcW w:w="900" w:type="dxa"/>
            <w:vAlign w:val="bottom"/>
            <w:tcBorders>
              <w:bottom w:val="single" w:sz="8" w:color="CCEEFF"/>
            </w:tcBorders>
          </w:tcPr>
          <w:p>
            <w:pPr>
              <w:spacing w:after="0"/>
              <w:rPr>
                <w:sz w:val="9"/>
                <w:szCs w:val="9"/>
                <w:color w:val="auto"/>
              </w:rPr>
            </w:pPr>
          </w:p>
        </w:tc>
        <w:tc>
          <w:tcPr>
            <w:tcW w:w="220" w:type="dxa"/>
            <w:vAlign w:val="bottom"/>
            <w:tcBorders>
              <w:bottom w:val="single" w:sz="8" w:color="CCEEFF"/>
            </w:tcBorders>
          </w:tcPr>
          <w:p>
            <w:pPr>
              <w:spacing w:after="0"/>
              <w:rPr>
                <w:sz w:val="9"/>
                <w:szCs w:val="9"/>
                <w:color w:val="auto"/>
              </w:rPr>
            </w:pPr>
          </w:p>
        </w:tc>
        <w:tc>
          <w:tcPr>
            <w:tcW w:w="420" w:type="dxa"/>
            <w:vAlign w:val="bottom"/>
            <w:tcBorders>
              <w:bottom w:val="single" w:sz="8" w:color="CCEEFF"/>
            </w:tcBorders>
          </w:tcPr>
          <w:p>
            <w:pPr>
              <w:spacing w:after="0"/>
              <w:rPr>
                <w:sz w:val="9"/>
                <w:szCs w:val="9"/>
                <w:color w:val="auto"/>
              </w:rPr>
            </w:pPr>
          </w:p>
        </w:tc>
        <w:tc>
          <w:tcPr>
            <w:tcW w:w="760" w:type="dxa"/>
            <w:vAlign w:val="bottom"/>
            <w:tcBorders>
              <w:bottom w:val="single" w:sz="8" w:color="CCEEFF"/>
            </w:tcBorders>
          </w:tcPr>
          <w:p>
            <w:pPr>
              <w:spacing w:after="0"/>
              <w:rPr>
                <w:sz w:val="9"/>
                <w:szCs w:val="9"/>
                <w:color w:val="auto"/>
              </w:rPr>
            </w:pPr>
          </w:p>
        </w:tc>
        <w:tc>
          <w:tcPr>
            <w:tcW w:w="220" w:type="dxa"/>
            <w:vAlign w:val="bottom"/>
            <w:tcBorders>
              <w:bottom w:val="single" w:sz="8" w:color="CCEEFF"/>
            </w:tcBorders>
          </w:tcPr>
          <w:p>
            <w:pPr>
              <w:spacing w:after="0"/>
              <w:rPr>
                <w:sz w:val="9"/>
                <w:szCs w:val="9"/>
                <w:color w:val="auto"/>
              </w:rPr>
            </w:pPr>
          </w:p>
        </w:tc>
        <w:tc>
          <w:tcPr>
            <w:tcW w:w="280" w:type="dxa"/>
            <w:vAlign w:val="bottom"/>
            <w:tcBorders>
              <w:bottom w:val="single" w:sz="8" w:color="CCEEFF"/>
            </w:tcBorders>
          </w:tcPr>
          <w:p>
            <w:pPr>
              <w:spacing w:after="0"/>
              <w:rPr>
                <w:sz w:val="9"/>
                <w:szCs w:val="9"/>
                <w:color w:val="auto"/>
              </w:rPr>
            </w:pPr>
          </w:p>
        </w:tc>
        <w:tc>
          <w:tcPr>
            <w:tcW w:w="920" w:type="dxa"/>
            <w:vAlign w:val="bottom"/>
            <w:tcBorders>
              <w:bottom w:val="single" w:sz="8" w:color="CCEEFF"/>
            </w:tcBorders>
          </w:tcPr>
          <w:p>
            <w:pPr>
              <w:spacing w:after="0"/>
              <w:rPr>
                <w:sz w:val="9"/>
                <w:szCs w:val="9"/>
                <w:color w:val="auto"/>
              </w:rPr>
            </w:pPr>
          </w:p>
        </w:tc>
        <w:tc>
          <w:tcPr>
            <w:tcW w:w="120" w:type="dxa"/>
            <w:vAlign w:val="bottom"/>
            <w:tcBorders>
              <w:bottom w:val="single" w:sz="8" w:color="CCEEFF"/>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3622040</wp:posOffset>
            </wp:positionH>
            <wp:positionV relativeFrom="paragraph">
              <wp:posOffset>-4430395</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2524125</wp:posOffset>
            </wp:positionH>
            <wp:positionV relativeFrom="paragraph">
              <wp:posOffset>-4430395</wp:posOffset>
            </wp:positionV>
            <wp:extent cx="12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-4696460</wp:posOffset>
            </wp:positionV>
            <wp:extent cx="12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-4696460</wp:posOffset>
            </wp:positionV>
            <wp:extent cx="12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-4430395</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-4430395</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-4430395</wp:posOffset>
            </wp:positionV>
            <wp:extent cx="127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-4430395</wp:posOffset>
            </wp:positionV>
            <wp:extent cx="127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-4430395</wp:posOffset>
            </wp:positionV>
            <wp:extent cx="12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-4430395</wp:posOffset>
            </wp:positionV>
            <wp:extent cx="127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-4430395</wp:posOffset>
            </wp:positionV>
            <wp:extent cx="127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-4430395</wp:posOffset>
            </wp:positionV>
            <wp:extent cx="127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3622040</wp:posOffset>
            </wp:positionH>
            <wp:positionV relativeFrom="paragraph">
              <wp:posOffset>-3204210</wp:posOffset>
            </wp:positionV>
            <wp:extent cx="127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2524125</wp:posOffset>
            </wp:positionH>
            <wp:positionV relativeFrom="paragraph">
              <wp:posOffset>-3204210</wp:posOffset>
            </wp:positionV>
            <wp:extent cx="127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-3204210</wp:posOffset>
            </wp:positionV>
            <wp:extent cx="127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-3204210</wp:posOffset>
            </wp:positionV>
            <wp:extent cx="127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-3204210</wp:posOffset>
            </wp:positionV>
            <wp:extent cx="127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-3204210</wp:posOffset>
            </wp:positionV>
            <wp:extent cx="127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-3204210</wp:posOffset>
            </wp:positionV>
            <wp:extent cx="127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-3204210</wp:posOffset>
            </wp:positionV>
            <wp:extent cx="127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-3204210</wp:posOffset>
            </wp:positionV>
            <wp:extent cx="127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-3204210</wp:posOffset>
            </wp:positionV>
            <wp:extent cx="127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3622040</wp:posOffset>
            </wp:positionH>
            <wp:positionV relativeFrom="paragraph">
              <wp:posOffset>-2895600</wp:posOffset>
            </wp:positionV>
            <wp:extent cx="127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2524125</wp:posOffset>
            </wp:positionH>
            <wp:positionV relativeFrom="paragraph">
              <wp:posOffset>-2895600</wp:posOffset>
            </wp:positionV>
            <wp:extent cx="127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-2895600</wp:posOffset>
            </wp:positionV>
            <wp:extent cx="127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-2895600</wp:posOffset>
            </wp:positionV>
            <wp:extent cx="127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-2895600</wp:posOffset>
            </wp:positionV>
            <wp:extent cx="127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-2895600</wp:posOffset>
            </wp:positionV>
            <wp:extent cx="127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-2895600</wp:posOffset>
            </wp:positionV>
            <wp:extent cx="127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-2895600</wp:posOffset>
            </wp:positionV>
            <wp:extent cx="127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-2895600</wp:posOffset>
            </wp:positionV>
            <wp:extent cx="127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-2895600</wp:posOffset>
            </wp:positionV>
            <wp:extent cx="127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3622040</wp:posOffset>
            </wp:positionH>
            <wp:positionV relativeFrom="paragraph">
              <wp:posOffset>-2192020</wp:posOffset>
            </wp:positionV>
            <wp:extent cx="127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2524125</wp:posOffset>
            </wp:positionH>
            <wp:positionV relativeFrom="paragraph">
              <wp:posOffset>-2192020</wp:posOffset>
            </wp:positionV>
            <wp:extent cx="127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-2192020</wp:posOffset>
            </wp:positionV>
            <wp:extent cx="127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-2192020</wp:posOffset>
            </wp:positionV>
            <wp:extent cx="127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-2192020</wp:posOffset>
            </wp:positionV>
            <wp:extent cx="127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-2192020</wp:posOffset>
            </wp:positionV>
            <wp:extent cx="127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-2192020</wp:posOffset>
            </wp:positionV>
            <wp:extent cx="127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-2192020</wp:posOffset>
            </wp:positionV>
            <wp:extent cx="127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-2192020</wp:posOffset>
            </wp:positionV>
            <wp:extent cx="127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-2192020</wp:posOffset>
            </wp:positionV>
            <wp:extent cx="127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3622040</wp:posOffset>
            </wp:positionH>
            <wp:positionV relativeFrom="paragraph">
              <wp:posOffset>-1489075</wp:posOffset>
            </wp:positionV>
            <wp:extent cx="127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2524125</wp:posOffset>
            </wp:positionH>
            <wp:positionV relativeFrom="paragraph">
              <wp:posOffset>-1489075</wp:posOffset>
            </wp:positionV>
            <wp:extent cx="127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-1489075</wp:posOffset>
            </wp:positionV>
            <wp:extent cx="127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-1489075</wp:posOffset>
            </wp:positionV>
            <wp:extent cx="127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-1489075</wp:posOffset>
            </wp:positionV>
            <wp:extent cx="127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-1489075</wp:posOffset>
            </wp:positionV>
            <wp:extent cx="127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-1489075</wp:posOffset>
            </wp:positionV>
            <wp:extent cx="127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-1489075</wp:posOffset>
            </wp:positionV>
            <wp:extent cx="127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-1489075</wp:posOffset>
            </wp:positionV>
            <wp:extent cx="127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-1489075</wp:posOffset>
            </wp:positionV>
            <wp:extent cx="127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3622040</wp:posOffset>
            </wp:positionH>
            <wp:positionV relativeFrom="paragraph">
              <wp:posOffset>-374015</wp:posOffset>
            </wp:positionV>
            <wp:extent cx="127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2524125</wp:posOffset>
            </wp:positionH>
            <wp:positionV relativeFrom="paragraph">
              <wp:posOffset>-374015</wp:posOffset>
            </wp:positionV>
            <wp:extent cx="127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-374015</wp:posOffset>
            </wp:positionV>
            <wp:extent cx="127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-374015</wp:posOffset>
            </wp:positionV>
            <wp:extent cx="127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-374015</wp:posOffset>
            </wp:positionV>
            <wp:extent cx="127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-374015</wp:posOffset>
            </wp:positionV>
            <wp:extent cx="127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-374015</wp:posOffset>
            </wp:positionV>
            <wp:extent cx="1270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-374015</wp:posOffset>
            </wp:positionV>
            <wp:extent cx="127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-374015</wp:posOffset>
            </wp:positionV>
            <wp:extent cx="127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-374015</wp:posOffset>
            </wp:positionV>
            <wp:extent cx="1270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3622040</wp:posOffset>
            </wp:positionH>
            <wp:positionV relativeFrom="paragraph">
              <wp:posOffset>-82550</wp:posOffset>
            </wp:positionV>
            <wp:extent cx="1270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2524125</wp:posOffset>
            </wp:positionH>
            <wp:positionV relativeFrom="paragraph">
              <wp:posOffset>-82550</wp:posOffset>
            </wp:positionV>
            <wp:extent cx="1270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-82550</wp:posOffset>
            </wp:positionV>
            <wp:extent cx="1270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-82550</wp:posOffset>
            </wp:positionV>
            <wp:extent cx="1270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-82550</wp:posOffset>
            </wp:positionV>
            <wp:extent cx="1270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-82550</wp:posOffset>
            </wp:positionV>
            <wp:extent cx="1270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-82550</wp:posOffset>
            </wp:positionV>
            <wp:extent cx="1270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-82550</wp:posOffset>
            </wp:positionV>
            <wp:extent cx="1270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-82550</wp:posOffset>
            </wp:positionV>
            <wp:extent cx="1270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-82550</wp:posOffset>
            </wp:positionV>
            <wp:extent cx="1270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00" w:orient="portrait"/>
          <w:cols w:equalWidth="0" w:num="1">
            <w:col w:w="11420"/>
          </w:cols>
          <w:pgMar w:left="240" w:top="125" w:right="239" w:bottom="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per share from continuing operations</w:t>
            </w:r>
          </w:p>
        </w:tc>
        <w:tc>
          <w:tcPr>
            <w:tcW w:w="740" w:type="dxa"/>
            <w:vAlign w:val="bottom"/>
            <w:shd w:val="clear" w:color="auto" w:fill="CCEEFF"/>
          </w:tcPr>
          <w:p>
            <w:pPr>
              <w:jc w:val="right"/>
              <w:ind w:right="578"/>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(0.42)</w:t>
            </w:r>
          </w:p>
        </w:tc>
        <w:tc>
          <w:tcPr>
            <w:tcW w:w="440" w:type="dxa"/>
            <w:vAlign w:val="bottom"/>
            <w:shd w:val="clear" w:color="auto" w:fill="CCEEFF"/>
          </w:tcPr>
          <w:p>
            <w:pPr>
              <w:jc w:val="right"/>
              <w:ind w:right="278"/>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(0.78)</w:t>
            </w:r>
          </w:p>
        </w:tc>
        <w:tc>
          <w:tcPr>
            <w:tcW w:w="440" w:type="dxa"/>
            <w:vAlign w:val="bottom"/>
            <w:shd w:val="clear" w:color="auto" w:fill="CCEEFF"/>
          </w:tcPr>
          <w:p>
            <w:pPr>
              <w:jc w:val="right"/>
              <w:ind w:right="278"/>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(0.60)</w:t>
            </w:r>
          </w:p>
        </w:tc>
        <w:tc>
          <w:tcPr>
            <w:tcW w:w="46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(0.17)</w:t>
            </w:r>
          </w:p>
        </w:tc>
        <w:tc>
          <w:tcPr>
            <w:tcW w:w="50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(before extraordinary item)</w:t>
            </w:r>
          </w:p>
        </w:tc>
        <w:tc>
          <w:tcPr>
            <w:tcW w:w="7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05"/>
        </w:trPr>
        <w:tc>
          <w:tcPr>
            <w:tcW w:w="39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Income (loss) per share from continuing operations</w:t>
            </w:r>
          </w:p>
        </w:tc>
        <w:tc>
          <w:tcPr>
            <w:tcW w:w="7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3980" w:type="dxa"/>
            <w:vAlign w:val="bottom"/>
            <w:gridSpan w:val="2"/>
            <w:vMerge w:val="continue"/>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7"/>
        </w:trPr>
        <w:tc>
          <w:tcPr>
            <w:tcW w:w="3980" w:type="dxa"/>
            <w:vAlign w:val="bottom"/>
            <w:gridSpan w:val="2"/>
            <w:vMerge w:val="continue"/>
          </w:tcPr>
          <w:p>
            <w:pPr>
              <w:spacing w:after="0"/>
              <w:rPr>
                <w:sz w:val="24"/>
                <w:szCs w:val="24"/>
                <w:color w:val="auto"/>
              </w:rPr>
            </w:pPr>
          </w:p>
        </w:tc>
        <w:tc>
          <w:tcPr>
            <w:tcW w:w="7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—diluted (before extraordinary item)</w:t>
            </w:r>
          </w:p>
        </w:tc>
        <w:tc>
          <w:tcPr>
            <w:tcW w:w="740" w:type="dxa"/>
            <w:vAlign w:val="bottom"/>
          </w:tcPr>
          <w:p>
            <w:pPr>
              <w:jc w:val="right"/>
              <w:ind w:right="578"/>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(0.42)</w:t>
            </w:r>
          </w:p>
        </w:tc>
        <w:tc>
          <w:tcPr>
            <w:tcW w:w="44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(0.78)</w:t>
            </w:r>
          </w:p>
        </w:tc>
        <w:tc>
          <w:tcPr>
            <w:tcW w:w="44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(0.60)</w:t>
            </w:r>
          </w:p>
        </w:tc>
        <w:tc>
          <w:tcPr>
            <w:tcW w:w="46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(0.17)</w:t>
            </w:r>
          </w:p>
        </w:tc>
        <w:tc>
          <w:tcPr>
            <w:tcW w:w="50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960" w:type="dxa"/>
            <w:vAlign w:val="bottom"/>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per share—basic</w:t>
            </w:r>
          </w:p>
        </w:tc>
        <w:tc>
          <w:tcPr>
            <w:tcW w:w="740" w:type="dxa"/>
            <w:vAlign w:val="bottom"/>
            <w:shd w:val="clear" w:color="auto" w:fill="CCEEFF"/>
          </w:tcPr>
          <w:p>
            <w:pPr>
              <w:jc w:val="right"/>
              <w:ind w:right="578"/>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(0.43)</w:t>
            </w:r>
          </w:p>
        </w:tc>
        <w:tc>
          <w:tcPr>
            <w:tcW w:w="440" w:type="dxa"/>
            <w:vAlign w:val="bottom"/>
            <w:shd w:val="clear" w:color="auto" w:fill="CCEEFF"/>
          </w:tcPr>
          <w:p>
            <w:pPr>
              <w:jc w:val="right"/>
              <w:ind w:right="278"/>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(0.70)</w:t>
            </w:r>
          </w:p>
        </w:tc>
        <w:tc>
          <w:tcPr>
            <w:tcW w:w="440" w:type="dxa"/>
            <w:vAlign w:val="bottom"/>
            <w:shd w:val="clear" w:color="auto" w:fill="CCEEFF"/>
          </w:tcPr>
          <w:p>
            <w:pPr>
              <w:jc w:val="right"/>
              <w:ind w:right="278"/>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(0.60)</w:t>
            </w:r>
          </w:p>
        </w:tc>
        <w:tc>
          <w:tcPr>
            <w:tcW w:w="46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(0.18)</w:t>
            </w:r>
          </w:p>
        </w:tc>
        <w:tc>
          <w:tcPr>
            <w:tcW w:w="50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3980" w:type="dxa"/>
            <w:vAlign w:val="bottom"/>
            <w:gridSpan w:val="2"/>
          </w:tcPr>
          <w:p>
            <w:pPr>
              <w:spacing w:after="0"/>
              <w:rPr>
                <w:sz w:val="9"/>
                <w:szCs w:val="9"/>
                <w:color w:val="auto"/>
              </w:rPr>
            </w:pPr>
          </w:p>
        </w:tc>
        <w:tc>
          <w:tcPr>
            <w:tcW w:w="740" w:type="dxa"/>
            <w:vAlign w:val="bottom"/>
          </w:tcPr>
          <w:p>
            <w:pPr>
              <w:spacing w:after="0"/>
              <w:rPr>
                <w:sz w:val="9"/>
                <w:szCs w:val="9"/>
                <w:color w:val="auto"/>
              </w:rPr>
            </w:pPr>
          </w:p>
        </w:tc>
        <w:tc>
          <w:tcPr>
            <w:tcW w:w="1220" w:type="dxa"/>
            <w:vAlign w:val="bottom"/>
            <w:gridSpan w:val="2"/>
          </w:tcPr>
          <w:p>
            <w:pPr>
              <w:spacing w:after="0"/>
              <w:rPr>
                <w:sz w:val="9"/>
                <w:szCs w:val="9"/>
                <w:color w:val="auto"/>
              </w:rPr>
            </w:pPr>
          </w:p>
        </w:tc>
        <w:tc>
          <w:tcPr>
            <w:tcW w:w="440" w:type="dxa"/>
            <w:vAlign w:val="bottom"/>
          </w:tcPr>
          <w:p>
            <w:pPr>
              <w:spacing w:after="0"/>
              <w:rPr>
                <w:sz w:val="9"/>
                <w:szCs w:val="9"/>
                <w:color w:val="auto"/>
              </w:rPr>
            </w:pPr>
          </w:p>
        </w:tc>
        <w:tc>
          <w:tcPr>
            <w:tcW w:w="940" w:type="dxa"/>
            <w:vAlign w:val="bottom"/>
            <w:gridSpan w:val="2"/>
          </w:tcPr>
          <w:p>
            <w:pPr>
              <w:spacing w:after="0"/>
              <w:rPr>
                <w:sz w:val="9"/>
                <w:szCs w:val="9"/>
                <w:color w:val="auto"/>
              </w:rPr>
            </w:pPr>
          </w:p>
        </w:tc>
        <w:tc>
          <w:tcPr>
            <w:tcW w:w="440" w:type="dxa"/>
            <w:vAlign w:val="bottom"/>
          </w:tcPr>
          <w:p>
            <w:pPr>
              <w:spacing w:after="0"/>
              <w:rPr>
                <w:sz w:val="9"/>
                <w:szCs w:val="9"/>
                <w:color w:val="auto"/>
              </w:rPr>
            </w:pPr>
          </w:p>
        </w:tc>
        <w:tc>
          <w:tcPr>
            <w:tcW w:w="920" w:type="dxa"/>
            <w:vAlign w:val="bottom"/>
            <w:gridSpan w:val="2"/>
          </w:tcPr>
          <w:p>
            <w:pPr>
              <w:spacing w:after="0"/>
              <w:rPr>
                <w:sz w:val="9"/>
                <w:szCs w:val="9"/>
                <w:color w:val="auto"/>
              </w:rPr>
            </w:pPr>
          </w:p>
        </w:tc>
        <w:tc>
          <w:tcPr>
            <w:tcW w:w="460" w:type="dxa"/>
            <w:vAlign w:val="bottom"/>
          </w:tcPr>
          <w:p>
            <w:pPr>
              <w:spacing w:after="0"/>
              <w:rPr>
                <w:sz w:val="9"/>
                <w:szCs w:val="9"/>
                <w:color w:val="auto"/>
              </w:rPr>
            </w:pPr>
          </w:p>
        </w:tc>
        <w:tc>
          <w:tcPr>
            <w:tcW w:w="960" w:type="dxa"/>
            <w:vAlign w:val="bottom"/>
            <w:gridSpan w:val="2"/>
          </w:tcPr>
          <w:p>
            <w:pPr>
              <w:spacing w:after="0"/>
              <w:rPr>
                <w:sz w:val="9"/>
                <w:szCs w:val="9"/>
                <w:color w:val="auto"/>
              </w:rPr>
            </w:pPr>
          </w:p>
        </w:tc>
        <w:tc>
          <w:tcPr>
            <w:tcW w:w="5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3980" w:type="dxa"/>
            <w:vAlign w:val="bottom"/>
            <w:gridSpan w:val="2"/>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(loss) per share—diluted</w:t>
            </w:r>
          </w:p>
        </w:tc>
        <w:tc>
          <w:tcPr>
            <w:tcW w:w="740" w:type="dxa"/>
            <w:vAlign w:val="bottom"/>
          </w:tcPr>
          <w:p>
            <w:pPr>
              <w:jc w:val="right"/>
              <w:ind w:right="578"/>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(0.43)</w:t>
            </w:r>
          </w:p>
        </w:tc>
        <w:tc>
          <w:tcPr>
            <w:tcW w:w="44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(0.70)</w:t>
            </w:r>
          </w:p>
        </w:tc>
        <w:tc>
          <w:tcPr>
            <w:tcW w:w="44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(0.60)</w:t>
            </w:r>
          </w:p>
        </w:tc>
        <w:tc>
          <w:tcPr>
            <w:tcW w:w="46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(0.18)</w:t>
            </w:r>
          </w:p>
        </w:tc>
        <w:tc>
          <w:tcPr>
            <w:tcW w:w="50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960" w:type="dxa"/>
            <w:vAlign w:val="bottom"/>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Weighted average shares used in computing per</w:t>
            </w:r>
          </w:p>
        </w:tc>
        <w:tc>
          <w:tcPr>
            <w:tcW w:w="42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amounts—basic</w:t>
            </w:r>
          </w:p>
        </w:tc>
        <w:tc>
          <w:tcPr>
            <w:tcW w:w="420" w:type="dxa"/>
            <w:vAlign w:val="bottom"/>
            <w:shd w:val="clear" w:color="auto" w:fill="CCEEFF"/>
          </w:tcPr>
          <w:p>
            <w:pPr>
              <w:spacing w:after="0"/>
              <w:rPr>
                <w:sz w:val="20"/>
                <w:szCs w:val="20"/>
                <w:color w:val="auto"/>
              </w:rPr>
            </w:pPr>
          </w:p>
        </w:tc>
        <w:tc>
          <w:tcPr>
            <w:tcW w:w="100" w:type="dxa"/>
            <w:vAlign w:val="bottom"/>
            <w:tcBorders>
              <w:right w:val="single" w:sz="8" w:color="CCEEFF"/>
            </w:tcBorders>
            <w:shd w:val="clear" w:color="auto" w:fill="CCEEFF"/>
          </w:tcPr>
          <w:p>
            <w:pPr>
              <w:spacing w:after="0"/>
              <w:rPr>
                <w:sz w:val="20"/>
                <w:szCs w:val="20"/>
                <w:color w:val="auto"/>
              </w:rPr>
            </w:pPr>
          </w:p>
        </w:tc>
        <w:tc>
          <w:tcPr>
            <w:tcW w:w="17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41,729</w:t>
            </w:r>
          </w:p>
        </w:tc>
        <w:tc>
          <w:tcPr>
            <w:tcW w:w="80" w:type="dxa"/>
            <w:vAlign w:val="bottom"/>
            <w:shd w:val="clear" w:color="auto" w:fill="CCEEFF"/>
          </w:tcPr>
          <w:p>
            <w:pPr>
              <w:spacing w:after="0"/>
              <w:rPr>
                <w:sz w:val="20"/>
                <w:szCs w:val="20"/>
                <w:color w:val="auto"/>
              </w:rPr>
            </w:pPr>
          </w:p>
        </w:tc>
        <w:tc>
          <w:tcPr>
            <w:tcW w:w="130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47,498</w:t>
            </w: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60" w:type="dxa"/>
            <w:vAlign w:val="bottom"/>
            <w:gridSpan w:val="4"/>
            <w:shd w:val="clear" w:color="auto" w:fill="CCEEFF"/>
          </w:tcPr>
          <w:p>
            <w:pPr>
              <w:jc w:val="center"/>
              <w:ind w:left="594"/>
              <w:spacing w:after="0"/>
              <w:rPr>
                <w:sz w:val="20"/>
                <w:szCs w:val="20"/>
                <w:color w:val="auto"/>
              </w:rPr>
            </w:pPr>
            <w:r>
              <w:rPr>
                <w:rFonts w:ascii="Times New Roman" w:cs="Times New Roman" w:eastAsia="Times New Roman" w:hAnsi="Times New Roman"/>
                <w:sz w:val="18"/>
                <w:szCs w:val="18"/>
                <w:color w:val="auto"/>
                <w:w w:val="96"/>
              </w:rPr>
              <w:t>47,538</w:t>
            </w:r>
          </w:p>
        </w:tc>
        <w:tc>
          <w:tcPr>
            <w:tcW w:w="24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64,555</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74,422</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05"/>
        </w:trPr>
        <w:tc>
          <w:tcPr>
            <w:tcW w:w="34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Weighted average shares used in computing per</w:t>
            </w: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3480" w:type="dxa"/>
            <w:vAlign w:val="bottom"/>
            <w:gridSpan w:val="3"/>
            <w:vMerge w:val="continue"/>
          </w:tcPr>
          <w:p>
            <w:pPr>
              <w:spacing w:after="0"/>
              <w:rPr>
                <w:sz w:val="5"/>
                <w:szCs w:val="5"/>
                <w:color w:val="auto"/>
              </w:rPr>
            </w:pPr>
          </w:p>
        </w:tc>
        <w:tc>
          <w:tcPr>
            <w:tcW w:w="420" w:type="dxa"/>
            <w:vAlign w:val="bottom"/>
          </w:tcPr>
          <w:p>
            <w:pPr>
              <w:spacing w:after="0"/>
              <w:rPr>
                <w:sz w:val="5"/>
                <w:szCs w:val="5"/>
                <w:color w:val="auto"/>
              </w:rPr>
            </w:pPr>
          </w:p>
        </w:tc>
        <w:tc>
          <w:tcPr>
            <w:tcW w:w="100" w:type="dxa"/>
            <w:vAlign w:val="bottom"/>
            <w:tcBorders>
              <w:right w:val="single" w:sz="8" w:color="808080"/>
            </w:tcBorders>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240" w:type="dxa"/>
            <w:vAlign w:val="bottom"/>
            <w:tcBorders>
              <w:right w:val="single" w:sz="8" w:color="808080"/>
            </w:tcBorders>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80" w:type="dxa"/>
            <w:vAlign w:val="bottom"/>
            <w:tcBorders>
              <w:right w:val="single" w:sz="8" w:color="808080"/>
            </w:tcBorders>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7"/>
        </w:trPr>
        <w:tc>
          <w:tcPr>
            <w:tcW w:w="3480" w:type="dxa"/>
            <w:vAlign w:val="bottom"/>
            <w:gridSpan w:val="3"/>
            <w:vMerge w:val="continue"/>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share amounts—diluted</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41,729</w:t>
            </w:r>
          </w:p>
        </w:tc>
        <w:tc>
          <w:tcPr>
            <w:tcW w:w="80" w:type="dxa"/>
            <w:vAlign w:val="bottom"/>
          </w:tcPr>
          <w:p>
            <w:pPr>
              <w:spacing w:after="0"/>
              <w:rPr>
                <w:sz w:val="19"/>
                <w:szCs w:val="19"/>
                <w:color w:val="auto"/>
              </w:rPr>
            </w:pPr>
          </w:p>
        </w:tc>
        <w:tc>
          <w:tcPr>
            <w:tcW w:w="13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47,498</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4"/>
          </w:tcPr>
          <w:p>
            <w:pPr>
              <w:jc w:val="center"/>
              <w:ind w:left="594"/>
              <w:spacing w:after="0"/>
              <w:rPr>
                <w:sz w:val="20"/>
                <w:szCs w:val="20"/>
                <w:color w:val="auto"/>
              </w:rPr>
            </w:pPr>
            <w:r>
              <w:rPr>
                <w:rFonts w:ascii="Times New Roman" w:cs="Times New Roman" w:eastAsia="Times New Roman" w:hAnsi="Times New Roman"/>
                <w:sz w:val="18"/>
                <w:szCs w:val="18"/>
                <w:color w:val="auto"/>
                <w:w w:val="96"/>
              </w:rPr>
              <w:t>47,538</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64,555</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76,696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8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gridSpan w:val="2"/>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640" w:type="dxa"/>
            <w:vAlign w:val="bottom"/>
          </w:tcPr>
          <w:p>
            <w:pPr>
              <w:spacing w:after="0"/>
              <w:rPr>
                <w:sz w:val="5"/>
                <w:szCs w:val="5"/>
                <w:color w:val="auto"/>
              </w:rPr>
            </w:pPr>
          </w:p>
        </w:tc>
        <w:tc>
          <w:tcPr>
            <w:tcW w:w="1820" w:type="dxa"/>
            <w:vAlign w:val="bottom"/>
          </w:tcPr>
          <w:p>
            <w:pPr>
              <w:spacing w:after="0"/>
              <w:rPr>
                <w:sz w:val="5"/>
                <w:szCs w:val="5"/>
                <w:color w:val="auto"/>
              </w:rPr>
            </w:pPr>
          </w:p>
        </w:tc>
        <w:tc>
          <w:tcPr>
            <w:tcW w:w="420" w:type="dxa"/>
            <w:vAlign w:val="bottom"/>
          </w:tcPr>
          <w:p>
            <w:pPr>
              <w:spacing w:after="0"/>
              <w:rPr>
                <w:sz w:val="5"/>
                <w:szCs w:val="5"/>
                <w:color w:val="auto"/>
              </w:rPr>
            </w:pPr>
          </w:p>
        </w:tc>
        <w:tc>
          <w:tcPr>
            <w:tcW w:w="100" w:type="dxa"/>
            <w:vAlign w:val="bottom"/>
            <w:tcBorders>
              <w:right w:val="single" w:sz="8" w:color="808080"/>
            </w:tcBorders>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240" w:type="dxa"/>
            <w:vAlign w:val="bottom"/>
            <w:tcBorders>
              <w:right w:val="single" w:sz="8" w:color="808080"/>
            </w:tcBorders>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80" w:type="dxa"/>
            <w:vAlign w:val="bottom"/>
            <w:tcBorders>
              <w:right w:val="single" w:sz="8" w:color="808080"/>
            </w:tcBorders>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640" w:type="dxa"/>
            <w:vAlign w:val="bottom"/>
            <w:tcBorders>
              <w:bottom w:val="single" w:sz="8" w:color="808080"/>
            </w:tcBorders>
          </w:tcPr>
          <w:p>
            <w:pPr>
              <w:spacing w:after="0"/>
              <w:rPr>
                <w:sz w:val="19"/>
                <w:szCs w:val="19"/>
                <w:color w:val="auto"/>
              </w:rPr>
            </w:pPr>
          </w:p>
        </w:tc>
        <w:tc>
          <w:tcPr>
            <w:tcW w:w="182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gridSpan w:val="2"/>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040" w:type="dxa"/>
            <w:vAlign w:val="bottom"/>
            <w:tcBorders>
              <w:bottom w:val="single" w:sz="8" w:color="808080"/>
            </w:tcBorders>
            <w:gridSpan w:val="2"/>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00" w:type="dxa"/>
            <w:vAlign w:val="bottom"/>
            <w:gridSpan w:val="2"/>
          </w:tcPr>
          <w:p>
            <w:pPr>
              <w:jc w:val="center"/>
              <w:ind w:right="672"/>
              <w:spacing w:after="0"/>
              <w:rPr>
                <w:sz w:val="20"/>
                <w:szCs w:val="20"/>
                <w:color w:val="auto"/>
              </w:rPr>
            </w:pPr>
            <w:r>
              <w:rPr>
                <w:rFonts w:ascii="Times New Roman" w:cs="Times New Roman" w:eastAsia="Times New Roman" w:hAnsi="Times New Roman"/>
                <w:sz w:val="14"/>
                <w:szCs w:val="14"/>
                <w:b w:val="1"/>
                <w:bCs w:val="1"/>
                <w:color w:val="auto"/>
                <w:w w:val="93"/>
              </w:rPr>
              <w:t>Eleven</w:t>
            </w: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560" w:type="dxa"/>
            <w:vAlign w:val="bottom"/>
            <w:gridSpan w:val="8"/>
          </w:tcPr>
          <w:p>
            <w:pPr>
              <w:jc w:val="center"/>
              <w:ind w:right="720"/>
              <w:spacing w:after="0"/>
              <w:rPr>
                <w:sz w:val="20"/>
                <w:szCs w:val="20"/>
                <w:color w:val="auto"/>
              </w:rPr>
            </w:pPr>
            <w:r>
              <w:rPr>
                <w:rFonts w:ascii="Times New Roman" w:cs="Times New Roman" w:eastAsia="Times New Roman" w:hAnsi="Times New Roman"/>
                <w:sz w:val="14"/>
                <w:szCs w:val="14"/>
                <w:b w:val="1"/>
                <w:bCs w:val="1"/>
                <w:color w:val="auto"/>
                <w:w w:val="96"/>
              </w:rPr>
              <w:t>Year ended December 31,</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820" w:type="dxa"/>
            <w:vAlign w:val="bottom"/>
            <w:gridSpan w:val="4"/>
          </w:tcPr>
          <w:p>
            <w:pPr>
              <w:jc w:val="center"/>
              <w:ind w:right="152"/>
              <w:spacing w:after="0" w:line="132" w:lineRule="exact"/>
              <w:rPr>
                <w:sz w:val="20"/>
                <w:szCs w:val="20"/>
                <w:color w:val="auto"/>
              </w:rPr>
            </w:pPr>
            <w:r>
              <w:rPr>
                <w:rFonts w:ascii="Times New Roman" w:cs="Times New Roman" w:eastAsia="Times New Roman" w:hAnsi="Times New Roman"/>
                <w:sz w:val="14"/>
                <w:szCs w:val="14"/>
                <w:b w:val="1"/>
                <w:bCs w:val="1"/>
                <w:color w:val="auto"/>
                <w:w w:val="98"/>
              </w:rPr>
              <w:t>months ended</w:t>
            </w:r>
          </w:p>
        </w:tc>
        <w:tc>
          <w:tcPr>
            <w:tcW w:w="200" w:type="dxa"/>
            <w:vAlign w:val="bottom"/>
            <w:tcBorders>
              <w:bottom w:val="single" w:sz="8" w:color="808080"/>
            </w:tcBorders>
          </w:tcPr>
          <w:p>
            <w:pPr>
              <w:spacing w:after="0"/>
              <w:rPr>
                <w:sz w:val="12"/>
                <w:szCs w:val="12"/>
                <w:color w:val="auto"/>
              </w:rPr>
            </w:pPr>
          </w:p>
        </w:tc>
        <w:tc>
          <w:tcPr>
            <w:tcW w:w="220" w:type="dxa"/>
            <w:vAlign w:val="bottom"/>
            <w:tcBorders>
              <w:bottom w:val="single" w:sz="8" w:color="808080"/>
            </w:tcBorders>
          </w:tcPr>
          <w:p>
            <w:pPr>
              <w:spacing w:after="0"/>
              <w:rPr>
                <w:sz w:val="12"/>
                <w:szCs w:val="12"/>
                <w:color w:val="auto"/>
              </w:rPr>
            </w:pPr>
          </w:p>
        </w:tc>
        <w:tc>
          <w:tcPr>
            <w:tcW w:w="80" w:type="dxa"/>
            <w:vAlign w:val="bottom"/>
            <w:tcBorders>
              <w:bottom w:val="single" w:sz="8" w:color="808080"/>
            </w:tcBorders>
          </w:tcPr>
          <w:p>
            <w:pPr>
              <w:spacing w:after="0"/>
              <w:rPr>
                <w:sz w:val="12"/>
                <w:szCs w:val="12"/>
                <w:color w:val="auto"/>
              </w:rPr>
            </w:pPr>
          </w:p>
        </w:tc>
        <w:tc>
          <w:tcPr>
            <w:tcW w:w="140" w:type="dxa"/>
            <w:vAlign w:val="bottom"/>
            <w:tcBorders>
              <w:bottom w:val="single" w:sz="8" w:color="808080"/>
            </w:tcBorders>
          </w:tcPr>
          <w:p>
            <w:pPr>
              <w:spacing w:after="0"/>
              <w:rPr>
                <w:sz w:val="12"/>
                <w:szCs w:val="12"/>
                <w:color w:val="auto"/>
              </w:rPr>
            </w:pPr>
          </w:p>
        </w:tc>
        <w:tc>
          <w:tcPr>
            <w:tcW w:w="680" w:type="dxa"/>
            <w:vAlign w:val="bottom"/>
            <w:tcBorders>
              <w:bottom w:val="single" w:sz="8" w:color="808080"/>
            </w:tcBorders>
          </w:tcPr>
          <w:p>
            <w:pPr>
              <w:spacing w:after="0"/>
              <w:rPr>
                <w:sz w:val="12"/>
                <w:szCs w:val="12"/>
                <w:color w:val="auto"/>
              </w:rPr>
            </w:pPr>
          </w:p>
        </w:tc>
        <w:tc>
          <w:tcPr>
            <w:tcW w:w="80" w:type="dxa"/>
            <w:vAlign w:val="bottom"/>
            <w:tcBorders>
              <w:bottom w:val="single" w:sz="8" w:color="808080"/>
            </w:tcBorders>
          </w:tcPr>
          <w:p>
            <w:pPr>
              <w:spacing w:after="0"/>
              <w:rPr>
                <w:sz w:val="12"/>
                <w:szCs w:val="12"/>
                <w:color w:val="auto"/>
              </w:rPr>
            </w:pPr>
          </w:p>
        </w:tc>
        <w:tc>
          <w:tcPr>
            <w:tcW w:w="180" w:type="dxa"/>
            <w:vAlign w:val="bottom"/>
            <w:tcBorders>
              <w:bottom w:val="single" w:sz="8" w:color="808080"/>
            </w:tcBorders>
          </w:tcPr>
          <w:p>
            <w:pPr>
              <w:spacing w:after="0"/>
              <w:rPr>
                <w:sz w:val="12"/>
                <w:szCs w:val="12"/>
                <w:color w:val="auto"/>
              </w:rPr>
            </w:pPr>
          </w:p>
        </w:tc>
        <w:tc>
          <w:tcPr>
            <w:tcW w:w="220" w:type="dxa"/>
            <w:vAlign w:val="bottom"/>
            <w:tcBorders>
              <w:bottom w:val="single" w:sz="8" w:color="808080"/>
            </w:tcBorders>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200" w:type="dxa"/>
            <w:vAlign w:val="bottom"/>
            <w:tcBorders>
              <w:bottom w:val="single" w:sz="8" w:color="808080"/>
            </w:tcBorders>
          </w:tcPr>
          <w:p>
            <w:pPr>
              <w:spacing w:after="0"/>
              <w:rPr>
                <w:sz w:val="12"/>
                <w:szCs w:val="12"/>
                <w:color w:val="auto"/>
              </w:rPr>
            </w:pPr>
          </w:p>
        </w:tc>
        <w:tc>
          <w:tcPr>
            <w:tcW w:w="880" w:type="dxa"/>
            <w:vAlign w:val="bottom"/>
            <w:tcBorders>
              <w:bottom w:val="single" w:sz="8" w:color="808080"/>
            </w:tcBorders>
          </w:tcPr>
          <w:p>
            <w:pPr>
              <w:spacing w:after="0"/>
              <w:rPr>
                <w:sz w:val="12"/>
                <w:szCs w:val="12"/>
                <w:color w:val="auto"/>
              </w:rPr>
            </w:pPr>
          </w:p>
        </w:tc>
        <w:tc>
          <w:tcPr>
            <w:tcW w:w="80" w:type="dxa"/>
            <w:vAlign w:val="bottom"/>
            <w:tcBorders>
              <w:bottom w:val="single" w:sz="8" w:color="808080"/>
            </w:tcBorders>
          </w:tcPr>
          <w:p>
            <w:pPr>
              <w:spacing w:after="0"/>
              <w:rPr>
                <w:sz w:val="12"/>
                <w:szCs w:val="12"/>
                <w:color w:val="auto"/>
              </w:rPr>
            </w:pPr>
          </w:p>
        </w:tc>
        <w:tc>
          <w:tcPr>
            <w:tcW w:w="120" w:type="dxa"/>
            <w:vAlign w:val="bottom"/>
            <w:tcBorders>
              <w:bottom w:val="single" w:sz="8" w:color="808080"/>
            </w:tcBorders>
          </w:tcPr>
          <w:p>
            <w:pPr>
              <w:spacing w:after="0"/>
              <w:rPr>
                <w:sz w:val="12"/>
                <w:szCs w:val="12"/>
                <w:color w:val="auto"/>
              </w:rPr>
            </w:pPr>
          </w:p>
        </w:tc>
        <w:tc>
          <w:tcPr>
            <w:tcW w:w="80" w:type="dxa"/>
            <w:vAlign w:val="bottom"/>
            <w:tcBorders>
              <w:bottom w:val="single" w:sz="8" w:color="808080"/>
            </w:tcBorders>
          </w:tcPr>
          <w:p>
            <w:pPr>
              <w:spacing w:after="0"/>
              <w:rPr>
                <w:sz w:val="12"/>
                <w:szCs w:val="12"/>
                <w:color w:val="auto"/>
              </w:rPr>
            </w:pPr>
          </w:p>
        </w:tc>
        <w:tc>
          <w:tcPr>
            <w:tcW w:w="240" w:type="dxa"/>
            <w:vAlign w:val="bottom"/>
            <w:tcBorders>
              <w:bottom w:val="single" w:sz="8" w:color="808080"/>
            </w:tcBorders>
          </w:tcPr>
          <w:p>
            <w:pPr>
              <w:spacing w:after="0"/>
              <w:rPr>
                <w:sz w:val="12"/>
                <w:szCs w:val="12"/>
                <w:color w:val="auto"/>
              </w:rPr>
            </w:pPr>
          </w:p>
        </w:tc>
        <w:tc>
          <w:tcPr>
            <w:tcW w:w="160" w:type="dxa"/>
            <w:vAlign w:val="bottom"/>
            <w:tcBorders>
              <w:bottom w:val="single" w:sz="8" w:color="808080"/>
            </w:tcBorders>
          </w:tcPr>
          <w:p>
            <w:pPr>
              <w:spacing w:after="0"/>
              <w:rPr>
                <w:sz w:val="12"/>
                <w:szCs w:val="12"/>
                <w:color w:val="auto"/>
              </w:rPr>
            </w:pPr>
          </w:p>
        </w:tc>
        <w:tc>
          <w:tcPr>
            <w:tcW w:w="880" w:type="dxa"/>
            <w:vAlign w:val="bottom"/>
            <w:tcBorders>
              <w:bottom w:val="single" w:sz="8" w:color="808080"/>
            </w:tcBorders>
          </w:tcPr>
          <w:p>
            <w:pPr>
              <w:spacing w:after="0"/>
              <w:rPr>
                <w:sz w:val="12"/>
                <w:szCs w:val="12"/>
                <w:color w:val="auto"/>
              </w:rPr>
            </w:pPr>
          </w:p>
        </w:tc>
        <w:tc>
          <w:tcPr>
            <w:tcW w:w="120" w:type="dxa"/>
            <w:vAlign w:val="bottom"/>
            <w:tcBorders>
              <w:bottom w:val="single" w:sz="8" w:color="808080"/>
            </w:tcBorders>
          </w:tcPr>
          <w:p>
            <w:pPr>
              <w:spacing w:after="0"/>
              <w:rPr>
                <w:sz w:val="12"/>
                <w:szCs w:val="12"/>
                <w:color w:val="auto"/>
              </w:rPr>
            </w:pPr>
          </w:p>
        </w:tc>
        <w:tc>
          <w:tcPr>
            <w:tcW w:w="100" w:type="dxa"/>
            <w:vAlign w:val="bottom"/>
            <w:tcBorders>
              <w:bottom w:val="single" w:sz="8" w:color="808080"/>
            </w:tcBorders>
          </w:tcPr>
          <w:p>
            <w:pPr>
              <w:spacing w:after="0"/>
              <w:rPr>
                <w:sz w:val="12"/>
                <w:szCs w:val="12"/>
                <w:color w:val="auto"/>
              </w:rPr>
            </w:pPr>
          </w:p>
        </w:tc>
        <w:tc>
          <w:tcPr>
            <w:tcW w:w="80" w:type="dxa"/>
            <w:vAlign w:val="bottom"/>
            <w:tcBorders>
              <w:bottom w:val="single" w:sz="8" w:color="808080"/>
            </w:tcBorders>
          </w:tcPr>
          <w:p>
            <w:pPr>
              <w:spacing w:after="0"/>
              <w:rPr>
                <w:sz w:val="12"/>
                <w:szCs w:val="12"/>
                <w:color w:val="auto"/>
              </w:rPr>
            </w:pPr>
          </w:p>
        </w:tc>
        <w:tc>
          <w:tcPr>
            <w:tcW w:w="40" w:type="dxa"/>
            <w:vAlign w:val="bottom"/>
            <w:tcBorders>
              <w:bottom w:val="single" w:sz="8" w:color="808080"/>
            </w:tcBorders>
          </w:tcPr>
          <w:p>
            <w:pPr>
              <w:spacing w:after="0"/>
              <w:rPr>
                <w:sz w:val="12"/>
                <w:szCs w:val="12"/>
                <w:color w:val="auto"/>
              </w:rPr>
            </w:pPr>
          </w:p>
        </w:tc>
        <w:tc>
          <w:tcPr>
            <w:tcW w:w="180" w:type="dxa"/>
            <w:vAlign w:val="bottom"/>
            <w:tcBorders>
              <w:bottom w:val="single" w:sz="8" w:color="808080"/>
            </w:tcBorders>
          </w:tcPr>
          <w:p>
            <w:pPr>
              <w:spacing w:after="0"/>
              <w:rPr>
                <w:sz w:val="12"/>
                <w:szCs w:val="12"/>
                <w:color w:val="auto"/>
              </w:rPr>
            </w:pPr>
          </w:p>
        </w:tc>
        <w:tc>
          <w:tcPr>
            <w:tcW w:w="140" w:type="dxa"/>
            <w:vAlign w:val="bottom"/>
            <w:tcBorders>
              <w:bottom w:val="single" w:sz="8" w:color="808080"/>
            </w:tcBorders>
          </w:tcPr>
          <w:p>
            <w:pPr>
              <w:spacing w:after="0"/>
              <w:rPr>
                <w:sz w:val="12"/>
                <w:szCs w:val="12"/>
                <w:color w:val="auto"/>
              </w:rPr>
            </w:pPr>
          </w:p>
        </w:tc>
        <w:tc>
          <w:tcPr>
            <w:tcW w:w="780" w:type="dxa"/>
            <w:vAlign w:val="bottom"/>
            <w:tcBorders>
              <w:bottom w:val="single" w:sz="8" w:color="808080"/>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820" w:type="dxa"/>
            <w:vAlign w:val="bottom"/>
            <w:gridSpan w:val="4"/>
          </w:tcPr>
          <w:p>
            <w:pPr>
              <w:jc w:val="center"/>
              <w:ind w:right="152"/>
              <w:spacing w:after="0" w:line="115" w:lineRule="exact"/>
              <w:rPr>
                <w:sz w:val="20"/>
                <w:szCs w:val="20"/>
                <w:color w:val="auto"/>
              </w:rPr>
            </w:pPr>
            <w:r>
              <w:rPr>
                <w:rFonts w:ascii="Times New Roman" w:cs="Times New Roman" w:eastAsia="Times New Roman" w:hAnsi="Times New Roman"/>
                <w:sz w:val="12"/>
                <w:szCs w:val="12"/>
                <w:b w:val="1"/>
                <w:bCs w:val="1"/>
                <w:color w:val="auto"/>
              </w:rPr>
              <w:t>December 31,</w:t>
            </w: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center"/>
              <w:ind w:right="434"/>
              <w:spacing w:after="0"/>
              <w:rPr>
                <w:sz w:val="20"/>
                <w:szCs w:val="20"/>
                <w:color w:val="auto"/>
              </w:rPr>
            </w:pPr>
            <w:r>
              <w:rPr>
                <w:rFonts w:ascii="Times New Roman" w:cs="Times New Roman" w:eastAsia="Times New Roman" w:hAnsi="Times New Roman"/>
                <w:sz w:val="14"/>
                <w:szCs w:val="14"/>
                <w:b w:val="1"/>
                <w:bCs w:val="1"/>
                <w:color w:val="auto"/>
                <w:w w:val="92"/>
              </w:rPr>
              <w:t>1998</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w w:val="92"/>
              </w:rPr>
              <w:t>1999</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2000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2001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w w:val="99"/>
              </w:rPr>
              <w:t>2002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82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60" w:type="dxa"/>
            <w:vAlign w:val="bottom"/>
            <w:gridSpan w:val="2"/>
          </w:tcPr>
          <w:p>
            <w:pPr>
              <w:spacing w:after="0"/>
              <w:rPr>
                <w:sz w:val="9"/>
                <w:szCs w:val="9"/>
                <w:color w:val="auto"/>
              </w:rPr>
            </w:pPr>
          </w:p>
        </w:tc>
        <w:tc>
          <w:tcPr>
            <w:tcW w:w="240" w:type="dxa"/>
            <w:vAlign w:val="bottom"/>
            <w:tcBorders>
              <w:bottom w:val="single" w:sz="8" w:color="808080"/>
            </w:tcBorders>
            <w:gridSpan w:val="2"/>
          </w:tcPr>
          <w:p>
            <w:pPr>
              <w:spacing w:after="0"/>
              <w:rPr>
                <w:sz w:val="9"/>
                <w:szCs w:val="9"/>
                <w:color w:val="auto"/>
              </w:rPr>
            </w:pPr>
          </w:p>
        </w:tc>
        <w:tc>
          <w:tcPr>
            <w:tcW w:w="1080" w:type="dxa"/>
            <w:vAlign w:val="bottom"/>
            <w:tcBorders>
              <w:bottom w:val="single" w:sz="8" w:color="808080"/>
            </w:tcBorders>
            <w:gridSpan w:val="2"/>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660" w:type="dxa"/>
            <w:vAlign w:val="bottom"/>
            <w:gridSpan w:val="7"/>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w w:val="98"/>
              </w:rPr>
              <w:t>(amounts in thousands)</w:t>
            </w: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16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Calculation of Operating EBITDA(1)</w:t>
            </w:r>
          </w:p>
        </w:tc>
        <w:tc>
          <w:tcPr>
            <w:tcW w:w="4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4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Operating income</w:t>
            </w:r>
          </w:p>
        </w:tc>
        <w:tc>
          <w:tcPr>
            <w:tcW w:w="420" w:type="dxa"/>
            <w:vAlign w:val="bottom"/>
          </w:tcPr>
          <w:p>
            <w:pPr>
              <w:jc w:val="right"/>
              <w:ind w:right="26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5,484</w:t>
            </w:r>
          </w:p>
        </w:tc>
        <w:tc>
          <w:tcPr>
            <w:tcW w:w="240" w:type="dxa"/>
            <w:vAlign w:val="bottom"/>
          </w:tcPr>
          <w:p>
            <w:pPr>
              <w:spacing w:after="0"/>
              <w:rPr>
                <w:sz w:val="21"/>
                <w:szCs w:val="21"/>
                <w:color w:val="auto"/>
              </w:rPr>
            </w:pPr>
          </w:p>
        </w:tc>
        <w:tc>
          <w:tcPr>
            <w:tcW w:w="200" w:type="dxa"/>
            <w:vAlign w:val="bottom"/>
          </w:tcPr>
          <w:p>
            <w:pPr>
              <w:jc w:val="right"/>
              <w:ind w:right="76"/>
              <w:spacing w:after="0"/>
              <w:rPr>
                <w:sz w:val="20"/>
                <w:szCs w:val="20"/>
                <w:color w:val="auto"/>
              </w:rPr>
            </w:pPr>
            <w:r>
              <w:rPr>
                <w:rFonts w:ascii="Times New Roman" w:cs="Times New Roman" w:eastAsia="Times New Roman" w:hAnsi="Times New Roman"/>
                <w:sz w:val="11"/>
                <w:szCs w:val="11"/>
                <w:color w:val="auto"/>
                <w:w w:val="71"/>
              </w:rPr>
              <w:t>$</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2,455</w:t>
            </w:r>
          </w:p>
        </w:tc>
        <w:tc>
          <w:tcPr>
            <w:tcW w:w="80" w:type="dxa"/>
            <w:vAlign w:val="bottom"/>
          </w:tcPr>
          <w:p>
            <w:pPr>
              <w:spacing w:after="0"/>
              <w:rPr>
                <w:sz w:val="21"/>
                <w:szCs w:val="21"/>
                <w:color w:val="auto"/>
              </w:rPr>
            </w:pPr>
          </w:p>
        </w:tc>
        <w:tc>
          <w:tcPr>
            <w:tcW w:w="400" w:type="dxa"/>
            <w:vAlign w:val="bottom"/>
            <w:gridSpan w:val="2"/>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21,865</w:t>
            </w:r>
          </w:p>
        </w:tc>
        <w:tc>
          <w:tcPr>
            <w:tcW w:w="80" w:type="dxa"/>
            <w:vAlign w:val="bottom"/>
          </w:tcPr>
          <w:p>
            <w:pPr>
              <w:spacing w:after="0"/>
              <w:rPr>
                <w:sz w:val="21"/>
                <w:szCs w:val="21"/>
                <w:color w:val="auto"/>
              </w:rPr>
            </w:pPr>
          </w:p>
        </w:tc>
        <w:tc>
          <w:tcPr>
            <w:tcW w:w="4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54,223</w:t>
            </w:r>
          </w:p>
        </w:tc>
        <w:tc>
          <w:tcPr>
            <w:tcW w:w="120" w:type="dxa"/>
            <w:vAlign w:val="bottom"/>
          </w:tcPr>
          <w:p>
            <w:pPr>
              <w:spacing w:after="0"/>
              <w:rPr>
                <w:sz w:val="21"/>
                <w:szCs w:val="21"/>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80,648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4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Depreciation and other amortization</w:t>
            </w:r>
          </w:p>
        </w:tc>
        <w:tc>
          <w:tcPr>
            <w:tcW w:w="420" w:type="dxa"/>
            <w:vAlign w:val="bottom"/>
            <w:shd w:val="clear" w:color="auto" w:fill="CCEEFF"/>
          </w:tcPr>
          <w:p>
            <w:pPr>
              <w:spacing w:after="0"/>
              <w:rPr>
                <w:sz w:val="21"/>
                <w:szCs w:val="21"/>
                <w:color w:val="auto"/>
              </w:rPr>
            </w:pPr>
          </w:p>
        </w:tc>
        <w:tc>
          <w:tcPr>
            <w:tcW w:w="100" w:type="dxa"/>
            <w:vAlign w:val="bottom"/>
            <w:tcBorders>
              <w:right w:val="single" w:sz="8" w:color="CCEEFF"/>
            </w:tcBorders>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8,270</w:t>
            </w:r>
          </w:p>
        </w:tc>
        <w:tc>
          <w:tcPr>
            <w:tcW w:w="24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16,183</w:t>
            </w:r>
          </w:p>
        </w:tc>
        <w:tc>
          <w:tcPr>
            <w:tcW w:w="8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26,265</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30,698</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41,768</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4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Amortization of purchased intangibles</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43,766</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61,617</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49,879</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43,506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24,707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gridSpan w:val="2"/>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8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4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EBITDA</w:t>
            </w:r>
          </w:p>
        </w:tc>
        <w:tc>
          <w:tcPr>
            <w:tcW w:w="420" w:type="dxa"/>
            <w:vAlign w:val="bottom"/>
            <w:shd w:val="clear" w:color="auto" w:fill="CCEEFF"/>
          </w:tcPr>
          <w:p>
            <w:pPr>
              <w:spacing w:after="0"/>
              <w:rPr>
                <w:sz w:val="21"/>
                <w:szCs w:val="21"/>
                <w:color w:val="auto"/>
              </w:rPr>
            </w:pPr>
          </w:p>
        </w:tc>
        <w:tc>
          <w:tcPr>
            <w:tcW w:w="100" w:type="dxa"/>
            <w:vAlign w:val="bottom"/>
            <w:tcBorders>
              <w:right w:val="single" w:sz="8" w:color="CCEEFF"/>
            </w:tcBorders>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57,520</w:t>
            </w:r>
          </w:p>
        </w:tc>
        <w:tc>
          <w:tcPr>
            <w:tcW w:w="24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80,255</w:t>
            </w:r>
          </w:p>
        </w:tc>
        <w:tc>
          <w:tcPr>
            <w:tcW w:w="8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98,009</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128,427</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147,123</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4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Plus change in deferred revenue</w:t>
            </w: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20,729</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91,149</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40,845</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39,363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30,515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60" w:type="dxa"/>
            <w:vAlign w:val="bottom"/>
            <w:gridSpan w:val="2"/>
            <w:shd w:val="clear" w:color="auto" w:fill="CCEEFF"/>
          </w:tcPr>
          <w:p>
            <w:pPr>
              <w:ind w:left="200"/>
              <w:spacing w:after="0" w:line="203" w:lineRule="exact"/>
              <w:rPr>
                <w:sz w:val="20"/>
                <w:szCs w:val="20"/>
                <w:color w:val="auto"/>
              </w:rPr>
            </w:pPr>
            <w:r>
              <w:rPr>
                <w:rFonts w:ascii="Times New Roman" w:cs="Times New Roman" w:eastAsia="Times New Roman" w:hAnsi="Times New Roman"/>
                <w:sz w:val="18"/>
                <w:szCs w:val="18"/>
                <w:color w:val="auto"/>
              </w:rPr>
              <w:t>Less change in redemption settlement</w:t>
            </w:r>
          </w:p>
        </w:tc>
        <w:tc>
          <w:tcPr>
            <w:tcW w:w="42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assets</w:t>
            </w:r>
          </w:p>
        </w:tc>
        <w:tc>
          <w:tcPr>
            <w:tcW w:w="420" w:type="dxa"/>
            <w:vAlign w:val="bottom"/>
            <w:shd w:val="clear" w:color="auto" w:fill="CCEEFF"/>
          </w:tcPr>
          <w:p>
            <w:pPr>
              <w:spacing w:after="0"/>
              <w:rPr>
                <w:sz w:val="20"/>
                <w:szCs w:val="20"/>
                <w:color w:val="auto"/>
              </w:rPr>
            </w:pPr>
          </w:p>
        </w:tc>
        <w:tc>
          <w:tcPr>
            <w:tcW w:w="100" w:type="dxa"/>
            <w:vAlign w:val="bottom"/>
            <w:tcBorders>
              <w:right w:val="single" w:sz="8" w:color="CCEEFF"/>
            </w:tcBorders>
            <w:shd w:val="clear" w:color="auto" w:fill="CCEEFF"/>
          </w:tcPr>
          <w:p>
            <w:pPr>
              <w:spacing w:after="0"/>
              <w:rPr>
                <w:sz w:val="20"/>
                <w:szCs w:val="20"/>
                <w:color w:val="auto"/>
              </w:rPr>
            </w:pPr>
          </w:p>
        </w:tc>
        <w:tc>
          <w:tcPr>
            <w:tcW w:w="1300" w:type="dxa"/>
            <w:vAlign w:val="bottom"/>
            <w:tcBorders>
              <w:right w:val="single" w:sz="8" w:color="CCEEFF"/>
            </w:tcBorders>
            <w:gridSpan w:val="2"/>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(11,838)</w:t>
            </w: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(63,472)</w:t>
            </w:r>
          </w:p>
        </w:tc>
        <w:tc>
          <w:tcPr>
            <w:tcW w:w="180" w:type="dxa"/>
            <w:vAlign w:val="bottom"/>
            <w:tcBorders>
              <w:right w:val="single" w:sz="8" w:color="CCEEFF"/>
            </w:tcBorders>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(18,357)</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1,677</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(15,963)</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18"/>
        </w:trPr>
        <w:tc>
          <w:tcPr>
            <w:tcW w:w="1660" w:type="dxa"/>
            <w:vAlign w:val="bottom"/>
            <w:gridSpan w:val="2"/>
          </w:tcPr>
          <w:p>
            <w:pPr>
              <w:spacing w:after="0"/>
              <w:rPr>
                <w:sz w:val="10"/>
                <w:szCs w:val="10"/>
                <w:color w:val="auto"/>
              </w:rPr>
            </w:pPr>
          </w:p>
        </w:tc>
        <w:tc>
          <w:tcPr>
            <w:tcW w:w="1820" w:type="dxa"/>
            <w:vAlign w:val="bottom"/>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gridSpan w:val="2"/>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3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Operating EBITDA</w:t>
            </w:r>
          </w:p>
        </w:tc>
        <w:tc>
          <w:tcPr>
            <w:tcW w:w="420" w:type="dxa"/>
            <w:vAlign w:val="bottom"/>
          </w:tcPr>
          <w:p>
            <w:pPr>
              <w:jc w:val="right"/>
              <w:ind w:right="26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66,411</w:t>
            </w:r>
          </w:p>
        </w:tc>
        <w:tc>
          <w:tcPr>
            <w:tcW w:w="240" w:type="dxa"/>
            <w:vAlign w:val="bottom"/>
          </w:tcPr>
          <w:p>
            <w:pPr>
              <w:spacing w:after="0"/>
              <w:rPr>
                <w:sz w:val="24"/>
                <w:szCs w:val="24"/>
                <w:color w:val="auto"/>
              </w:rPr>
            </w:pPr>
          </w:p>
        </w:tc>
        <w:tc>
          <w:tcPr>
            <w:tcW w:w="200" w:type="dxa"/>
            <w:vAlign w:val="bottom"/>
          </w:tcPr>
          <w:p>
            <w:pPr>
              <w:jc w:val="right"/>
              <w:ind w:right="76"/>
              <w:spacing w:after="0"/>
              <w:rPr>
                <w:sz w:val="20"/>
                <w:szCs w:val="20"/>
                <w:color w:val="auto"/>
              </w:rPr>
            </w:pPr>
            <w:r>
              <w:rPr>
                <w:rFonts w:ascii="Times New Roman" w:cs="Times New Roman" w:eastAsia="Times New Roman" w:hAnsi="Times New Roman"/>
                <w:sz w:val="11"/>
                <w:szCs w:val="11"/>
                <w:color w:val="auto"/>
                <w:w w:val="71"/>
              </w:rPr>
              <w:t>$</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107,932</w:t>
            </w:r>
          </w:p>
        </w:tc>
        <w:tc>
          <w:tcPr>
            <w:tcW w:w="80" w:type="dxa"/>
            <w:vAlign w:val="bottom"/>
          </w:tcPr>
          <w:p>
            <w:pPr>
              <w:spacing w:after="0"/>
              <w:rPr>
                <w:sz w:val="24"/>
                <w:szCs w:val="24"/>
                <w:color w:val="auto"/>
              </w:rPr>
            </w:pPr>
          </w:p>
        </w:tc>
        <w:tc>
          <w:tcPr>
            <w:tcW w:w="400" w:type="dxa"/>
            <w:vAlign w:val="bottom"/>
            <w:gridSpan w:val="2"/>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120,497</w:t>
            </w:r>
          </w:p>
        </w:tc>
        <w:tc>
          <w:tcPr>
            <w:tcW w:w="80" w:type="dxa"/>
            <w:vAlign w:val="bottom"/>
          </w:tcPr>
          <w:p>
            <w:pPr>
              <w:spacing w:after="0"/>
              <w:rPr>
                <w:sz w:val="24"/>
                <w:szCs w:val="24"/>
                <w:color w:val="auto"/>
              </w:rPr>
            </w:pPr>
          </w:p>
        </w:tc>
        <w:tc>
          <w:tcPr>
            <w:tcW w:w="4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169,467</w:t>
            </w:r>
          </w:p>
        </w:tc>
        <w:tc>
          <w:tcPr>
            <w:tcW w:w="120" w:type="dxa"/>
            <w:vAlign w:val="bottom"/>
          </w:tcPr>
          <w:p>
            <w:pPr>
              <w:spacing w:after="0"/>
              <w:rPr>
                <w:sz w:val="24"/>
                <w:szCs w:val="24"/>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161,675</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8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640" w:type="dxa"/>
            <w:vAlign w:val="bottom"/>
          </w:tcPr>
          <w:p>
            <w:pPr>
              <w:spacing w:after="0"/>
              <w:rPr>
                <w:sz w:val="5"/>
                <w:szCs w:val="5"/>
                <w:color w:val="auto"/>
              </w:rPr>
            </w:pPr>
          </w:p>
        </w:tc>
        <w:tc>
          <w:tcPr>
            <w:tcW w:w="1820" w:type="dxa"/>
            <w:vAlign w:val="bottom"/>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100" w:type="dxa"/>
            <w:vAlign w:val="bottom"/>
            <w:tcBorders>
              <w:right w:val="single" w:sz="8" w:color="808080"/>
            </w:tcBorders>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Borders>
              <w:right w:val="single" w:sz="8" w:color="808080"/>
            </w:tcBorders>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240" w:type="dxa"/>
            <w:vAlign w:val="bottom"/>
            <w:tcBorders>
              <w:right w:val="single" w:sz="8" w:color="808080"/>
            </w:tcBorders>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18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financial information</w:t>
            </w:r>
          </w:p>
        </w:tc>
        <w:tc>
          <w:tcPr>
            <w:tcW w:w="4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420" w:type="dxa"/>
            <w:vAlign w:val="bottom"/>
          </w:tcPr>
          <w:p>
            <w:pPr>
              <w:jc w:val="right"/>
              <w:ind w:right="26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9,311</w:t>
            </w:r>
          </w:p>
        </w:tc>
        <w:tc>
          <w:tcPr>
            <w:tcW w:w="240" w:type="dxa"/>
            <w:vAlign w:val="bottom"/>
          </w:tcPr>
          <w:p>
            <w:pPr>
              <w:spacing w:after="0"/>
              <w:rPr>
                <w:sz w:val="18"/>
                <w:szCs w:val="18"/>
                <w:color w:val="auto"/>
              </w:rPr>
            </w:pPr>
          </w:p>
        </w:tc>
        <w:tc>
          <w:tcPr>
            <w:tcW w:w="200" w:type="dxa"/>
            <w:vAlign w:val="bottom"/>
          </w:tcPr>
          <w:p>
            <w:pPr>
              <w:jc w:val="right"/>
              <w:ind w:right="76"/>
              <w:spacing w:after="0"/>
              <w:rPr>
                <w:sz w:val="20"/>
                <w:szCs w:val="20"/>
                <w:color w:val="auto"/>
              </w:rPr>
            </w:pPr>
            <w:r>
              <w:rPr>
                <w:rFonts w:ascii="Times New Roman" w:cs="Times New Roman" w:eastAsia="Times New Roman" w:hAnsi="Times New Roman"/>
                <w:sz w:val="11"/>
                <w:szCs w:val="11"/>
                <w:color w:val="auto"/>
                <w:w w:val="71"/>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251,638</w:t>
            </w:r>
          </w:p>
        </w:tc>
        <w:tc>
          <w:tcPr>
            <w:tcW w:w="80" w:type="dxa"/>
            <w:vAlign w:val="bottom"/>
          </w:tcPr>
          <w:p>
            <w:pPr>
              <w:spacing w:after="0"/>
              <w:rPr>
                <w:sz w:val="18"/>
                <w:szCs w:val="18"/>
                <w:color w:val="auto"/>
              </w:rPr>
            </w:pPr>
          </w:p>
        </w:tc>
        <w:tc>
          <w:tcPr>
            <w:tcW w:w="400" w:type="dxa"/>
            <w:vAlign w:val="bottom"/>
            <w:gridSpan w:val="2"/>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87,183</w:t>
            </w:r>
          </w:p>
        </w:tc>
        <w:tc>
          <w:tcPr>
            <w:tcW w:w="80" w:type="dxa"/>
            <w:vAlign w:val="bottom"/>
          </w:tcPr>
          <w:p>
            <w:pPr>
              <w:spacing w:after="0"/>
              <w:rPr>
                <w:sz w:val="18"/>
                <w:szCs w:val="18"/>
                <w:color w:val="auto"/>
              </w:rPr>
            </w:pPr>
          </w:p>
        </w:tc>
        <w:tc>
          <w:tcPr>
            <w:tcW w:w="4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168,255</w:t>
            </w:r>
          </w:p>
        </w:tc>
        <w:tc>
          <w:tcPr>
            <w:tcW w:w="12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127,762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4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300" w:type="dxa"/>
            <w:vAlign w:val="bottom"/>
            <w:tcBorders>
              <w:right w:val="single" w:sz="8" w:color="CCEEFF"/>
            </w:tcBorders>
            <w:gridSpan w:val="2"/>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(145,386)</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(309,451)</w:t>
            </w:r>
          </w:p>
        </w:tc>
        <w:tc>
          <w:tcPr>
            <w:tcW w:w="1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(24,457)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(190,982)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(192,603)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163,282</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74,929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32,497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(15,999)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3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Segment operating data</w:t>
            </w:r>
          </w:p>
        </w:tc>
        <w:tc>
          <w:tcPr>
            <w:tcW w:w="420" w:type="dxa"/>
            <w:vAlign w:val="bottom"/>
            <w:shd w:val="clear" w:color="auto" w:fill="CCEEFF"/>
          </w:tcPr>
          <w:p>
            <w:pPr>
              <w:spacing w:after="0"/>
              <w:rPr>
                <w:sz w:val="24"/>
                <w:szCs w:val="24"/>
                <w:color w:val="auto"/>
              </w:rPr>
            </w:pPr>
          </w:p>
        </w:tc>
        <w:tc>
          <w:tcPr>
            <w:tcW w:w="100" w:type="dxa"/>
            <w:vAlign w:val="bottom"/>
            <w:tcBorders>
              <w:right w:val="single" w:sz="8" w:color="CCEEFF"/>
            </w:tcBorders>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240" w:type="dxa"/>
            <w:vAlign w:val="bottom"/>
            <w:tcBorders>
              <w:right w:val="single" w:sz="8" w:color="CCEEFF"/>
            </w:tcBorders>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80" w:type="dxa"/>
            <w:vAlign w:val="bottom"/>
            <w:tcBorders>
              <w:right w:val="single" w:sz="8" w:color="CCEEFF"/>
            </w:tcBorders>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40" w:type="dxa"/>
            <w:vAlign w:val="bottom"/>
            <w:tcBorders>
              <w:right w:val="single" w:sz="8" w:color="CCEEFF"/>
            </w:tcBorders>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Statements generated</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117,672</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132,817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127,217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131,253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138,669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6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Transactions processed/core transactions</w:t>
            </w:r>
          </w:p>
        </w:tc>
        <w:tc>
          <w:tcPr>
            <w:tcW w:w="42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processed in 2002</w:t>
            </w:r>
          </w:p>
        </w:tc>
        <w:tc>
          <w:tcPr>
            <w:tcW w:w="420" w:type="dxa"/>
            <w:vAlign w:val="bottom"/>
            <w:shd w:val="clear" w:color="auto" w:fill="CCEEFF"/>
          </w:tcPr>
          <w:p>
            <w:pPr>
              <w:spacing w:after="0"/>
              <w:rPr>
                <w:sz w:val="20"/>
                <w:szCs w:val="20"/>
                <w:color w:val="auto"/>
              </w:rPr>
            </w:pPr>
          </w:p>
        </w:tc>
        <w:tc>
          <w:tcPr>
            <w:tcW w:w="100" w:type="dxa"/>
            <w:vAlign w:val="bottom"/>
            <w:tcBorders>
              <w:right w:val="single" w:sz="8" w:color="CCEEFF"/>
            </w:tcBorders>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1,073,040</w:t>
            </w:r>
          </w:p>
        </w:tc>
        <w:tc>
          <w:tcPr>
            <w:tcW w:w="240" w:type="dxa"/>
            <w:vAlign w:val="bottom"/>
            <w:tcBorders>
              <w:right w:val="single" w:sz="8" w:color="CCEEFF"/>
            </w:tcBorders>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1,839,857</w:t>
            </w:r>
          </w:p>
        </w:tc>
        <w:tc>
          <w:tcPr>
            <w:tcW w:w="8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2,519,535</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2,754,105</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1,660,374(2)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Credit sales</w:t>
            </w:r>
          </w:p>
        </w:tc>
        <w:tc>
          <w:tcPr>
            <w:tcW w:w="420" w:type="dxa"/>
            <w:vAlign w:val="bottom"/>
          </w:tcPr>
          <w:p>
            <w:pPr>
              <w:jc w:val="right"/>
              <w:ind w:right="26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2,866,062</w:t>
            </w:r>
          </w:p>
        </w:tc>
        <w:tc>
          <w:tcPr>
            <w:tcW w:w="240" w:type="dxa"/>
            <w:vAlign w:val="bottom"/>
          </w:tcPr>
          <w:p>
            <w:pPr>
              <w:spacing w:after="0"/>
              <w:rPr>
                <w:sz w:val="18"/>
                <w:szCs w:val="18"/>
                <w:color w:val="auto"/>
              </w:rPr>
            </w:pPr>
          </w:p>
        </w:tc>
        <w:tc>
          <w:tcPr>
            <w:tcW w:w="200" w:type="dxa"/>
            <w:vAlign w:val="bottom"/>
          </w:tcPr>
          <w:p>
            <w:pPr>
              <w:jc w:val="right"/>
              <w:ind w:right="76"/>
              <w:spacing w:after="0"/>
              <w:rPr>
                <w:sz w:val="20"/>
                <w:szCs w:val="20"/>
                <w:color w:val="auto"/>
              </w:rPr>
            </w:pPr>
            <w:r>
              <w:rPr>
                <w:rFonts w:ascii="Times New Roman" w:cs="Times New Roman" w:eastAsia="Times New Roman" w:hAnsi="Times New Roman"/>
                <w:sz w:val="11"/>
                <w:szCs w:val="11"/>
                <w:color w:val="auto"/>
                <w:w w:val="71"/>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3,132,520</w:t>
            </w:r>
          </w:p>
        </w:tc>
        <w:tc>
          <w:tcPr>
            <w:tcW w:w="80" w:type="dxa"/>
            <w:vAlign w:val="bottom"/>
          </w:tcPr>
          <w:p>
            <w:pPr>
              <w:spacing w:after="0"/>
              <w:rPr>
                <w:sz w:val="18"/>
                <w:szCs w:val="18"/>
                <w:color w:val="auto"/>
              </w:rPr>
            </w:pPr>
          </w:p>
        </w:tc>
        <w:tc>
          <w:tcPr>
            <w:tcW w:w="400" w:type="dxa"/>
            <w:vAlign w:val="bottom"/>
            <w:gridSpan w:val="2"/>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3,685,069</w:t>
            </w:r>
          </w:p>
        </w:tc>
        <w:tc>
          <w:tcPr>
            <w:tcW w:w="80" w:type="dxa"/>
            <w:vAlign w:val="bottom"/>
          </w:tcPr>
          <w:p>
            <w:pPr>
              <w:spacing w:after="0"/>
              <w:rPr>
                <w:sz w:val="18"/>
                <w:szCs w:val="18"/>
                <w:color w:val="auto"/>
              </w:rPr>
            </w:pPr>
          </w:p>
        </w:tc>
        <w:tc>
          <w:tcPr>
            <w:tcW w:w="4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4,050,554</w:t>
            </w:r>
          </w:p>
        </w:tc>
        <w:tc>
          <w:tcPr>
            <w:tcW w:w="12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4,924,952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securitized portfolio</w:t>
            </w:r>
          </w:p>
        </w:tc>
        <w:tc>
          <w:tcPr>
            <w:tcW w:w="420" w:type="dxa"/>
            <w:vAlign w:val="bottom"/>
            <w:shd w:val="clear" w:color="auto" w:fill="CCEEFF"/>
          </w:tcPr>
          <w:p>
            <w:pPr>
              <w:jc w:val="right"/>
              <w:ind w:right="26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right w:val="single" w:sz="8" w:color="CCEEFF"/>
            </w:tcBorders>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1,905,927</w:t>
            </w:r>
          </w:p>
        </w:tc>
        <w:tc>
          <w:tcPr>
            <w:tcW w:w="2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1"/>
                <w:szCs w:val="11"/>
                <w:color w:val="auto"/>
                <w:w w:val="71"/>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2,004,827</w:t>
            </w:r>
          </w:p>
        </w:tc>
        <w:tc>
          <w:tcPr>
            <w:tcW w:w="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2,073,574</w:t>
            </w:r>
          </w:p>
        </w:tc>
        <w:tc>
          <w:tcPr>
            <w:tcW w:w="80" w:type="dxa"/>
            <w:vAlign w:val="bottom"/>
            <w:shd w:val="clear" w:color="auto" w:fill="CCEEFF"/>
          </w:tcPr>
          <w:p>
            <w:pPr>
              <w:spacing w:after="0"/>
              <w:rPr>
                <w:sz w:val="18"/>
                <w:szCs w:val="18"/>
                <w:color w:val="auto"/>
              </w:rPr>
            </w:pPr>
          </w:p>
        </w:tc>
        <w:tc>
          <w:tcPr>
            <w:tcW w:w="440" w:type="dxa"/>
            <w:vAlign w:val="bottom"/>
            <w:tcBorders>
              <w:right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2,197,935</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2,408,444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AIR MILES reward miles issued</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611,824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1,594,594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1,927,016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2,153,550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2,348,133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AIR MILES reward miles redeemed</w:t>
            </w:r>
          </w:p>
        </w:tc>
        <w:tc>
          <w:tcPr>
            <w:tcW w:w="4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158,281</w:t>
            </w:r>
          </w:p>
        </w:tc>
        <w:tc>
          <w:tcPr>
            <w:tcW w:w="2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529,327</w:t>
            </w:r>
          </w:p>
        </w:tc>
        <w:tc>
          <w:tcPr>
            <w:tcW w:w="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781,823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984,926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1,259,951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640" w:type="dxa"/>
            <w:vAlign w:val="bottom"/>
          </w:tcPr>
          <w:p>
            <w:pPr>
              <w:spacing w:after="0"/>
              <w:rPr>
                <w:sz w:val="7"/>
                <w:szCs w:val="7"/>
                <w:color w:val="auto"/>
              </w:rPr>
            </w:pPr>
          </w:p>
        </w:tc>
        <w:tc>
          <w:tcPr>
            <w:tcW w:w="18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106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80" w:type="dxa"/>
            <w:vAlign w:val="bottom"/>
            <w:tcBorders>
              <w:bottom w:val="single" w:sz="8" w:color="808080"/>
            </w:tcBorders>
          </w:tcPr>
          <w:p>
            <w:pPr>
              <w:spacing w:after="0"/>
              <w:rPr>
                <w:sz w:val="7"/>
                <w:szCs w:val="7"/>
                <w:color w:val="auto"/>
              </w:rPr>
            </w:pPr>
          </w:p>
        </w:tc>
        <w:tc>
          <w:tcPr>
            <w:tcW w:w="820" w:type="dxa"/>
            <w:vAlign w:val="bottom"/>
            <w:tcBorders>
              <w:bottom w:val="single" w:sz="8" w:color="808080"/>
            </w:tcBorders>
            <w:gridSpan w:val="2"/>
          </w:tcPr>
          <w:p>
            <w:pPr>
              <w:spacing w:after="0"/>
              <w:rPr>
                <w:sz w:val="7"/>
                <w:szCs w:val="7"/>
                <w:color w:val="auto"/>
              </w:rPr>
            </w:pPr>
          </w:p>
        </w:tc>
        <w:tc>
          <w:tcPr>
            <w:tcW w:w="80" w:type="dxa"/>
            <w:vAlign w:val="bottom"/>
            <w:tcBorders>
              <w:bottom w:val="single" w:sz="8" w:color="808080"/>
            </w:tcBorders>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880" w:type="dxa"/>
            <w:vAlign w:val="bottom"/>
            <w:tcBorders>
              <w:bottom w:val="single" w:sz="8" w:color="808080"/>
            </w:tcBorders>
          </w:tcPr>
          <w:p>
            <w:pPr>
              <w:spacing w:after="0"/>
              <w:rPr>
                <w:sz w:val="7"/>
                <w:szCs w:val="7"/>
                <w:color w:val="auto"/>
              </w:rPr>
            </w:pPr>
          </w:p>
        </w:tc>
        <w:tc>
          <w:tcPr>
            <w:tcW w:w="80" w:type="dxa"/>
            <w:vAlign w:val="bottom"/>
            <w:tcBorders>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8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880" w:type="dxa"/>
            <w:vAlign w:val="bottom"/>
            <w:tcBorders>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80" w:type="dxa"/>
            <w:vAlign w:val="bottom"/>
            <w:tcBorders>
              <w:bottom w:val="single" w:sz="8" w:color="808080"/>
            </w:tcBorders>
          </w:tcPr>
          <w:p>
            <w:pPr>
              <w:spacing w:after="0"/>
              <w:rPr>
                <w:sz w:val="7"/>
                <w:szCs w:val="7"/>
                <w:color w:val="auto"/>
              </w:rPr>
            </w:pPr>
          </w:p>
        </w:tc>
        <w:tc>
          <w:tcPr>
            <w:tcW w:w="40" w:type="dxa"/>
            <w:vAlign w:val="bottom"/>
            <w:tcBorders>
              <w:bottom w:val="single" w:sz="8" w:color="808080"/>
            </w:tcBorders>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140" w:type="dxa"/>
            <w:vAlign w:val="bottom"/>
            <w:tcBorders>
              <w:bottom w:val="single" w:sz="8" w:color="808080"/>
            </w:tcBorders>
          </w:tcPr>
          <w:p>
            <w:pPr>
              <w:spacing w:after="0"/>
              <w:rPr>
                <w:sz w:val="7"/>
                <w:szCs w:val="7"/>
                <w:color w:val="auto"/>
              </w:rPr>
            </w:pPr>
          </w:p>
        </w:tc>
        <w:tc>
          <w:tcPr>
            <w:tcW w:w="78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6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1998</w:t>
            </w:r>
          </w:p>
        </w:tc>
        <w:tc>
          <w:tcPr>
            <w:tcW w:w="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1999</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8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2000</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2001</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2002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8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240" w:type="dxa"/>
            <w:vAlign w:val="bottom"/>
            <w:gridSpan w:val="2"/>
          </w:tcPr>
          <w:p>
            <w:pPr>
              <w:spacing w:after="0"/>
              <w:rPr>
                <w:sz w:val="9"/>
                <w:szCs w:val="9"/>
                <w:color w:val="auto"/>
              </w:rPr>
            </w:pPr>
          </w:p>
        </w:tc>
        <w:tc>
          <w:tcPr>
            <w:tcW w:w="1360" w:type="dxa"/>
            <w:vAlign w:val="bottom"/>
            <w:tcBorders>
              <w:bottom w:val="single" w:sz="8" w:color="808080"/>
            </w:tcBorders>
            <w:gridSpan w:val="5"/>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40" w:type="dxa"/>
            <w:vAlign w:val="bottom"/>
            <w:gridSpan w:val="8"/>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(amounts in thousands)</w:t>
            </w:r>
          </w:p>
        </w:tc>
        <w:tc>
          <w:tcPr>
            <w:tcW w:w="1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16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sheet data</w:t>
            </w:r>
          </w:p>
        </w:tc>
        <w:tc>
          <w:tcPr>
            <w:tcW w:w="4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47,036</w:t>
            </w: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56,546</w:t>
            </w:r>
          </w:p>
        </w:tc>
        <w:tc>
          <w:tcPr>
            <w:tcW w:w="220" w:type="dxa"/>
            <w:vAlign w:val="bottom"/>
          </w:tcPr>
          <w:p>
            <w:pPr>
              <w:spacing w:after="0"/>
              <w:rPr>
                <w:sz w:val="18"/>
                <w:szCs w:val="18"/>
                <w:color w:val="auto"/>
              </w:rPr>
            </w:pP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5"/>
          </w:tcPr>
          <w:p>
            <w:pPr>
              <w:jc w:val="right"/>
              <w:ind w:right="240"/>
              <w:spacing w:after="0"/>
              <w:rPr>
                <w:sz w:val="20"/>
                <w:szCs w:val="20"/>
                <w:color w:val="auto"/>
              </w:rPr>
            </w:pPr>
            <w:r>
              <w:rPr>
                <w:rFonts w:ascii="Times New Roman" w:cs="Times New Roman" w:eastAsia="Times New Roman" w:hAnsi="Times New Roman"/>
                <w:sz w:val="18"/>
                <w:szCs w:val="18"/>
                <w:color w:val="auto"/>
              </w:rPr>
              <w:t>116,941</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117,535</w:t>
            </w:r>
          </w:p>
        </w:tc>
        <w:tc>
          <w:tcPr>
            <w:tcW w:w="40" w:type="dxa"/>
            <w:vAlign w:val="bottom"/>
          </w:tcPr>
          <w:p>
            <w:pPr>
              <w:spacing w:after="0"/>
              <w:rPr>
                <w:sz w:val="18"/>
                <w:szCs w:val="18"/>
                <w:color w:val="auto"/>
              </w:rPr>
            </w:pP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30,439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Seller's interest and credit card receivables, net</w:t>
            </w:r>
          </w:p>
        </w:tc>
        <w:tc>
          <w:tcPr>
            <w:tcW w:w="4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3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139,458</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150,804</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tcBorders>
              <w:right w:val="single" w:sz="8" w:color="CCEEFF"/>
            </w:tcBorders>
            <w:gridSpan w:val="5"/>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137,865</w:t>
            </w:r>
          </w:p>
        </w:tc>
        <w:tc>
          <w:tcPr>
            <w:tcW w:w="160" w:type="dxa"/>
            <w:vAlign w:val="bottom"/>
            <w:shd w:val="clear" w:color="auto" w:fill="CCEEFF"/>
          </w:tcPr>
          <w:p>
            <w:pPr>
              <w:spacing w:after="0"/>
              <w:rPr>
                <w:sz w:val="18"/>
                <w:szCs w:val="18"/>
                <w:color w:val="auto"/>
              </w:rPr>
            </w:pPr>
          </w:p>
        </w:tc>
        <w:tc>
          <w:tcPr>
            <w:tcW w:w="11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128,793</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147,899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Redemption settlement assets, restricted</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70,178</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133,650</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5"/>
          </w:tcPr>
          <w:p>
            <w:pPr>
              <w:jc w:val="right"/>
              <w:ind w:right="240"/>
              <w:spacing w:after="0"/>
              <w:rPr>
                <w:sz w:val="20"/>
                <w:szCs w:val="20"/>
                <w:color w:val="auto"/>
              </w:rPr>
            </w:pPr>
            <w:r>
              <w:rPr>
                <w:rFonts w:ascii="Times New Roman" w:cs="Times New Roman" w:eastAsia="Times New Roman" w:hAnsi="Times New Roman"/>
                <w:sz w:val="18"/>
                <w:szCs w:val="18"/>
                <w:color w:val="auto"/>
              </w:rPr>
              <w:t>152,007</w:t>
            </w:r>
          </w:p>
        </w:tc>
        <w:tc>
          <w:tcPr>
            <w:tcW w:w="160" w:type="dxa"/>
            <w:vAlign w:val="bottom"/>
          </w:tcPr>
          <w:p>
            <w:pPr>
              <w:spacing w:after="0"/>
              <w:rPr>
                <w:sz w:val="18"/>
                <w:szCs w:val="18"/>
                <w:color w:val="auto"/>
              </w:rPr>
            </w:pPr>
          </w:p>
        </w:tc>
        <w:tc>
          <w:tcPr>
            <w:tcW w:w="11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150,330</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166,293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4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3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105,397</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101,846</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tcBorders>
              <w:right w:val="single" w:sz="8" w:color="CCEEFF"/>
            </w:tcBorders>
            <w:gridSpan w:val="5"/>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72,953</w:t>
            </w:r>
          </w:p>
        </w:tc>
        <w:tc>
          <w:tcPr>
            <w:tcW w:w="160" w:type="dxa"/>
            <w:vAlign w:val="bottom"/>
            <w:shd w:val="clear" w:color="auto" w:fill="CCEEFF"/>
          </w:tcPr>
          <w:p>
            <w:pPr>
              <w:spacing w:after="0"/>
              <w:rPr>
                <w:sz w:val="18"/>
                <w:szCs w:val="18"/>
                <w:color w:val="auto"/>
              </w:rPr>
            </w:pPr>
          </w:p>
        </w:tc>
        <w:tc>
          <w:tcPr>
            <w:tcW w:w="11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76,886</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Goodwill, net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257,400</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391,763</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5"/>
          </w:tcPr>
          <w:p>
            <w:pPr>
              <w:jc w:val="right"/>
              <w:ind w:right="240"/>
              <w:spacing w:after="0"/>
              <w:rPr>
                <w:sz w:val="20"/>
                <w:szCs w:val="20"/>
                <w:color w:val="auto"/>
              </w:rPr>
            </w:pPr>
            <w:r>
              <w:rPr>
                <w:rFonts w:ascii="Times New Roman" w:cs="Times New Roman" w:eastAsia="Times New Roman" w:hAnsi="Times New Roman"/>
                <w:sz w:val="18"/>
                <w:szCs w:val="18"/>
                <w:color w:val="auto"/>
              </w:rPr>
              <w:t>371,596</w:t>
            </w:r>
          </w:p>
        </w:tc>
        <w:tc>
          <w:tcPr>
            <w:tcW w:w="160" w:type="dxa"/>
            <w:vAlign w:val="bottom"/>
          </w:tcPr>
          <w:p>
            <w:pPr>
              <w:spacing w:after="0"/>
              <w:rPr>
                <w:sz w:val="18"/>
                <w:szCs w:val="18"/>
                <w:color w:val="auto"/>
              </w:rPr>
            </w:pPr>
          </w:p>
        </w:tc>
        <w:tc>
          <w:tcPr>
            <w:tcW w:w="11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415,111</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438,608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4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3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1,091,008</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1,301,263</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tcBorders>
              <w:right w:val="single" w:sz="8" w:color="CCEEFF"/>
            </w:tcBorders>
            <w:gridSpan w:val="5"/>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1,421,179</w:t>
            </w:r>
          </w:p>
        </w:tc>
        <w:tc>
          <w:tcPr>
            <w:tcW w:w="160" w:type="dxa"/>
            <w:vAlign w:val="bottom"/>
            <w:shd w:val="clear" w:color="auto" w:fill="CCEEFF"/>
          </w:tcPr>
          <w:p>
            <w:pPr>
              <w:spacing w:after="0"/>
              <w:rPr>
                <w:sz w:val="18"/>
                <w:szCs w:val="18"/>
                <w:color w:val="auto"/>
              </w:rPr>
            </w:pPr>
          </w:p>
        </w:tc>
        <w:tc>
          <w:tcPr>
            <w:tcW w:w="11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1,477,218</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1,453,418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Short-term debt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98,484</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gridSpan w:val="2"/>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revenue—service and redemption</w:t>
            </w:r>
          </w:p>
        </w:tc>
        <w:tc>
          <w:tcPr>
            <w:tcW w:w="4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3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158,192</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249,341</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tcBorders>
              <w:right w:val="single" w:sz="8" w:color="CCEEFF"/>
            </w:tcBorders>
            <w:gridSpan w:val="5"/>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290,186</w:t>
            </w:r>
          </w:p>
        </w:tc>
        <w:tc>
          <w:tcPr>
            <w:tcW w:w="160" w:type="dxa"/>
            <w:vAlign w:val="bottom"/>
            <w:shd w:val="clear" w:color="auto" w:fill="CCEEFF"/>
          </w:tcPr>
          <w:p>
            <w:pPr>
              <w:spacing w:after="0"/>
              <w:rPr>
                <w:sz w:val="18"/>
                <w:szCs w:val="18"/>
                <w:color w:val="auto"/>
              </w:rPr>
            </w:pPr>
          </w:p>
        </w:tc>
        <w:tc>
          <w:tcPr>
            <w:tcW w:w="11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329,549</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360,064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6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rPr>
              <w:t>Certificates of deposit and other receivables</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3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funding debt</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49,500</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116,900</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gridSpan w:val="5"/>
          </w:tcPr>
          <w:p>
            <w:pPr>
              <w:jc w:val="right"/>
              <w:ind w:right="240"/>
              <w:spacing w:after="0"/>
              <w:rPr>
                <w:sz w:val="20"/>
                <w:szCs w:val="20"/>
                <w:color w:val="auto"/>
              </w:rPr>
            </w:pPr>
            <w:r>
              <w:rPr>
                <w:rFonts w:ascii="Times New Roman" w:cs="Times New Roman" w:eastAsia="Times New Roman" w:hAnsi="Times New Roman"/>
                <w:sz w:val="18"/>
                <w:szCs w:val="18"/>
                <w:color w:val="auto"/>
              </w:rPr>
              <w:t>139,400</w:t>
            </w:r>
          </w:p>
        </w:tc>
        <w:tc>
          <w:tcPr>
            <w:tcW w:w="160" w:type="dxa"/>
            <w:vAlign w:val="bottom"/>
          </w:tcPr>
          <w:p>
            <w:pPr>
              <w:spacing w:after="0"/>
              <w:rPr>
                <w:sz w:val="19"/>
                <w:szCs w:val="19"/>
                <w:color w:val="auto"/>
              </w:rPr>
            </w:pPr>
          </w:p>
        </w:tc>
        <w:tc>
          <w:tcPr>
            <w:tcW w:w="11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120,800</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96,200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Credit facilities, subordinated debt and other</w:t>
            </w:r>
          </w:p>
        </w:tc>
        <w:tc>
          <w:tcPr>
            <w:tcW w:w="4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3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332,000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318,236</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tcBorders>
              <w:right w:val="single" w:sz="8" w:color="CCEEFF"/>
            </w:tcBorders>
            <w:gridSpan w:val="5"/>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296,660</w:t>
            </w:r>
          </w:p>
        </w:tc>
        <w:tc>
          <w:tcPr>
            <w:tcW w:w="160" w:type="dxa"/>
            <w:vAlign w:val="bottom"/>
            <w:shd w:val="clear" w:color="auto" w:fill="CCEEFF"/>
          </w:tcPr>
          <w:p>
            <w:pPr>
              <w:spacing w:after="0"/>
              <w:rPr>
                <w:sz w:val="18"/>
                <w:szCs w:val="18"/>
                <w:color w:val="auto"/>
              </w:rPr>
            </w:pPr>
          </w:p>
        </w:tc>
        <w:tc>
          <w:tcPr>
            <w:tcW w:w="11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189,625</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196,711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796,203</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921,791</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5"/>
          </w:tcPr>
          <w:p>
            <w:pPr>
              <w:jc w:val="right"/>
              <w:ind w:right="240"/>
              <w:spacing w:after="0"/>
              <w:rPr>
                <w:sz w:val="20"/>
                <w:szCs w:val="20"/>
                <w:color w:val="auto"/>
              </w:rPr>
            </w:pPr>
            <w:r>
              <w:rPr>
                <w:rFonts w:ascii="Times New Roman" w:cs="Times New Roman" w:eastAsia="Times New Roman" w:hAnsi="Times New Roman"/>
                <w:sz w:val="18"/>
                <w:szCs w:val="18"/>
                <w:color w:val="auto"/>
              </w:rPr>
              <w:t>1,058,788</w:t>
            </w:r>
          </w:p>
        </w:tc>
        <w:tc>
          <w:tcPr>
            <w:tcW w:w="160" w:type="dxa"/>
            <w:vAlign w:val="bottom"/>
          </w:tcPr>
          <w:p>
            <w:pPr>
              <w:spacing w:after="0"/>
              <w:rPr>
                <w:sz w:val="18"/>
                <w:szCs w:val="18"/>
                <w:color w:val="auto"/>
              </w:rPr>
            </w:pPr>
          </w:p>
        </w:tc>
        <w:tc>
          <w:tcPr>
            <w:tcW w:w="11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971,490</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910,680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A preferred stock</w:t>
            </w:r>
          </w:p>
        </w:tc>
        <w:tc>
          <w:tcPr>
            <w:tcW w:w="4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119,400</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tcBorders>
              <w:right w:val="single" w:sz="8" w:color="CCEEFF"/>
            </w:tcBorders>
            <w:gridSpan w:val="5"/>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119,400</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294,805</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260,072</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gridSpan w:val="5"/>
          </w:tcPr>
          <w:p>
            <w:pPr>
              <w:jc w:val="right"/>
              <w:ind w:right="240"/>
              <w:spacing w:after="0"/>
              <w:rPr>
                <w:sz w:val="20"/>
                <w:szCs w:val="20"/>
                <w:color w:val="auto"/>
              </w:rPr>
            </w:pPr>
            <w:r>
              <w:rPr>
                <w:rFonts w:ascii="Times New Roman" w:cs="Times New Roman" w:eastAsia="Times New Roman" w:hAnsi="Times New Roman"/>
                <w:sz w:val="18"/>
                <w:szCs w:val="18"/>
                <w:color w:val="auto"/>
              </w:rPr>
              <w:t>242,991</w:t>
            </w:r>
          </w:p>
        </w:tc>
        <w:tc>
          <w:tcPr>
            <w:tcW w:w="160" w:type="dxa"/>
            <w:vAlign w:val="bottom"/>
          </w:tcPr>
          <w:p>
            <w:pPr>
              <w:spacing w:after="0"/>
              <w:rPr>
                <w:sz w:val="19"/>
                <w:szCs w:val="19"/>
                <w:color w:val="auto"/>
              </w:rPr>
            </w:pPr>
          </w:p>
        </w:tc>
        <w:tc>
          <w:tcPr>
            <w:tcW w:w="11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505,728</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542,738</w:t>
            </w:r>
          </w:p>
        </w:tc>
        <w:tc>
          <w:tcPr>
            <w:tcW w:w="0" w:type="dxa"/>
            <w:vAlign w:val="bottom"/>
          </w:tcPr>
          <w:p>
            <w:pPr>
              <w:spacing w:after="0"/>
              <w:rPr>
                <w:sz w:val="1"/>
                <w:szCs w:val="1"/>
                <w:color w:val="auto"/>
              </w:rPr>
            </w:pPr>
          </w:p>
        </w:tc>
      </w:tr>
      <w:tr>
        <w:trPr>
          <w:trHeight w:val="106"/>
        </w:trPr>
        <w:tc>
          <w:tcPr>
            <w:tcW w:w="20" w:type="dxa"/>
            <w:vAlign w:val="bottom"/>
            <w:tcBorders>
              <w:bottom w:val="single" w:sz="8" w:color="808080"/>
            </w:tcBorders>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18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-7355205</wp:posOffset>
            </wp:positionV>
            <wp:extent cx="1270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-7355205</wp:posOffset>
            </wp:positionV>
            <wp:extent cx="1270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3201670</wp:posOffset>
            </wp:positionH>
            <wp:positionV relativeFrom="paragraph">
              <wp:posOffset>-6823710</wp:posOffset>
            </wp:positionV>
            <wp:extent cx="1270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2207260</wp:posOffset>
            </wp:positionH>
            <wp:positionV relativeFrom="paragraph">
              <wp:posOffset>-6823710</wp:posOffset>
            </wp:positionV>
            <wp:extent cx="1270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-7089140</wp:posOffset>
            </wp:positionV>
            <wp:extent cx="1270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3347720</wp:posOffset>
            </wp:positionH>
            <wp:positionV relativeFrom="paragraph">
              <wp:posOffset>-7089140</wp:posOffset>
            </wp:positionV>
            <wp:extent cx="1270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-6823710</wp:posOffset>
            </wp:positionV>
            <wp:extent cx="1270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3347720</wp:posOffset>
            </wp:positionH>
            <wp:positionV relativeFrom="paragraph">
              <wp:posOffset>-6823710</wp:posOffset>
            </wp:positionV>
            <wp:extent cx="1270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-6823710</wp:posOffset>
            </wp:positionV>
            <wp:extent cx="1270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4342130</wp:posOffset>
            </wp:positionH>
            <wp:positionV relativeFrom="paragraph">
              <wp:posOffset>-6823710</wp:posOffset>
            </wp:positionV>
            <wp:extent cx="1270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-6823710</wp:posOffset>
            </wp:positionV>
            <wp:extent cx="1270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-6823710</wp:posOffset>
            </wp:positionV>
            <wp:extent cx="1270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-6823710</wp:posOffset>
            </wp:positionV>
            <wp:extent cx="1270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-6823710</wp:posOffset>
            </wp:positionV>
            <wp:extent cx="1270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3201670</wp:posOffset>
            </wp:positionH>
            <wp:positionV relativeFrom="paragraph">
              <wp:posOffset>-5820410</wp:posOffset>
            </wp:positionV>
            <wp:extent cx="1270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2207260</wp:posOffset>
            </wp:positionH>
            <wp:positionV relativeFrom="paragraph">
              <wp:posOffset>-5820410</wp:posOffset>
            </wp:positionV>
            <wp:extent cx="1270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-5820410</wp:posOffset>
            </wp:positionV>
            <wp:extent cx="1270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3347720</wp:posOffset>
            </wp:positionH>
            <wp:positionV relativeFrom="paragraph">
              <wp:posOffset>-5820410</wp:posOffset>
            </wp:positionV>
            <wp:extent cx="1270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-5820410</wp:posOffset>
            </wp:positionV>
            <wp:extent cx="1270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4342130</wp:posOffset>
            </wp:positionH>
            <wp:positionV relativeFrom="paragraph">
              <wp:posOffset>-5820410</wp:posOffset>
            </wp:positionV>
            <wp:extent cx="1270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-5820410</wp:posOffset>
            </wp:positionV>
            <wp:extent cx="1270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-5820410</wp:posOffset>
            </wp:positionV>
            <wp:extent cx="1270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-5820410</wp:posOffset>
            </wp:positionV>
            <wp:extent cx="1270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-5820410</wp:posOffset>
            </wp:positionV>
            <wp:extent cx="1270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3201670</wp:posOffset>
            </wp:positionH>
            <wp:positionV relativeFrom="paragraph">
              <wp:posOffset>-5082540</wp:posOffset>
            </wp:positionV>
            <wp:extent cx="1270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2207260</wp:posOffset>
            </wp:positionH>
            <wp:positionV relativeFrom="paragraph">
              <wp:posOffset>-5082540</wp:posOffset>
            </wp:positionV>
            <wp:extent cx="1270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-5082540</wp:posOffset>
            </wp:positionV>
            <wp:extent cx="1270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3347720</wp:posOffset>
            </wp:positionH>
            <wp:positionV relativeFrom="paragraph">
              <wp:posOffset>-5082540</wp:posOffset>
            </wp:positionV>
            <wp:extent cx="1270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-5082540</wp:posOffset>
            </wp:positionV>
            <wp:extent cx="1270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4342130</wp:posOffset>
            </wp:positionH>
            <wp:positionV relativeFrom="paragraph">
              <wp:posOffset>-5082540</wp:posOffset>
            </wp:positionV>
            <wp:extent cx="1270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-5082540</wp:posOffset>
            </wp:positionV>
            <wp:extent cx="1270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-5082540</wp:posOffset>
            </wp:positionV>
            <wp:extent cx="1270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-5082540</wp:posOffset>
            </wp:positionV>
            <wp:extent cx="1270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-5082540</wp:posOffset>
            </wp:positionV>
            <wp:extent cx="1270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-2724150</wp:posOffset>
            </wp:positionV>
            <wp:extent cx="1270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2472690</wp:posOffset>
            </wp:positionH>
            <wp:positionV relativeFrom="paragraph">
              <wp:posOffset>-2724150</wp:posOffset>
            </wp:positionV>
            <wp:extent cx="1270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3338830</wp:posOffset>
            </wp:positionH>
            <wp:positionV relativeFrom="paragraph">
              <wp:posOffset>-2475865</wp:posOffset>
            </wp:positionV>
            <wp:extent cx="1270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2472690</wp:posOffset>
            </wp:positionH>
            <wp:positionV relativeFrom="paragraph">
              <wp:posOffset>-2475865</wp:posOffset>
            </wp:positionV>
            <wp:extent cx="1270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4359275</wp:posOffset>
            </wp:positionH>
            <wp:positionV relativeFrom="paragraph">
              <wp:posOffset>-2475865</wp:posOffset>
            </wp:positionV>
            <wp:extent cx="1270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3493135</wp:posOffset>
            </wp:positionH>
            <wp:positionV relativeFrom="paragraph">
              <wp:posOffset>-2475865</wp:posOffset>
            </wp:positionV>
            <wp:extent cx="1270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-2475865</wp:posOffset>
            </wp:positionV>
            <wp:extent cx="1270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-2475865</wp:posOffset>
            </wp:positionV>
            <wp:extent cx="1270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-2475865</wp:posOffset>
            </wp:positionV>
            <wp:extent cx="1270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-2475865</wp:posOffset>
            </wp:positionV>
            <wp:extent cx="1270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-2475865</wp:posOffset>
            </wp:positionV>
            <wp:extent cx="1270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-2475865</wp:posOffset>
            </wp:positionV>
            <wp:extent cx="1270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4" w:right="239" w:bottom="0" w:gutter="0" w:footer="0" w:header="0"/>
        </w:sectPr>
      </w:pP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134" w:right="239" w:bottom="0" w:gutter="0" w:footer="0" w:header="0"/>
          <w:type w:val="continuous"/>
        </w:sectPr>
      </w:pPr>
    </w:p>
    <w:bookmarkStart w:id="15" w:name="page16"/>
    <w:bookmarkEnd w:id="15"/>
    <w:p>
      <w:pPr>
        <w:ind w:left="540"/>
        <w:spacing w:after="0" w:line="253" w:lineRule="auto"/>
        <w:rPr>
          <w:sz w:val="20"/>
          <w:szCs w:val="20"/>
          <w:color w:val="auto"/>
        </w:rPr>
      </w:pPr>
      <w:r>
        <w:rPr>
          <w:rFonts w:ascii="Times New Roman" w:cs="Times New Roman" w:eastAsia="Times New Roman" w:hAnsi="Times New Roman"/>
          <w:sz w:val="18"/>
          <w:szCs w:val="18"/>
          <w:color w:val="auto"/>
        </w:rPr>
        <w:t>Operating EBITDA is equal to operating income plus depreciation and amortization and the change in deferred revenue less the change in redemption settlement assets. We have presented operating EBITDA because we use it to monitor compliance with the financial covenants in our amended credit agreement, such as debt-to-operating EBITDA, interest coverage ratios and minimum operating EBITDA. We also use operating EBITDA as an integral part of our internal reporting to measure performance and liquidity. In addition, operating EBITDA eliminates the uneven effect across all segments of considerable amounts of non-cash amortization of purchased intangibles recognized in business combinations accounted for under the purchase method. Operating EBITDA is not intended to be a performance measure that should be regarded as an alternative to, or more meaningful than, either operating income or net income as an indicator of operating performance or to the statement of cash flows as a measure of liquidity. In addition, operating EBITDA is not intended to represent funds available for dividends, reinvestment or other discretionary uses, and should not be considered in isolation or as a substitute for measures of performance prepared in accordance with generally accepted accounting principles. The operating EBITDA measures presented in this Form 10-K may not be comparable to similarly titled measures presented by other companies.</w:t>
      </w:r>
    </w:p>
    <w:p>
      <w:pPr>
        <w:spacing w:after="0" w:line="208" w:lineRule="exact"/>
        <w:rPr>
          <w:sz w:val="20"/>
          <w:szCs w:val="20"/>
          <w:color w:val="auto"/>
        </w:rPr>
      </w:pPr>
    </w:p>
    <w:p>
      <w:pPr>
        <w:ind w:left="540" w:right="260" w:hanging="532"/>
        <w:spacing w:after="0" w:line="275" w:lineRule="auto"/>
        <w:tabs>
          <w:tab w:leader="none" w:pos="5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Core transactions processed in 2002 reflect the previously announced pruning of non-core low margin accounts in 2002, and accordingly only includes transactions processed for continuing customers.</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6"/>
          <w:szCs w:val="16"/>
          <w:b w:val="1"/>
          <w:b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7" w:lineRule="exact"/>
        <w:rPr>
          <w:sz w:val="20"/>
          <w:szCs w:val="20"/>
          <w:color w:val="auto"/>
        </w:rPr>
      </w:pPr>
    </w:p>
    <w:p>
      <w:pPr>
        <w:ind w:right="40" w:firstLine="348"/>
        <w:spacing w:after="0" w:line="339" w:lineRule="auto"/>
        <w:rPr>
          <w:sz w:val="20"/>
          <w:szCs w:val="20"/>
          <w:color w:val="auto"/>
        </w:rPr>
      </w:pPr>
      <w:r>
        <w:rPr>
          <w:rFonts w:ascii="Times New Roman" w:cs="Times New Roman" w:eastAsia="Times New Roman" w:hAnsi="Times New Roman"/>
          <w:sz w:val="16"/>
          <w:szCs w:val="16"/>
          <w:color w:val="auto"/>
        </w:rPr>
        <w:t>We are a leading provider of transaction services, credit services and marketing services in North America. We focus on facilitating and managing electronic transactions between our clients and their customers. We operate in three business segments: Transaction Services, Credit Services and Marketing Services.</w:t>
      </w:r>
    </w:p>
    <w:p>
      <w:pPr>
        <w:spacing w:after="0" w:line="126" w:lineRule="exact"/>
        <w:rPr>
          <w:sz w:val="20"/>
          <w:szCs w:val="20"/>
          <w:color w:val="auto"/>
        </w:rPr>
      </w:pPr>
    </w:p>
    <w:p>
      <w:pPr>
        <w:ind w:right="100" w:firstLine="351"/>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Transaction Services. </w:t>
      </w:r>
      <w:r>
        <w:rPr>
          <w:rFonts w:ascii="Times New Roman" w:cs="Times New Roman" w:eastAsia="Times New Roman" w:hAnsi="Times New Roman"/>
          <w:sz w:val="18"/>
          <w:szCs w:val="18"/>
          <w:color w:val="auto"/>
        </w:rPr>
        <w:t>Transaction Services is our largest segment accounting for approximately one half of the Company. The Transaction Services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segment primarily generates revenue based on the number of transactions processed, statements generated and customer calls handled. Statements generated and transactions processed are the two primary drivers of revenue for this segment.</w:t>
      </w:r>
    </w:p>
    <w:p>
      <w:pPr>
        <w:spacing w:after="0" w:line="208" w:lineRule="exact"/>
        <w:rPr>
          <w:sz w:val="20"/>
          <w:szCs w:val="20"/>
          <w:color w:val="auto"/>
        </w:rPr>
      </w:pPr>
    </w:p>
    <w:p>
      <w:pPr>
        <w:ind w:left="1080" w:right="160" w:hanging="532"/>
        <w:spacing w:after="0" w:line="264"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Statements Generated: </w:t>
      </w:r>
      <w:r>
        <w:rPr>
          <w:rFonts w:ascii="Times New Roman" w:cs="Times New Roman" w:eastAsia="Times New Roman" w:hAnsi="Times New Roman"/>
          <w:sz w:val="18"/>
          <w:szCs w:val="18"/>
          <w:color w:val="auto"/>
        </w:rPr>
        <w:t>This driver represents the number of statements generated for our private label and utility clients. Although we are paid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other services such as remittance processing and customer care, statements generated represents the approximate number of active accountholders.</w:t>
      </w:r>
    </w:p>
    <w:p>
      <w:pPr>
        <w:spacing w:after="0" w:line="194" w:lineRule="exact"/>
        <w:rPr>
          <w:rFonts w:ascii="Times New Roman" w:cs="Times New Roman" w:eastAsia="Times New Roman" w:hAnsi="Times New Roman"/>
          <w:sz w:val="18"/>
          <w:szCs w:val="18"/>
          <w:color w:val="auto"/>
        </w:rPr>
      </w:pPr>
    </w:p>
    <w:p>
      <w:pPr>
        <w:ind w:left="1080" w:hanging="532"/>
        <w:spacing w:after="0" w:line="264"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Transactions Processed: </w:t>
      </w:r>
      <w:r>
        <w:rPr>
          <w:rFonts w:ascii="Times New Roman" w:cs="Times New Roman" w:eastAsia="Times New Roman" w:hAnsi="Times New Roman"/>
          <w:sz w:val="18"/>
          <w:szCs w:val="18"/>
          <w:color w:val="auto"/>
        </w:rPr>
        <w:t>This driver represents the number of electronic payments processed in merchant services, including credit card, debit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card, prepaid card, electronic benefits and fleet and check transactions, and represents approximately one quarter of this segment's revenue. We are typically paid by our clients for each transaction processed.</w:t>
      </w:r>
    </w:p>
    <w:p>
      <w:pPr>
        <w:spacing w:after="0" w:line="181" w:lineRule="exact"/>
        <w:rPr>
          <w:sz w:val="20"/>
          <w:szCs w:val="20"/>
          <w:color w:val="auto"/>
        </w:rPr>
      </w:pPr>
    </w:p>
    <w:p>
      <w:pPr>
        <w:jc w:val="both"/>
        <w:ind w:right="200" w:firstLine="351"/>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Credit Services. </w:t>
      </w:r>
      <w:r>
        <w:rPr>
          <w:rFonts w:ascii="Times New Roman" w:cs="Times New Roman" w:eastAsia="Times New Roman" w:hAnsi="Times New Roman"/>
          <w:sz w:val="18"/>
          <w:szCs w:val="18"/>
          <w:color w:val="auto"/>
        </w:rPr>
        <w:t>Credit Services accounts for approximately one quarter of the Company. The Credit Services segment primarily generates revenue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servicing fees from our securitization trusts, merchant discount fees, and net finance charges. Private label credit sales and average securitized portfolio are the two primary drivers of revenue for this segment.</w:t>
      </w:r>
    </w:p>
    <w:p>
      <w:pPr>
        <w:spacing w:after="0" w:line="195" w:lineRule="exact"/>
        <w:rPr>
          <w:sz w:val="20"/>
          <w:szCs w:val="20"/>
          <w:color w:val="auto"/>
        </w:rPr>
      </w:pPr>
    </w:p>
    <w:p>
      <w:pPr>
        <w:jc w:val="both"/>
        <w:ind w:left="1080" w:right="340" w:hanging="532"/>
        <w:spacing w:after="0" w:line="312" w:lineRule="auto"/>
        <w:tabs>
          <w:tab w:leader="none" w:pos="108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Private Label Credit Sales: </w:t>
      </w:r>
      <w:r>
        <w:rPr>
          <w:rFonts w:ascii="Times New Roman" w:cs="Times New Roman" w:eastAsia="Times New Roman" w:hAnsi="Times New Roman"/>
          <w:sz w:val="16"/>
          <w:szCs w:val="16"/>
          <w:color w:val="auto"/>
        </w:rPr>
        <w:t>This driver represents the dollar value of private label card sales that occur at our clients' point of sale terminals,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catalogs or web sites. We are paid a percentage of these sales, referred to as merchant discount, from the retailers that utilize our private label program. Private label credit sales typically lead to higher portfolio balances as cardholders finance their purchases through our bank.</w:t>
      </w:r>
    </w:p>
    <w:p>
      <w:pPr>
        <w:spacing w:after="0" w:line="173" w:lineRule="exact"/>
        <w:rPr>
          <w:rFonts w:ascii="Times New Roman" w:cs="Times New Roman" w:eastAsia="Times New Roman" w:hAnsi="Times New Roman"/>
          <w:sz w:val="16"/>
          <w:szCs w:val="16"/>
          <w:color w:val="auto"/>
        </w:rPr>
      </w:pPr>
    </w:p>
    <w:p>
      <w:pPr>
        <w:ind w:left="1080" w:right="180" w:hanging="532"/>
        <w:spacing w:after="0" w:line="257"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Average Securitized Portfolio: </w:t>
      </w:r>
      <w:r>
        <w:rPr>
          <w:rFonts w:ascii="Times New Roman" w:cs="Times New Roman" w:eastAsia="Times New Roman" w:hAnsi="Times New Roman"/>
          <w:sz w:val="18"/>
          <w:szCs w:val="18"/>
          <w:color w:val="auto"/>
        </w:rPr>
        <w:t>This represents the average balance of outstanding receivables from our cardholders that have been securitized.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Customers are assessed a finance charge based on their outstanding balance at the end of a billing cycle. There are many factors that drive the outstanding balances such as payment rates, charge-offs, recoveries and delinquencies. Management actively monitors all of these factors. Generally we securitize our receivables, which results in a sale for accounting purposes and effectively removes them from our balance sheet to one of our securitization trusts.</w:t>
      </w:r>
    </w:p>
    <w:p>
      <w:pPr>
        <w:spacing w:after="0" w:line="188" w:lineRule="exact"/>
        <w:rPr>
          <w:sz w:val="20"/>
          <w:szCs w:val="20"/>
          <w:color w:val="auto"/>
        </w:rPr>
      </w:pPr>
    </w:p>
    <w:p>
      <w:pPr>
        <w:jc w:val="both"/>
        <w:ind w:right="120" w:firstLine="351"/>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Marketing Services. </w:t>
      </w:r>
      <w:r>
        <w:rPr>
          <w:rFonts w:ascii="Times New Roman" w:cs="Times New Roman" w:eastAsia="Times New Roman" w:hAnsi="Times New Roman"/>
          <w:sz w:val="18"/>
          <w:szCs w:val="18"/>
          <w:color w:val="auto"/>
        </w:rPr>
        <w:t>Marketing services is represented primarily by our AIR MILES Reward Program, which we believe to be the largest loyalty program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Canada. We primarily collect fees from our clients based on the number of AIR MILES reward miles issued and in limited circumstances the number of AIR MILES reward miles redeemed. All of the fees collected for AIR MILES reward miles issued are deferred and recognized over time. AIR MILES reward miles issued and AIR MILES reward miles redeemed are the two primary drivers of revenue for this segment, and as a result they are both indicators of the success of the program. These two drivers are also important in the revenue recognition process.</w:t>
      </w:r>
    </w:p>
    <w:p>
      <w:pPr>
        <w:spacing w:after="0" w:line="202" w:lineRule="exact"/>
        <w:rPr>
          <w:sz w:val="20"/>
          <w:szCs w:val="20"/>
          <w:color w:val="auto"/>
        </w:rPr>
      </w:pPr>
    </w:p>
    <w:p>
      <w:pPr>
        <w:ind w:left="1080" w:right="360" w:hanging="532"/>
        <w:spacing w:after="0" w:line="277"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AIR MILES Reward Miles Issued</w:t>
      </w:r>
      <w:r>
        <w:rPr>
          <w:rFonts w:ascii="Times New Roman" w:cs="Times New Roman" w:eastAsia="Times New Roman" w:hAnsi="Times New Roman"/>
          <w:sz w:val="18"/>
          <w:szCs w:val="18"/>
          <w:color w:val="auto"/>
        </w:rPr>
        <w:t>: The number of AIR MILES reward miles issued depends upon the buying activity of the collectors at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participating sponsors. The fees collected from</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sponsors for the issuance of AIR MILES reward miles represents future revenue and earnings for us.</w:t>
      </w:r>
    </w:p>
    <w:p>
      <w:pPr>
        <w:spacing w:after="0" w:line="237" w:lineRule="exact"/>
        <w:rPr>
          <w:sz w:val="20"/>
          <w:szCs w:val="20"/>
          <w:color w:val="auto"/>
        </w:rPr>
      </w:pPr>
    </w:p>
    <w:p>
      <w:pPr>
        <w:ind w:left="1080" w:right="200" w:hanging="532"/>
        <w:spacing w:after="0" w:line="277"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AIR MILES Reward Miles Redeemed: </w:t>
      </w:r>
      <w:r>
        <w:rPr>
          <w:rFonts w:ascii="Times New Roman" w:cs="Times New Roman" w:eastAsia="Times New Roman" w:hAnsi="Times New Roman"/>
          <w:sz w:val="18"/>
          <w:szCs w:val="18"/>
          <w:color w:val="auto"/>
        </w:rPr>
        <w:t>A majority of the revenue we recognize in this segment is derived from the redemptions of AIR MILES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reward miles by collectors. Redemptions also show that collectors are attaining the rewards that are offered through our programs.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Discussion of Critical Accounting Policies</w:t>
      </w:r>
    </w:p>
    <w:p>
      <w:pPr>
        <w:spacing w:after="0" w:line="227" w:lineRule="exact"/>
        <w:rPr>
          <w:sz w:val="20"/>
          <w:szCs w:val="20"/>
          <w:color w:val="auto"/>
        </w:rPr>
      </w:pPr>
    </w:p>
    <w:p>
      <w:pPr>
        <w:jc w:val="both"/>
        <w:ind w:right="280" w:firstLine="351"/>
        <w:spacing w:after="0" w:line="285" w:lineRule="auto"/>
        <w:rPr>
          <w:sz w:val="20"/>
          <w:szCs w:val="20"/>
          <w:color w:val="auto"/>
        </w:rPr>
      </w:pPr>
      <w:r>
        <w:rPr>
          <w:rFonts w:ascii="Times New Roman" w:cs="Times New Roman" w:eastAsia="Times New Roman" w:hAnsi="Times New Roman"/>
          <w:sz w:val="16"/>
          <w:szCs w:val="16"/>
          <w:color w:val="auto"/>
        </w:rPr>
        <w:t>Our discussion and analysis of our financial condition and results of operations are based upon our Consolidated Financial Statements, which have been prepared in accordance with accounting policies that are described in the Notes to the Consolidated Financial Statements. The preparation of the Consolidated Financial Statements requires management to make estimates and judgments that affect the reported amounts of assets, liabilities, revenues and expenses, and related disclosure of contingent assets and liabilities. We continually evaluate our estimates that are deemed critical to the determination of operating results.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Estimates are based on information available as of the date of the financial statements and, accordingly, actual results could differ from these estimates,</w:t>
      </w:r>
    </w:p>
    <w:p>
      <w:pPr>
        <w:sectPr>
          <w:pgSz w:w="11900" w:h="16838" w:orient="portrait"/>
          <w:cols w:equalWidth="0" w:num="1">
            <w:col w:w="11400"/>
          </w:cols>
          <w:pgMar w:left="240" w:top="125" w:right="259" w:bottom="0" w:gutter="0" w:footer="0" w:header="0"/>
        </w:sectPr>
      </w:pPr>
    </w:p>
    <w:bookmarkStart w:id="16" w:name="page17"/>
    <w:bookmarkEnd w:id="16"/>
    <w:p>
      <w:pPr>
        <w:ind w:right="160"/>
        <w:spacing w:after="0" w:line="275" w:lineRule="auto"/>
        <w:rPr>
          <w:sz w:val="20"/>
          <w:szCs w:val="20"/>
          <w:color w:val="auto"/>
        </w:rPr>
      </w:pPr>
      <w:r>
        <w:rPr>
          <w:rFonts w:ascii="Times New Roman" w:cs="Times New Roman" w:eastAsia="Times New Roman" w:hAnsi="Times New Roman"/>
          <w:sz w:val="18"/>
          <w:szCs w:val="18"/>
          <w:color w:val="auto"/>
        </w:rPr>
        <w:t>sometimes materially. Critical accounting policies and estimates are defined as those that are both most important to the portrayal of our financial condition and operating results and require management's most subjective judgments. The most critical accounting policies and estimates are described below.</w:t>
      </w:r>
    </w:p>
    <w:p>
      <w:pPr>
        <w:spacing w:after="0" w:line="172" w:lineRule="exact"/>
        <w:rPr>
          <w:sz w:val="20"/>
          <w:szCs w:val="20"/>
          <w:color w:val="auto"/>
        </w:rPr>
      </w:pPr>
    </w:p>
    <w:p>
      <w:pPr>
        <w:ind w:firstLine="351"/>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Securitization of credit card receivables. </w:t>
      </w:r>
      <w:r>
        <w:rPr>
          <w:rFonts w:ascii="Times New Roman" w:cs="Times New Roman" w:eastAsia="Times New Roman" w:hAnsi="Times New Roman"/>
          <w:sz w:val="18"/>
          <w:szCs w:val="18"/>
          <w:color w:val="auto"/>
        </w:rPr>
        <w:t>We utilize a securitization program to finance substantially all of the credit card receivables that we underwrite.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securitization trusts allow us to sell credit card receivables to the trusts on a daily basis. We use off-balance sheet securitization for its lower cost of funds and more efficient use of capital. In a securitization transaction, we sell credit card receivables originated by our Credit Services segment to a trust and retain servicing rights to those receivables, an equity interest in the trust, and an interest in the receivables. The securitization trusts are deemed to be qualifying special purpose entities under accounting principles generally accepted in the United States ("U.S. GAAP") and are appropriately not included in our Consolidated Financial Statements. Our interest in the trusts is represented on our consolidated balance sheet as seller's interest, our interest in the receivables, and due from securitizations, our retained interests and credit enhancement components.</w:t>
      </w:r>
    </w:p>
    <w:p>
      <w:pPr>
        <w:spacing w:after="0" w:line="191" w:lineRule="exact"/>
        <w:rPr>
          <w:sz w:val="20"/>
          <w:szCs w:val="20"/>
          <w:color w:val="auto"/>
        </w:rPr>
      </w:pPr>
    </w:p>
    <w:p>
      <w:pPr>
        <w:ind w:right="20" w:firstLine="351"/>
        <w:spacing w:after="0" w:line="262" w:lineRule="auto"/>
        <w:rPr>
          <w:sz w:val="20"/>
          <w:szCs w:val="20"/>
          <w:color w:val="auto"/>
        </w:rPr>
      </w:pPr>
      <w:r>
        <w:rPr>
          <w:rFonts w:ascii="Times New Roman" w:cs="Times New Roman" w:eastAsia="Times New Roman" w:hAnsi="Times New Roman"/>
          <w:sz w:val="18"/>
          <w:szCs w:val="18"/>
          <w:color w:val="auto"/>
        </w:rPr>
        <w:t>In turn, the trusts issue bonds in the capital markets and notes in private transactions. The proceeds from the debt are used to fund the receivables, while cash collected from cardholders is used to finance new receivables and repay borrowings and related borrowing costs. The excess spread is remitted to us as finance charges, net.</w:t>
      </w:r>
    </w:p>
    <w:p>
      <w:pPr>
        <w:spacing w:after="0" w:line="186" w:lineRule="exact"/>
        <w:rPr>
          <w:sz w:val="20"/>
          <w:szCs w:val="20"/>
          <w:color w:val="auto"/>
        </w:rPr>
      </w:pPr>
    </w:p>
    <w:p>
      <w:pPr>
        <w:ind w:firstLine="351"/>
        <w:spacing w:after="0" w:line="254" w:lineRule="auto"/>
        <w:rPr>
          <w:sz w:val="20"/>
          <w:szCs w:val="20"/>
          <w:color w:val="auto"/>
        </w:rPr>
      </w:pPr>
      <w:r>
        <w:rPr>
          <w:rFonts w:ascii="Times New Roman" w:cs="Times New Roman" w:eastAsia="Times New Roman" w:hAnsi="Times New Roman"/>
          <w:sz w:val="18"/>
          <w:szCs w:val="18"/>
          <w:color w:val="auto"/>
        </w:rPr>
        <w:t>Our retained interest, often referred to as an interest only strip, is recorded at fair value. The fair value of our interest only strip represents the present value of the anticipated cash flows we have retained over the estimated outstanding period of the receivables. This anticipated excess cash flow consists of the excess of finance charges and past-due fees net of the sum of the return paid to bond holders, estimated contractual servicing fees and credit losses. Because there is not a highly liquid market for these assets, we estimated the fair value of the interest only strip primarily based upon discount, payment and default rates, which is the method we assume that another market participant would use to purchase the interest only strip. The estimated market assumptions are applied based upon the underlying loan portfolio grouped by loan types, terms, credit quality, interest rates and geographic location, which are the predominant characteristics that affect payment and default rates.</w:t>
      </w:r>
    </w:p>
    <w:p>
      <w:pPr>
        <w:spacing w:after="0" w:line="195" w:lineRule="exact"/>
        <w:rPr>
          <w:sz w:val="20"/>
          <w:szCs w:val="20"/>
          <w:color w:val="auto"/>
        </w:rPr>
      </w:pPr>
    </w:p>
    <w:p>
      <w:pPr>
        <w:ind w:right="200" w:firstLine="351"/>
        <w:spacing w:after="0" w:line="258" w:lineRule="auto"/>
        <w:rPr>
          <w:sz w:val="20"/>
          <w:szCs w:val="20"/>
          <w:color w:val="auto"/>
        </w:rPr>
      </w:pPr>
      <w:r>
        <w:rPr>
          <w:rFonts w:ascii="Times New Roman" w:cs="Times New Roman" w:eastAsia="Times New Roman" w:hAnsi="Times New Roman"/>
          <w:sz w:val="18"/>
          <w:szCs w:val="18"/>
          <w:color w:val="auto"/>
        </w:rPr>
        <w:t>Changes in the fair value of the interest only strip are reflected in financial statements as additional gains related to new receivables originated and securitized or other comprehensive income related to mark to market changes. In recording and accounting for interest only strip, we made assumptions about rates of payments and defaults, which we believe reasonably reflect economic and other relevant conditions that affect fair value. Due to subsequent changes in economic and other</w:t>
      </w:r>
    </w:p>
    <w:p>
      <w:pPr>
        <w:spacing w:after="0" w:line="1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relevant conditions, the actual rates of payments and defaults generally differ from our initial estimates, and these differences could sometimes be material. If actual payment and default rates are higher than previously assumed, the value of the interest only strip could be impaired and the decline in the fair value recorded in earnings. Further sensitivity information is provided in the Notes to the Consolidated Financial Statements. The interest only strip is equal to between 1.75% and 2.25% of average securitized receivables.</w:t>
      </w:r>
    </w:p>
    <w:p>
      <w:pPr>
        <w:spacing w:after="0" w:line="188" w:lineRule="exact"/>
        <w:rPr>
          <w:sz w:val="20"/>
          <w:szCs w:val="20"/>
          <w:color w:val="auto"/>
        </w:rPr>
      </w:pPr>
    </w:p>
    <w:p>
      <w:pPr>
        <w:jc w:val="both"/>
        <w:ind w:right="220" w:firstLine="348"/>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AIR MILES Reward Program. </w:t>
      </w:r>
      <w:r>
        <w:rPr>
          <w:rFonts w:ascii="Times New Roman" w:cs="Times New Roman" w:eastAsia="Times New Roman" w:hAnsi="Times New Roman"/>
          <w:sz w:val="18"/>
          <w:szCs w:val="18"/>
          <w:color w:val="auto"/>
        </w:rPr>
        <w:t>Because management has determined that the earnings process is not complete at the time an AIR MILES reward mile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issued, the recognition of revenue on all fees received based on issuance is deferred. We allocate the proceeds from issuances of AIR MILES reward miles into two components based on the relative fair value of the related element:</w:t>
      </w:r>
    </w:p>
    <w:p>
      <w:pPr>
        <w:spacing w:after="0" w:line="195" w:lineRule="exact"/>
        <w:rPr>
          <w:sz w:val="20"/>
          <w:szCs w:val="20"/>
          <w:color w:val="auto"/>
        </w:rPr>
      </w:pPr>
    </w:p>
    <w:p>
      <w:pPr>
        <w:ind w:left="1080" w:right="20" w:hanging="532"/>
        <w:spacing w:after="0" w:line="259"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Redemption element. </w:t>
      </w:r>
      <w:r>
        <w:rPr>
          <w:rFonts w:ascii="Times New Roman" w:cs="Times New Roman" w:eastAsia="Times New Roman" w:hAnsi="Times New Roman"/>
          <w:sz w:val="18"/>
          <w:szCs w:val="18"/>
          <w:color w:val="auto"/>
        </w:rPr>
        <w:t>The redemption element is the larger of the two components. For this component, we recognize revenue at the time an AIR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MILES reward mile is redeemed, or, for those AIR MILES reward miles that we estimate will go unredeemed by the collector base, known as "breakage," over the estimated life of an AIR MILES reward mile. The total amount of deferred revenue related to the redemption element is shown on the balance sheet as "Deferred Revenue—Redemption."</w:t>
      </w:r>
    </w:p>
    <w:p>
      <w:pPr>
        <w:spacing w:after="0" w:line="213" w:lineRule="exact"/>
        <w:rPr>
          <w:rFonts w:ascii="Times New Roman" w:cs="Times New Roman" w:eastAsia="Times New Roman" w:hAnsi="Times New Roman"/>
          <w:sz w:val="18"/>
          <w:szCs w:val="18"/>
          <w:color w:val="auto"/>
        </w:rPr>
      </w:pPr>
    </w:p>
    <w:p>
      <w:pPr>
        <w:ind w:left="1080" w:right="200" w:hanging="532"/>
        <w:spacing w:after="0" w:line="264"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Service element. </w:t>
      </w:r>
      <w:r>
        <w:rPr>
          <w:rFonts w:ascii="Times New Roman" w:cs="Times New Roman" w:eastAsia="Times New Roman" w:hAnsi="Times New Roman"/>
          <w:sz w:val="18"/>
          <w:szCs w:val="18"/>
          <w:color w:val="auto"/>
        </w:rPr>
        <w:t>For this component, which consists of marketing and administrative services provided to sponsors, we recognize revenue pro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rata over the estimated life of an AIR MILES reward mile. The total amount of deferred revenue related to the service element is shown on the balance sheet as "Deferred Revenue—Service."</w:t>
      </w:r>
    </w:p>
    <w:p>
      <w:pPr>
        <w:spacing w:after="0" w:line="183" w:lineRule="exact"/>
        <w:rPr>
          <w:sz w:val="20"/>
          <w:szCs w:val="20"/>
          <w:color w:val="auto"/>
        </w:rPr>
      </w:pPr>
    </w:p>
    <w:p>
      <w:pPr>
        <w:ind w:right="100" w:firstLine="351"/>
        <w:spacing w:after="0" w:line="262" w:lineRule="auto"/>
        <w:rPr>
          <w:sz w:val="20"/>
          <w:szCs w:val="20"/>
          <w:color w:val="auto"/>
        </w:rPr>
      </w:pPr>
      <w:r>
        <w:rPr>
          <w:rFonts w:ascii="Times New Roman" w:cs="Times New Roman" w:eastAsia="Times New Roman" w:hAnsi="Times New Roman"/>
          <w:sz w:val="18"/>
          <w:szCs w:val="18"/>
          <w:color w:val="auto"/>
        </w:rPr>
        <w:t>Under certain of our contracts, a portion of the proceeds is paid to us at the issuance of AIR MILES reward miles and a portion is paid at the time of redemption. Under such contracts the proceeds received at issuance are initially deferred as service revenue and the revenue and earnings are recognized pro rata over the estimated life of an AIR MILES reward mile.</w:t>
      </w:r>
    </w:p>
    <w:p>
      <w:pPr>
        <w:spacing w:after="0" w:line="186" w:lineRule="exact"/>
        <w:rPr>
          <w:sz w:val="20"/>
          <w:szCs w:val="20"/>
          <w:color w:val="auto"/>
        </w:rPr>
      </w:pPr>
    </w:p>
    <w:p>
      <w:pPr>
        <w:ind w:right="240" w:firstLine="348"/>
        <w:spacing w:after="0" w:line="310" w:lineRule="auto"/>
        <w:rPr>
          <w:sz w:val="20"/>
          <w:szCs w:val="20"/>
          <w:color w:val="auto"/>
        </w:rPr>
      </w:pPr>
      <w:r>
        <w:rPr>
          <w:rFonts w:ascii="Times New Roman" w:cs="Times New Roman" w:eastAsia="Times New Roman" w:hAnsi="Times New Roman"/>
          <w:sz w:val="16"/>
          <w:szCs w:val="16"/>
          <w:color w:val="auto"/>
        </w:rPr>
        <w:t>The amount of revenue ultimately recognized is subject to the estimated life of an AIR MILES reward mile. Based on our historical analysis, we make a determination as to average life of an AIR MILES reward mile. The estimated life is actively monitored by management and subject to external influences that may cause actual performance to differ from estimates. The estimated life of an AIR MILES reward mile is 42 months and has not changed in 2002.</w:t>
      </w:r>
    </w:p>
    <w:p>
      <w:pPr>
        <w:spacing w:after="0" w:line="151" w:lineRule="exact"/>
        <w:rPr>
          <w:sz w:val="20"/>
          <w:szCs w:val="20"/>
          <w:color w:val="auto"/>
        </w:rPr>
      </w:pPr>
    </w:p>
    <w:p>
      <w:pPr>
        <w:ind w:right="200" w:firstLine="348"/>
        <w:spacing w:after="0" w:line="256" w:lineRule="auto"/>
        <w:rPr>
          <w:sz w:val="20"/>
          <w:szCs w:val="20"/>
          <w:color w:val="auto"/>
        </w:rPr>
      </w:pPr>
      <w:r>
        <w:rPr>
          <w:rFonts w:ascii="Times New Roman" w:cs="Times New Roman" w:eastAsia="Times New Roman" w:hAnsi="Times New Roman"/>
          <w:sz w:val="18"/>
          <w:szCs w:val="18"/>
          <w:color w:val="auto"/>
        </w:rPr>
        <w:t>We believe that the issuance and redemption of AIR MILES reward miles is influenced by the nature and volume of sponsors, the type of rewards offered, the overall health of the Canadian economy, the nature and extent of AIR MILES promotional activity in the marketplace and the extent of competing loyalty programs. These influences will primarily affect the average life of an AIR MILES reward mile. The shortening of the life of an AIR MILES reward mile will accelerate the recognition of revenue and may affect the breakage rate. As of December 31, 2002, we had $360.1 million in deferred revenue that will be recognized in the future.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Inter-Segment Sales</w:t>
      </w:r>
    </w:p>
    <w:p>
      <w:pPr>
        <w:spacing w:after="0" w:line="227" w:lineRule="exact"/>
        <w:rPr>
          <w:sz w:val="20"/>
          <w:szCs w:val="20"/>
          <w:color w:val="auto"/>
        </w:rPr>
      </w:pPr>
    </w:p>
    <w:p>
      <w:pPr>
        <w:ind w:right="20" w:firstLine="351"/>
        <w:spacing w:after="0" w:line="258" w:lineRule="auto"/>
        <w:rPr>
          <w:sz w:val="20"/>
          <w:szCs w:val="20"/>
          <w:color w:val="auto"/>
        </w:rPr>
      </w:pPr>
      <w:r>
        <w:rPr>
          <w:rFonts w:ascii="Times New Roman" w:cs="Times New Roman" w:eastAsia="Times New Roman" w:hAnsi="Times New Roman"/>
          <w:sz w:val="18"/>
          <w:szCs w:val="18"/>
          <w:color w:val="auto"/>
        </w:rPr>
        <w:t>Our Transaction Services segment performs card processing and servicing activities related to our Credit Services segment. For this, our Transaction Services segment receives a fee equal to its direct costs before corporate overhead plus a margin. The margin is based on current market rates for similar services. This fee represents an operating cost to the Credit Services segment and a corresponding revenue for our Transaction Services segment. Inter-segment sales are eliminated upon consolidation.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EBITDA and Operating EBITDA</w:t>
      </w:r>
    </w:p>
    <w:p>
      <w:pPr>
        <w:spacing w:after="0" w:line="227" w:lineRule="exact"/>
        <w:rPr>
          <w:sz w:val="20"/>
          <w:szCs w:val="20"/>
          <w:color w:val="auto"/>
        </w:rPr>
      </w:pPr>
    </w:p>
    <w:p>
      <w:pPr>
        <w:ind w:right="120" w:firstLine="348"/>
        <w:spacing w:after="0" w:line="275" w:lineRule="auto"/>
        <w:rPr>
          <w:sz w:val="20"/>
          <w:szCs w:val="20"/>
          <w:color w:val="auto"/>
        </w:rPr>
      </w:pPr>
      <w:r>
        <w:rPr>
          <w:rFonts w:ascii="Times New Roman" w:cs="Times New Roman" w:eastAsia="Times New Roman" w:hAnsi="Times New Roman"/>
          <w:sz w:val="18"/>
          <w:szCs w:val="18"/>
          <w:color w:val="auto"/>
        </w:rPr>
        <w:t>We evaluate operating performance based on several factors, one of which is operating income plus depreciation and amortization, or "EBITDA." EBITDA is presented because it is an integral part</w:t>
      </w:r>
    </w:p>
    <w:p>
      <w:pPr>
        <w:sectPr>
          <w:pgSz w:w="11900" w:h="16838" w:orient="portrait"/>
          <w:cols w:equalWidth="0" w:num="1">
            <w:col w:w="11400"/>
          </w:cols>
          <w:pgMar w:left="240" w:top="125" w:right="259" w:bottom="0" w:gutter="0" w:footer="0" w:header="0"/>
        </w:sectPr>
      </w:pPr>
    </w:p>
    <w:bookmarkStart w:id="17" w:name="page18"/>
    <w:bookmarkEnd w:id="17"/>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of our internal reporting and performance evaluation for senior management. EBITDA eliminates the uneven effect across all segments of considerable amounts of non-cash amortization of purchased intangibles recognized in business combinations accounted for under the purchase method. In addition, we use operating EBITDA to monitor compliance with the financial covenants in our amended credit agreement such as debt-to-operating EBITDA, interest coverage ratios and minimum operating EBITDA. We also use operating EBITDA to measure performance and liquidity. EBITDA and operating EBITDA are not intended to be performance measures that should be regarded as an alternative to, or more meaningful than, either operating income or net income as an indicator of operating performance or to the statement of cash flows as a measure of liquidity. In addition, EBITDA and operating EBITDA are not intended to represent funds available for dividends, reinvestment or other discretionary uses, and should not be considered in isolation or as a substitute for measures of performance prepared in accordance with generally accepted accounting principles. The EBITDA and operating EBITDA measures presented in this Form 10-K may not be comparable to similarly titled measures presented by other companies.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2001 compared to the year ended December 31, 2002</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Year ended December 31,</w:t>
            </w: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96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39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40" w:type="dxa"/>
            <w:vAlign w:val="bottom"/>
            <w:gridSpan w:val="3"/>
          </w:tcPr>
          <w:p>
            <w:pPr>
              <w:jc w:val="right"/>
              <w:ind w:right="78"/>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2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EBITDA</w:t>
            </w: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80" w:type="dxa"/>
            <w:vAlign w:val="bottom"/>
            <w:gridSpan w:val="4"/>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Operating income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96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39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418"/>
              <w:spacing w:after="0"/>
              <w:rPr>
                <w:sz w:val="20"/>
                <w:szCs w:val="20"/>
                <w:color w:val="auto"/>
              </w:rPr>
            </w:pPr>
            <w:r>
              <w:rPr>
                <w:rFonts w:ascii="Times New Roman" w:cs="Times New Roman" w:eastAsia="Times New Roman" w:hAnsi="Times New Roman"/>
                <w:sz w:val="14"/>
                <w:szCs w:val="14"/>
                <w:b w:val="1"/>
                <w:bCs w:val="1"/>
                <w:color w:val="auto"/>
              </w:rPr>
              <w:t>2001</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20" w:type="dxa"/>
            <w:vAlign w:val="bottom"/>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2002</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2001</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00" w:type="dxa"/>
            <w:vAlign w:val="bottom"/>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w w:val="92"/>
              </w:rPr>
              <w:t>2002</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ind w:right="298"/>
              <w:spacing w:after="0"/>
              <w:rPr>
                <w:sz w:val="20"/>
                <w:szCs w:val="20"/>
                <w:color w:val="auto"/>
              </w:rPr>
            </w:pPr>
            <w:r>
              <w:rPr>
                <w:rFonts w:ascii="Times New Roman" w:cs="Times New Roman" w:eastAsia="Times New Roman" w:hAnsi="Times New Roman"/>
                <w:sz w:val="14"/>
                <w:szCs w:val="14"/>
                <w:b w:val="1"/>
                <w:bCs w:val="1"/>
                <w:color w:val="auto"/>
              </w:rPr>
              <w:t>2001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2002</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96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39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2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(amounts in thousands)</w:t>
            </w: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3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Transaction Services</w:t>
            </w:r>
          </w:p>
        </w:tc>
        <w:tc>
          <w:tcPr>
            <w:tcW w:w="28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503,178</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78"/>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538,361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70,066</w:t>
            </w:r>
          </w:p>
        </w:tc>
        <w:tc>
          <w:tcPr>
            <w:tcW w:w="5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76,772</w:t>
            </w:r>
          </w:p>
        </w:tc>
        <w:tc>
          <w:tcPr>
            <w:tcW w:w="1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25,351</w:t>
            </w: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Credit Services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289,420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342,132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29,159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37,911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25,689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Marketing Services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201,651</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236,584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29,202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32,440</w:t>
            </w:r>
          </w:p>
        </w:tc>
        <w:tc>
          <w:tcPr>
            <w:tcW w:w="1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17,316</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Other and eliminations</w:t>
            </w:r>
          </w:p>
        </w:tc>
        <w:tc>
          <w:tcPr>
            <w:tcW w:w="28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(216,898)</w:t>
            </w:r>
          </w:p>
        </w:tc>
        <w:tc>
          <w:tcPr>
            <w:tcW w:w="34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(245,626)</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396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96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777,351</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78"/>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871,451</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128,427</w:t>
            </w:r>
          </w:p>
        </w:tc>
        <w:tc>
          <w:tcPr>
            <w:tcW w:w="5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147,123</w:t>
            </w:r>
          </w:p>
        </w:tc>
        <w:tc>
          <w:tcPr>
            <w:tcW w:w="12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54,223</w:t>
            </w: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80,648</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96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96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02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7164070</wp:posOffset>
            </wp:positionH>
            <wp:positionV relativeFrom="paragraph">
              <wp:posOffset>-1789430</wp:posOffset>
            </wp:positionV>
            <wp:extent cx="1270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2524125</wp:posOffset>
            </wp:positionH>
            <wp:positionV relativeFrom="paragraph">
              <wp:posOffset>-1789430</wp:posOffset>
            </wp:positionV>
            <wp:extent cx="1270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4187825</wp:posOffset>
            </wp:positionH>
            <wp:positionV relativeFrom="paragraph">
              <wp:posOffset>-1540510</wp:posOffset>
            </wp:positionV>
            <wp:extent cx="1270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2524125</wp:posOffset>
            </wp:positionH>
            <wp:positionV relativeFrom="paragraph">
              <wp:posOffset>-1540510</wp:posOffset>
            </wp:positionV>
            <wp:extent cx="1270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-1540510</wp:posOffset>
            </wp:positionV>
            <wp:extent cx="1270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4273550</wp:posOffset>
            </wp:positionH>
            <wp:positionV relativeFrom="paragraph">
              <wp:posOffset>-1540510</wp:posOffset>
            </wp:positionV>
            <wp:extent cx="1270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-1540510</wp:posOffset>
            </wp:positionV>
            <wp:extent cx="1270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-1540510</wp:posOffset>
            </wp:positionV>
            <wp:extent cx="1270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3313430</wp:posOffset>
            </wp:positionH>
            <wp:positionV relativeFrom="paragraph">
              <wp:posOffset>-1292225</wp:posOffset>
            </wp:positionV>
            <wp:extent cx="1270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2524125</wp:posOffset>
            </wp:positionH>
            <wp:positionV relativeFrom="paragraph">
              <wp:posOffset>-1292225</wp:posOffset>
            </wp:positionV>
            <wp:extent cx="1270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4187825</wp:posOffset>
            </wp:positionH>
            <wp:positionV relativeFrom="paragraph">
              <wp:posOffset>-1292225</wp:posOffset>
            </wp:positionV>
            <wp:extent cx="1270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3399155</wp:posOffset>
            </wp:positionH>
            <wp:positionV relativeFrom="paragraph">
              <wp:posOffset>-1292225</wp:posOffset>
            </wp:positionV>
            <wp:extent cx="1270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-1292225</wp:posOffset>
            </wp:positionV>
            <wp:extent cx="1270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4273550</wp:posOffset>
            </wp:positionH>
            <wp:positionV relativeFrom="paragraph">
              <wp:posOffset>-1292225</wp:posOffset>
            </wp:positionV>
            <wp:extent cx="1270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-1292225</wp:posOffset>
            </wp:positionV>
            <wp:extent cx="1270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-1292225</wp:posOffset>
            </wp:positionV>
            <wp:extent cx="1270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-1292225</wp:posOffset>
            </wp:positionV>
            <wp:extent cx="1270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-1292225</wp:posOffset>
            </wp:positionV>
            <wp:extent cx="1270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-1292225</wp:posOffset>
            </wp:positionV>
            <wp:extent cx="1270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-1292225</wp:posOffset>
            </wp:positionV>
            <wp:extent cx="1270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3313430</wp:posOffset>
            </wp:positionH>
            <wp:positionV relativeFrom="paragraph">
              <wp:posOffset>-340360</wp:posOffset>
            </wp:positionV>
            <wp:extent cx="1270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2524125</wp:posOffset>
            </wp:positionH>
            <wp:positionV relativeFrom="paragraph">
              <wp:posOffset>-340360</wp:posOffset>
            </wp:positionV>
            <wp:extent cx="1270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4187825</wp:posOffset>
            </wp:positionH>
            <wp:positionV relativeFrom="paragraph">
              <wp:posOffset>-340360</wp:posOffset>
            </wp:positionV>
            <wp:extent cx="1270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3399155</wp:posOffset>
            </wp:positionH>
            <wp:positionV relativeFrom="paragraph">
              <wp:posOffset>-340360</wp:posOffset>
            </wp:positionV>
            <wp:extent cx="1270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-340360</wp:posOffset>
            </wp:positionV>
            <wp:extent cx="1270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4273550</wp:posOffset>
            </wp:positionH>
            <wp:positionV relativeFrom="paragraph">
              <wp:posOffset>-340360</wp:posOffset>
            </wp:positionV>
            <wp:extent cx="1270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-340360</wp:posOffset>
            </wp:positionV>
            <wp:extent cx="1270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-340360</wp:posOffset>
            </wp:positionV>
            <wp:extent cx="1270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-340360</wp:posOffset>
            </wp:positionV>
            <wp:extent cx="1270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-340360</wp:posOffset>
            </wp:positionV>
            <wp:extent cx="1270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-340360</wp:posOffset>
            </wp:positionV>
            <wp:extent cx="1270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-340360</wp:posOffset>
            </wp:positionV>
            <wp:extent cx="1270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5" w:lineRule="exact"/>
        <w:rPr>
          <w:sz w:val="20"/>
          <w:szCs w:val="20"/>
          <w:color w:val="auto"/>
        </w:rPr>
      </w:pPr>
    </w:p>
    <w:p>
      <w:pPr>
        <w:ind w:right="500" w:firstLine="351"/>
        <w:spacing w:after="0" w:line="342" w:lineRule="auto"/>
        <w:rPr>
          <w:sz w:val="20"/>
          <w:szCs w:val="20"/>
          <w:color w:val="auto"/>
        </w:rPr>
      </w:pPr>
      <w:r>
        <w:rPr>
          <w:rFonts w:ascii="Times New Roman" w:cs="Times New Roman" w:eastAsia="Times New Roman" w:hAnsi="Times New Roman"/>
          <w:sz w:val="16"/>
          <w:szCs w:val="16"/>
          <w:i w:val="1"/>
          <w:iCs w:val="1"/>
          <w:color w:val="auto"/>
        </w:rPr>
        <w:t xml:space="preserve">Revenue. </w:t>
      </w:r>
      <w:r>
        <w:rPr>
          <w:rFonts w:ascii="Times New Roman" w:cs="Times New Roman" w:eastAsia="Times New Roman" w:hAnsi="Times New Roman"/>
          <w:sz w:val="16"/>
          <w:szCs w:val="16"/>
          <w:color w:val="auto"/>
        </w:rPr>
        <w:t>Total revenue increased $94.1 million, or 12.1%, to $871.5 million for 2002 from $777.4 million for 2001. The increase was due to a 7.0%</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increase in Transaction Services revenue, an 18.2% increase in Credit Services revenue and a 17.3% increase in Marketing Services revenue as follows:</w:t>
      </w:r>
    </w:p>
    <w:p>
      <w:pPr>
        <w:spacing w:after="0" w:line="137" w:lineRule="exact"/>
        <w:rPr>
          <w:sz w:val="20"/>
          <w:szCs w:val="20"/>
          <w:color w:val="auto"/>
        </w:rPr>
      </w:pPr>
    </w:p>
    <w:p>
      <w:pPr>
        <w:ind w:left="1080" w:hanging="532"/>
        <w:spacing w:after="0" w:line="289" w:lineRule="auto"/>
        <w:tabs>
          <w:tab w:leader="none" w:pos="108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Transaction Services. </w:t>
      </w:r>
      <w:r>
        <w:rPr>
          <w:rFonts w:ascii="Times New Roman" w:cs="Times New Roman" w:eastAsia="Times New Roman" w:hAnsi="Times New Roman"/>
          <w:sz w:val="16"/>
          <w:szCs w:val="16"/>
          <w:color w:val="auto"/>
        </w:rPr>
        <w:t>Transaction Services revenue increased $35.2 million, or 7.0%, primarily due to increases in the generation of statements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and in the revenue per statement generated, partially offset by a decrease in transactions processed. The increase in statements generated includes a change in the mix of statements generated. During 2002, utility services statements increased 130.8%, while serviced-only private label statements declined 72.8%. The increase in the number of statements generated by utility services was led by a full year of statements for Georgia Natural Gas and Puget Sound Energy. The decline in serviced-only private label is associated with the deconversion of Charming Shoppes, which led to a decrease in statements generated in the first half of the year. Full service private label statements generated increased 7.5%, primarily due to the addition of Pottery Barn, Restoration Hardware, Crate &amp; Barrel, and Ann Taylor during 2002. In addition, the increase in utility services and full service private label statements led to an increase in revenue per statement of 12.0%. The decrease in transactions processed was the result of pruning of non-core accounts, which led to a decrease in merchant services revenue in the third and fourth quarters of 2002.</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ind w:left="1080" w:right="20" w:hanging="532"/>
        <w:spacing w:after="0" w:line="255"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Credit Services. </w:t>
      </w:r>
      <w:r>
        <w:rPr>
          <w:rFonts w:ascii="Times New Roman" w:cs="Times New Roman" w:eastAsia="Times New Roman" w:hAnsi="Times New Roman"/>
          <w:sz w:val="18"/>
          <w:szCs w:val="18"/>
          <w:color w:val="auto"/>
        </w:rPr>
        <w:t>Credit Services revenue increased $52.7 million, or 18.2%, due to increases in merchant discount fees, servicing fees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finance charges, net. Servicing fee income increased by $5.3 million, or 12.9%, during 2002 due to an increase in the average outstanding balance of the securitized credit card receivables. Finance charges, net, increased $35.2 million, or 20.9%, during 2002 as a result of a 9.6% higher average outstanding securitized portfolio. The net yield on our retail portfolio for 2002 was approximately 40 basis points higher than in 2001. The increase in the net yield is largely related to lower net charge-offs in 2002, in addition to lower financing costs. The increase in merchant discount fees is related to the 21.6% increase in private label credit sales.</w:t>
      </w:r>
    </w:p>
    <w:p>
      <w:pPr>
        <w:spacing w:after="0" w:line="206" w:lineRule="exact"/>
        <w:rPr>
          <w:rFonts w:ascii="Times New Roman" w:cs="Times New Roman" w:eastAsia="Times New Roman" w:hAnsi="Times New Roman"/>
          <w:sz w:val="18"/>
          <w:szCs w:val="18"/>
          <w:color w:val="auto"/>
        </w:rPr>
      </w:pPr>
    </w:p>
    <w:p>
      <w:pPr>
        <w:ind w:left="1080" w:right="100" w:hanging="532"/>
        <w:spacing w:after="0" w:line="257"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Marketing Services. </w:t>
      </w:r>
      <w:r>
        <w:rPr>
          <w:rFonts w:ascii="Times New Roman" w:cs="Times New Roman" w:eastAsia="Times New Roman" w:hAnsi="Times New Roman"/>
          <w:sz w:val="18"/>
          <w:szCs w:val="18"/>
          <w:color w:val="auto"/>
        </w:rPr>
        <w:t>Marketing Services revenue increased $34.9 million, or 17.3%, primarily due to an increase in redemption revenue related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a 27.9% increase in the redemption of AIR MILES reward miles. Additionally, services revenue increased 10.8% as a result of a 9.0% increase in the number of AIR MILES reward miles issued and the corresponding recognition of deferred revenue balances. As a result of the increased issuance activity, our deferred revenue balance increased 9.3% to $360.1 million at December 31, 2002 from $329.5 million at December 31, 2001.</w:t>
      </w:r>
    </w:p>
    <w:p>
      <w:pPr>
        <w:spacing w:after="0" w:line="188" w:lineRule="exact"/>
        <w:rPr>
          <w:sz w:val="20"/>
          <w:szCs w:val="20"/>
          <w:color w:val="auto"/>
        </w:rPr>
      </w:pPr>
    </w:p>
    <w:p>
      <w:pPr>
        <w:ind w:right="240" w:firstLine="351"/>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Operating Expenses. </w:t>
      </w:r>
      <w:r>
        <w:rPr>
          <w:rFonts w:ascii="Times New Roman" w:cs="Times New Roman" w:eastAsia="Times New Roman" w:hAnsi="Times New Roman"/>
          <w:sz w:val="18"/>
          <w:szCs w:val="18"/>
          <w:color w:val="auto"/>
        </w:rPr>
        <w:t>Total operating expenses, excluding depreciation and amortization, increased $75.4 million, or 11.6%, to $724.3 million for 2002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$648.9 million for 2001. Total EBITDA margin increased to 16.9% for 2002 from 16.5% for 2001. The increase in EBITDA margin is due to increases in Transaction Services and Credit Services margins, partially offset by a decrease in Marketing Services margins.</w:t>
      </w:r>
    </w:p>
    <w:p>
      <w:pPr>
        <w:spacing w:after="0" w:line="195" w:lineRule="exact"/>
        <w:rPr>
          <w:sz w:val="20"/>
          <w:szCs w:val="20"/>
          <w:color w:val="auto"/>
        </w:rPr>
      </w:pPr>
    </w:p>
    <w:p>
      <w:pPr>
        <w:ind w:left="1080" w:right="200" w:hanging="532"/>
        <w:spacing w:after="0" w:line="259"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Transaction Services. </w:t>
      </w:r>
      <w:r>
        <w:rPr>
          <w:rFonts w:ascii="Times New Roman" w:cs="Times New Roman" w:eastAsia="Times New Roman" w:hAnsi="Times New Roman"/>
          <w:sz w:val="18"/>
          <w:szCs w:val="18"/>
          <w:color w:val="auto"/>
        </w:rPr>
        <w:t>Transaction Services operating expenses, excluding depreciation and amortization, increased $28.5 million, or 6.6%,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$461.6 million for 2002 from $433.1 million for 2001, and EBITDA margin increased to 14.3% for 2002 from 13.9% for 2001. The increase in EBITDA margin was primarily driven by the increased statement volumes in utilities services in addition to operational efficiencies in merchant services as a result of our pruning of non-core accounts and reduction of related expenses.</w:t>
      </w:r>
    </w:p>
    <w:p>
      <w:pPr>
        <w:spacing w:after="0" w:line="213"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Credit Services.  </w:t>
      </w:r>
      <w:r>
        <w:rPr>
          <w:rFonts w:ascii="Times New Roman" w:cs="Times New Roman" w:eastAsia="Times New Roman" w:hAnsi="Times New Roman"/>
          <w:sz w:val="18"/>
          <w:szCs w:val="18"/>
          <w:color w:val="auto"/>
        </w:rPr>
        <w:t>Credit Services operating expenses, excluding depreciation and amortization, increased $43.9 million, or 16.9%, to</w:t>
      </w:r>
    </w:p>
    <w:p>
      <w:pPr>
        <w:spacing w:after="0" w:line="23" w:lineRule="exact"/>
        <w:rPr>
          <w:rFonts w:ascii="Times New Roman" w:cs="Times New Roman" w:eastAsia="Times New Roman" w:hAnsi="Times New Roman"/>
          <w:sz w:val="18"/>
          <w:szCs w:val="18"/>
          <w:color w:val="auto"/>
        </w:rPr>
      </w:pPr>
    </w:p>
    <w:p>
      <w:pPr>
        <w:ind w:left="1080" w:right="60"/>
        <w:spacing w:after="0" w:line="32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$304.2 million for 2002 from $260.3 million for 2001, and EBITDA margin increased to 11.1% for 2002 from 10.1% for 2001. The increase in EBITDA margin is the result of lower net charge-offs and financing costs; excluding these factors, the increase in operating expenses is consistent</w:t>
      </w:r>
    </w:p>
    <w:p>
      <w:pPr>
        <w:sectPr>
          <w:pgSz w:w="11900" w:h="16838" w:orient="portrait"/>
          <w:cols w:equalWidth="0" w:num="1">
            <w:col w:w="11420"/>
          </w:cols>
          <w:pgMar w:left="240" w:top="125" w:right="239" w:bottom="0" w:gutter="0" w:footer="0" w:header="0"/>
        </w:sectPr>
      </w:pPr>
    </w:p>
    <w:bookmarkStart w:id="18" w:name="page19"/>
    <w:bookmarkEnd w:id="18"/>
    <w:p>
      <w:pPr>
        <w:ind w:left="1080"/>
        <w:spacing w:after="0"/>
        <w:rPr>
          <w:sz w:val="20"/>
          <w:szCs w:val="20"/>
          <w:color w:val="auto"/>
        </w:rPr>
      </w:pPr>
      <w:r>
        <w:rPr>
          <w:rFonts w:ascii="Times New Roman" w:cs="Times New Roman" w:eastAsia="Times New Roman" w:hAnsi="Times New Roman"/>
          <w:sz w:val="18"/>
          <w:szCs w:val="18"/>
          <w:color w:val="auto"/>
        </w:rPr>
        <w:t>with the increase in revenues.</w:t>
      </w:r>
    </w:p>
    <w:p>
      <w:pPr>
        <w:spacing w:after="0" w:line="237" w:lineRule="exact"/>
        <w:rPr>
          <w:sz w:val="20"/>
          <w:szCs w:val="20"/>
          <w:color w:val="auto"/>
        </w:rPr>
      </w:pPr>
    </w:p>
    <w:p>
      <w:pPr>
        <w:ind w:left="1080" w:right="180" w:hanging="532"/>
        <w:spacing w:after="0" w:line="259"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Marketing Services. </w:t>
      </w:r>
      <w:r>
        <w:rPr>
          <w:rFonts w:ascii="Times New Roman" w:cs="Times New Roman" w:eastAsia="Times New Roman" w:hAnsi="Times New Roman"/>
          <w:sz w:val="18"/>
          <w:szCs w:val="18"/>
          <w:color w:val="auto"/>
        </w:rPr>
        <w:t>Marketing Services operating expenses, excluding depreciation and amortization, increased $31.7 million, or 18.4%,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$204.1 million for 2002 from $172.4 million for 2001, and EBITDA margin decreased to 13.7% for 2002 from 14.5% for 2001. The decrease in EBITDA margin is primarily the result of an increase in marketing expense related to a brand refreshing campaign for the AIR MILES Reward Program in the fourth quarter of 2002.</w:t>
      </w:r>
    </w:p>
    <w:p>
      <w:pPr>
        <w:spacing w:after="0" w:line="213" w:lineRule="exact"/>
        <w:rPr>
          <w:rFonts w:ascii="Times New Roman" w:cs="Times New Roman" w:eastAsia="Times New Roman" w:hAnsi="Times New Roman"/>
          <w:sz w:val="18"/>
          <w:szCs w:val="18"/>
          <w:color w:val="auto"/>
        </w:rPr>
      </w:pPr>
    </w:p>
    <w:p>
      <w:pPr>
        <w:ind w:left="1080" w:right="140" w:hanging="532"/>
        <w:spacing w:after="0" w:line="259"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Depreciation and Amortization. </w:t>
      </w:r>
      <w:r>
        <w:rPr>
          <w:rFonts w:ascii="Times New Roman" w:cs="Times New Roman" w:eastAsia="Times New Roman" w:hAnsi="Times New Roman"/>
          <w:sz w:val="18"/>
          <w:szCs w:val="18"/>
          <w:color w:val="auto"/>
        </w:rPr>
        <w:t>Depreciation and amortization decreased $7.7 million, or 10.4%, to $66.5 million for 2002 from $74.2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2001. The decrease is primarily due to a decrease in amortization of purchased intangibles of $18.8 million related to the non-amortization of goodwill in 2002 in accordance with Statement of Financial Accounting Standards ("SFAS") No. 142. The decrease was partially offset by an increase in depreciation and amortization from increased capital expenditures.</w:t>
      </w:r>
    </w:p>
    <w:p>
      <w:pPr>
        <w:spacing w:after="0" w:line="187" w:lineRule="exact"/>
        <w:rPr>
          <w:sz w:val="20"/>
          <w:szCs w:val="20"/>
          <w:color w:val="auto"/>
        </w:rPr>
      </w:pPr>
    </w:p>
    <w:p>
      <w:pPr>
        <w:ind w:right="620" w:firstLine="351"/>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Operating Income. </w:t>
      </w:r>
      <w:r>
        <w:rPr>
          <w:rFonts w:ascii="Times New Roman" w:cs="Times New Roman" w:eastAsia="Times New Roman" w:hAnsi="Times New Roman"/>
          <w:sz w:val="18"/>
          <w:szCs w:val="18"/>
          <w:color w:val="auto"/>
        </w:rPr>
        <w:t>Operating income increased $26.4 million, or 48.7%, to $80.6 million for 2002 from $54.2 million for 2001. Operating income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increased primarily from revenue gains with modest increase of EBITDA margins and a decrease in depreciation and amortization.</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right="80" w:firstLine="351"/>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Interest Expense. </w:t>
      </w:r>
      <w:r>
        <w:rPr>
          <w:rFonts w:ascii="Times New Roman" w:cs="Times New Roman" w:eastAsia="Times New Roman" w:hAnsi="Times New Roman"/>
          <w:sz w:val="18"/>
          <w:szCs w:val="18"/>
          <w:color w:val="auto"/>
        </w:rPr>
        <w:t>Interest expense decreased $8.9 million, or 29.6%, to $21.2 million for 2002 from $30.1 million for 2001 due in part to the repayment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$50.0 million of subordinated debt to Welsh Carson and Limited Brands in 2002. Additionally, we had lower average debt outstanding and experienced lower interest rates.</w:t>
      </w:r>
    </w:p>
    <w:p>
      <w:pPr>
        <w:spacing w:after="0" w:line="181" w:lineRule="exact"/>
        <w:rPr>
          <w:sz w:val="20"/>
          <w:szCs w:val="20"/>
          <w:color w:val="auto"/>
        </w:rPr>
      </w:pPr>
    </w:p>
    <w:p>
      <w:pPr>
        <w:ind w:right="140" w:firstLine="351"/>
        <w:spacing w:after="0" w:line="302" w:lineRule="auto"/>
        <w:rPr>
          <w:sz w:val="20"/>
          <w:szCs w:val="20"/>
          <w:color w:val="auto"/>
        </w:rPr>
      </w:pPr>
      <w:r>
        <w:rPr>
          <w:rFonts w:ascii="Times New Roman" w:cs="Times New Roman" w:eastAsia="Times New Roman" w:hAnsi="Times New Roman"/>
          <w:sz w:val="16"/>
          <w:szCs w:val="16"/>
          <w:i w:val="1"/>
          <w:iCs w:val="1"/>
          <w:color w:val="auto"/>
        </w:rPr>
        <w:t xml:space="preserve">Fair Value Loss on Derivatives. </w:t>
      </w:r>
      <w:r>
        <w:rPr>
          <w:rFonts w:ascii="Times New Roman" w:cs="Times New Roman" w:eastAsia="Times New Roman" w:hAnsi="Times New Roman"/>
          <w:sz w:val="16"/>
          <w:szCs w:val="16"/>
          <w:color w:val="auto"/>
        </w:rPr>
        <w:t>During 2002, we incurred a $12.0 million fair value loss on an interest rate swap compared to $15.1 million loss in 2001.</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Part of the fair value loss was associated with cash payments we made to counter-parties of $9.4 million and $5.3 million in 2002 and 2001, respectively. In accordance with SFAS No. 133, fair value changes in derivative instruments that do not meet the accounting criteria for hedge treatment are recorded as part of earnings. The related derivative is a $200.0 million notional amount interest rate swap that swaps a LIBOR based variable interest rate for a fixed interest rate.</w:t>
      </w:r>
    </w:p>
    <w:p>
      <w:pPr>
        <w:spacing w:after="0" w:line="154" w:lineRule="exact"/>
        <w:rPr>
          <w:sz w:val="20"/>
          <w:szCs w:val="20"/>
          <w:color w:val="auto"/>
        </w:rPr>
      </w:pPr>
    </w:p>
    <w:p>
      <w:pPr>
        <w:ind w:right="120" w:firstLine="351"/>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Taxes. </w:t>
      </w:r>
      <w:r>
        <w:rPr>
          <w:rFonts w:ascii="Times New Roman" w:cs="Times New Roman" w:eastAsia="Times New Roman" w:hAnsi="Times New Roman"/>
          <w:sz w:val="18"/>
          <w:szCs w:val="18"/>
          <w:color w:val="auto"/>
        </w:rPr>
        <w:t>Income tax expense increased $9.1 million to $20.7 million in 2002 from $11.6 million in 2001 due to an increase in taxable income. The effective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rate decreased to 43.6% in 2002 from 290.7% in 2001.</w:t>
      </w:r>
    </w:p>
    <w:p>
      <w:pPr>
        <w:spacing w:after="0" w:line="170" w:lineRule="exact"/>
        <w:rPr>
          <w:sz w:val="20"/>
          <w:szCs w:val="20"/>
          <w:color w:val="auto"/>
        </w:rPr>
      </w:pPr>
    </w:p>
    <w:p>
      <w:pPr>
        <w:ind w:left="360"/>
        <w:spacing w:after="0"/>
        <w:tabs>
          <w:tab w:leader="none" w:pos="2940" w:val="left"/>
        </w:tabs>
        <w:rPr>
          <w:sz w:val="20"/>
          <w:szCs w:val="20"/>
          <w:color w:val="auto"/>
        </w:rPr>
      </w:pPr>
      <w:r>
        <w:rPr>
          <w:rFonts w:ascii="Times New Roman" w:cs="Times New Roman" w:eastAsia="Times New Roman" w:hAnsi="Times New Roman"/>
          <w:sz w:val="18"/>
          <w:szCs w:val="18"/>
          <w:i w:val="1"/>
          <w:iCs w:val="1"/>
          <w:color w:val="auto"/>
        </w:rPr>
        <w:t>Transactions with Limited Brands.</w:t>
      </w:r>
      <w:r>
        <w:rPr>
          <w:sz w:val="20"/>
          <w:szCs w:val="20"/>
          <w:color w:val="auto"/>
        </w:rPr>
        <w:tab/>
      </w:r>
      <w:r>
        <w:rPr>
          <w:rFonts w:ascii="Times New Roman" w:cs="Times New Roman" w:eastAsia="Times New Roman" w:hAnsi="Times New Roman"/>
          <w:sz w:val="16"/>
          <w:szCs w:val="16"/>
          <w:color w:val="auto"/>
        </w:rPr>
        <w:t>Revenue from Limited Brands and its affiliates, which includes merchant and database marketing fees, increased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$0.9 million to $44.4 million for 2002 from $43.5 million for 2001, partially as a result of the sale of Lane Bryant by Limited Brands. Excluding the effect of the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Lane Bryant sale in 2001, the increase would have been $4.1 million. We generate a significant amount of additional revenue from our cardholders who 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customers of Limited Brands and its affiliates.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2000 compared to the year ended December 31, 2001</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20" w:type="dxa"/>
            <w:vAlign w:val="bottom"/>
            <w:gridSpan w:val="4"/>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40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34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00" w:type="dxa"/>
            <w:vAlign w:val="bottom"/>
            <w:gridSpan w:val="3"/>
          </w:tcPr>
          <w:p>
            <w:pPr>
              <w:jc w:val="right"/>
              <w:ind w:right="98"/>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9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0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EBITDA</w:t>
            </w:r>
          </w:p>
        </w:tc>
        <w:tc>
          <w:tcPr>
            <w:tcW w:w="7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Operating income</w:t>
            </w:r>
          </w:p>
        </w:tc>
        <w:tc>
          <w:tcPr>
            <w:tcW w:w="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40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34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418"/>
              <w:spacing w:after="0"/>
              <w:rPr>
                <w:sz w:val="20"/>
                <w:szCs w:val="20"/>
                <w:color w:val="auto"/>
              </w:rPr>
            </w:pPr>
            <w:r>
              <w:rPr>
                <w:rFonts w:ascii="Times New Roman" w:cs="Times New Roman" w:eastAsia="Times New Roman" w:hAnsi="Times New Roman"/>
                <w:sz w:val="14"/>
                <w:szCs w:val="14"/>
                <w:b w:val="1"/>
                <w:bCs w:val="1"/>
                <w:color w:val="auto"/>
              </w:rPr>
              <w:t>2000</w:t>
            </w:r>
          </w:p>
        </w:tc>
        <w:tc>
          <w:tcPr>
            <w:tcW w:w="2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2001</w:t>
            </w: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2000</w:t>
            </w:r>
          </w:p>
        </w:tc>
        <w:tc>
          <w:tcPr>
            <w:tcW w:w="2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20" w:type="dxa"/>
            <w:vAlign w:val="bottom"/>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w w:val="99"/>
              </w:rPr>
              <w:t>2001</w:t>
            </w: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jc w:val="right"/>
              <w:ind w:right="338"/>
              <w:spacing w:after="0"/>
              <w:rPr>
                <w:sz w:val="20"/>
                <w:szCs w:val="20"/>
                <w:color w:val="auto"/>
              </w:rPr>
            </w:pPr>
            <w:r>
              <w:rPr>
                <w:rFonts w:ascii="Times New Roman" w:cs="Times New Roman" w:eastAsia="Times New Roman" w:hAnsi="Times New Roman"/>
                <w:sz w:val="14"/>
                <w:szCs w:val="14"/>
                <w:b w:val="1"/>
                <w:bCs w:val="1"/>
                <w:color w:val="auto"/>
              </w:rPr>
              <w:t>2000</w:t>
            </w:r>
          </w:p>
        </w:tc>
        <w:tc>
          <w:tcPr>
            <w:tcW w:w="2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40" w:type="dxa"/>
            <w:vAlign w:val="bottom"/>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w w:val="92"/>
              </w:rPr>
              <w:t>2001</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40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34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(amounts in thousands)</w:t>
            </w:r>
          </w:p>
        </w:tc>
        <w:tc>
          <w:tcPr>
            <w:tcW w:w="7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3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Transaction Services</w:t>
            </w:r>
          </w:p>
        </w:tc>
        <w:tc>
          <w:tcPr>
            <w:tcW w:w="28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439,376</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503,178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54,764</w:t>
            </w:r>
          </w:p>
        </w:tc>
        <w:tc>
          <w:tcPr>
            <w:tcW w:w="6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70,066</w:t>
            </w: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13,017</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98"/>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Credit Services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268,183</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289,420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25,318</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29,159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24,059</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Marketing Services</w:t>
            </w:r>
          </w:p>
        </w:tc>
        <w:tc>
          <w:tcPr>
            <w:tcW w:w="28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178,214</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201,651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17,927</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29,202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(15,211)</w:t>
            </w: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3,183</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Other and eliminations</w:t>
            </w:r>
          </w:p>
        </w:tc>
        <w:tc>
          <w:tcPr>
            <w:tcW w:w="28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(207,578)</w:t>
            </w:r>
          </w:p>
        </w:tc>
        <w:tc>
          <w:tcPr>
            <w:tcW w:w="30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(216,898)</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340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60" w:type="dxa"/>
            <w:vAlign w:val="bottom"/>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400" w:type="dxa"/>
            <w:vAlign w:val="bottom"/>
            <w:tcBorders>
              <w:right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678,195</w:t>
            </w:r>
          </w:p>
        </w:tc>
        <w:tc>
          <w:tcPr>
            <w:tcW w:w="2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777,351</w:t>
            </w: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98,009</w:t>
            </w:r>
          </w:p>
        </w:tc>
        <w:tc>
          <w:tcPr>
            <w:tcW w:w="6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128,427</w:t>
            </w: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21,865</w:t>
            </w:r>
          </w:p>
        </w:tc>
        <w:tc>
          <w:tcPr>
            <w:tcW w:w="22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98"/>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54,223</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60" w:type="dxa"/>
            <w:vAlign w:val="bottom"/>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400" w:type="dxa"/>
            <w:vAlign w:val="bottom"/>
            <w:tcBorders>
              <w:right w:val="single" w:sz="8" w:color="808080"/>
            </w:tcBorders>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980" w:type="dxa"/>
            <w:vAlign w:val="bottom"/>
            <w:tcBorders>
              <w:right w:val="single" w:sz="8" w:color="808080"/>
            </w:tcBorders>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880" w:type="dxa"/>
            <w:vAlign w:val="bottom"/>
            <w:tcBorders>
              <w:right w:val="single" w:sz="8" w:color="808080"/>
            </w:tcBorders>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7164070</wp:posOffset>
            </wp:positionH>
            <wp:positionV relativeFrom="paragraph">
              <wp:posOffset>-1789430</wp:posOffset>
            </wp:positionV>
            <wp:extent cx="1270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2164080</wp:posOffset>
            </wp:positionH>
            <wp:positionV relativeFrom="paragraph">
              <wp:posOffset>-1789430</wp:posOffset>
            </wp:positionV>
            <wp:extent cx="1270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3896360</wp:posOffset>
            </wp:positionH>
            <wp:positionV relativeFrom="paragraph">
              <wp:posOffset>-1540510</wp:posOffset>
            </wp:positionV>
            <wp:extent cx="1270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2164080</wp:posOffset>
            </wp:positionH>
            <wp:positionV relativeFrom="paragraph">
              <wp:posOffset>-1540510</wp:posOffset>
            </wp:positionV>
            <wp:extent cx="1270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-1540510</wp:posOffset>
            </wp:positionV>
            <wp:extent cx="1270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4050665</wp:posOffset>
            </wp:positionH>
            <wp:positionV relativeFrom="paragraph">
              <wp:posOffset>-1540510</wp:posOffset>
            </wp:positionV>
            <wp:extent cx="1270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-1540510</wp:posOffset>
            </wp:positionV>
            <wp:extent cx="1270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-1540510</wp:posOffset>
            </wp:positionV>
            <wp:extent cx="1270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-1292225</wp:posOffset>
            </wp:positionV>
            <wp:extent cx="1270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2164080</wp:posOffset>
            </wp:positionH>
            <wp:positionV relativeFrom="paragraph">
              <wp:posOffset>-1292225</wp:posOffset>
            </wp:positionV>
            <wp:extent cx="1270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3896360</wp:posOffset>
            </wp:positionH>
            <wp:positionV relativeFrom="paragraph">
              <wp:posOffset>-1292225</wp:posOffset>
            </wp:positionV>
            <wp:extent cx="1270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3107690</wp:posOffset>
            </wp:positionH>
            <wp:positionV relativeFrom="paragraph">
              <wp:posOffset>-1292225</wp:posOffset>
            </wp:positionV>
            <wp:extent cx="1270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-1292225</wp:posOffset>
            </wp:positionV>
            <wp:extent cx="1270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4050665</wp:posOffset>
            </wp:positionH>
            <wp:positionV relativeFrom="paragraph">
              <wp:posOffset>-1292225</wp:posOffset>
            </wp:positionV>
            <wp:extent cx="1270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-1292225</wp:posOffset>
            </wp:positionV>
            <wp:extent cx="1270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-1292225</wp:posOffset>
            </wp:positionV>
            <wp:extent cx="1270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-1292225</wp:posOffset>
            </wp:positionV>
            <wp:extent cx="1270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-1292225</wp:posOffset>
            </wp:positionV>
            <wp:extent cx="1270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-1292225</wp:posOffset>
            </wp:positionV>
            <wp:extent cx="1270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-1292225</wp:posOffset>
            </wp:positionV>
            <wp:extent cx="1270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-340360</wp:posOffset>
            </wp:positionV>
            <wp:extent cx="1270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2164080</wp:posOffset>
            </wp:positionH>
            <wp:positionV relativeFrom="paragraph">
              <wp:posOffset>-340360</wp:posOffset>
            </wp:positionV>
            <wp:extent cx="1270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3896360</wp:posOffset>
            </wp:positionH>
            <wp:positionV relativeFrom="paragraph">
              <wp:posOffset>-340360</wp:posOffset>
            </wp:positionV>
            <wp:extent cx="1270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3107690</wp:posOffset>
            </wp:positionH>
            <wp:positionV relativeFrom="paragraph">
              <wp:posOffset>-340360</wp:posOffset>
            </wp:positionV>
            <wp:extent cx="1270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-340360</wp:posOffset>
            </wp:positionV>
            <wp:extent cx="1270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4050665</wp:posOffset>
            </wp:positionH>
            <wp:positionV relativeFrom="paragraph">
              <wp:posOffset>-340360</wp:posOffset>
            </wp:positionV>
            <wp:extent cx="1270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-340360</wp:posOffset>
            </wp:positionV>
            <wp:extent cx="1270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-340360</wp:posOffset>
            </wp:positionV>
            <wp:extent cx="1270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-340360</wp:posOffset>
            </wp:positionV>
            <wp:extent cx="1270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-340360</wp:posOffset>
            </wp:positionV>
            <wp:extent cx="1270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-340360</wp:posOffset>
            </wp:positionV>
            <wp:extent cx="1270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-340360</wp:posOffset>
            </wp:positionV>
            <wp:extent cx="1270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5" w:lineRule="exact"/>
        <w:rPr>
          <w:sz w:val="20"/>
          <w:szCs w:val="20"/>
          <w:color w:val="auto"/>
        </w:rPr>
      </w:pPr>
    </w:p>
    <w:p>
      <w:pPr>
        <w:ind w:right="400" w:firstLine="351"/>
        <w:spacing w:after="0" w:line="342" w:lineRule="auto"/>
        <w:rPr>
          <w:sz w:val="20"/>
          <w:szCs w:val="20"/>
          <w:color w:val="auto"/>
        </w:rPr>
      </w:pPr>
      <w:r>
        <w:rPr>
          <w:rFonts w:ascii="Times New Roman" w:cs="Times New Roman" w:eastAsia="Times New Roman" w:hAnsi="Times New Roman"/>
          <w:sz w:val="16"/>
          <w:szCs w:val="16"/>
          <w:i w:val="1"/>
          <w:iCs w:val="1"/>
          <w:color w:val="auto"/>
        </w:rPr>
        <w:t xml:space="preserve">Revenue. </w:t>
      </w:r>
      <w:r>
        <w:rPr>
          <w:rFonts w:ascii="Times New Roman" w:cs="Times New Roman" w:eastAsia="Times New Roman" w:hAnsi="Times New Roman"/>
          <w:sz w:val="16"/>
          <w:szCs w:val="16"/>
          <w:color w:val="auto"/>
        </w:rPr>
        <w:t>Total revenue increased $99.2 million, or 14.6%, to $777.4 million for 2001 from $678.2 million for 2000. The increase was due to a 14.5%</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increase in Transaction Services revenue, a 7.9% increase in Credit Services revenue and a 13.2% increase in Marketing Services revenue as follows:</w:t>
      </w:r>
    </w:p>
    <w:p>
      <w:pPr>
        <w:spacing w:after="0" w:line="137" w:lineRule="exact"/>
        <w:rPr>
          <w:sz w:val="20"/>
          <w:szCs w:val="20"/>
          <w:color w:val="auto"/>
        </w:rPr>
      </w:pPr>
    </w:p>
    <w:p>
      <w:pPr>
        <w:ind w:left="1080" w:hanging="532"/>
        <w:spacing w:after="0" w:line="291" w:lineRule="auto"/>
        <w:tabs>
          <w:tab w:leader="none" w:pos="108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Transaction Services. </w:t>
      </w:r>
      <w:r>
        <w:rPr>
          <w:rFonts w:ascii="Times New Roman" w:cs="Times New Roman" w:eastAsia="Times New Roman" w:hAnsi="Times New Roman"/>
          <w:sz w:val="16"/>
          <w:szCs w:val="16"/>
          <w:color w:val="auto"/>
        </w:rPr>
        <w:t>Transaction Services revenue increased $63.8 million, or 14.5%, primarily due to an increase in the number of transactions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processed and an increase in account processing in the utilities sector. Revenue related to transactions processed increased approximately</w:t>
      </w:r>
    </w:p>
    <w:p>
      <w:pPr>
        <w:ind w:left="1080" w:right="20"/>
        <w:spacing w:after="0" w:line="252" w:lineRule="auto"/>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$10.5 million as a result of a 9.3% increase in the number of transactions processed, partially offset by a decrease in the average price per transaction. A significant portion of the increase in transactions processed occurred among the large volume clients in the petroleum industry with a lower price per transaction. Fees related to account processing and servicing increased $46.2 million during 2001 primarily from the increase in the number of utility services related statements. The increase in utility services related statements has resulted in increased revenue per statement, as we provide more services for utility services related statements. The increase in the number of utility services related statements is a result of three</w:t>
      </w:r>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80" w:right="380"/>
        <w:spacing w:after="0" w:line="275" w:lineRule="auto"/>
        <w:rPr>
          <w:sz w:val="20"/>
          <w:szCs w:val="20"/>
          <w:color w:val="auto"/>
        </w:rPr>
      </w:pPr>
      <w:r>
        <w:rPr>
          <w:rFonts w:ascii="Times New Roman" w:cs="Times New Roman" w:eastAsia="Times New Roman" w:hAnsi="Times New Roman"/>
          <w:sz w:val="18"/>
          <w:szCs w:val="18"/>
          <w:color w:val="auto"/>
        </w:rPr>
        <w:t>new long-term contracts signed in 2001. Additionally, inter-segment sales increased $9.3 million during 2001 as a result of increased account processing and servicing for our Credit Services segment due to an increase in the number of private label cardholders.</w:t>
      </w:r>
    </w:p>
    <w:p>
      <w:pPr>
        <w:spacing w:after="0" w:line="185" w:lineRule="exact"/>
        <w:rPr>
          <w:sz w:val="20"/>
          <w:szCs w:val="20"/>
          <w:color w:val="auto"/>
        </w:rPr>
      </w:pPr>
    </w:p>
    <w:p>
      <w:pPr>
        <w:ind w:left="1080" w:right="40" w:hanging="532"/>
        <w:spacing w:after="0" w:line="312" w:lineRule="auto"/>
        <w:tabs>
          <w:tab w:leader="none" w:pos="108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Credit Services. </w:t>
      </w:r>
      <w:r>
        <w:rPr>
          <w:rFonts w:ascii="Times New Roman" w:cs="Times New Roman" w:eastAsia="Times New Roman" w:hAnsi="Times New Roman"/>
          <w:sz w:val="16"/>
          <w:szCs w:val="16"/>
          <w:color w:val="auto"/>
        </w:rPr>
        <w:t>Credit Services revenue increased $21.2 million, or 7.9%, due to increases in merchant discount fees, servicing fees and finance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charges, net. Servicing fee income increased by $4.0 million, or 10.7%, during 2001 due to an increase in the average outstanding balance of the securitized credit card receivables. Finance charges, net, increased $12.4 million, or 8.0%, during 2001 as a result of a 6.0% higher average</w:t>
      </w:r>
    </w:p>
    <w:p>
      <w:pPr>
        <w:sectPr>
          <w:pgSz w:w="11900" w:h="16838" w:orient="portrait"/>
          <w:cols w:equalWidth="0" w:num="1">
            <w:col w:w="11400"/>
          </w:cols>
          <w:pgMar w:left="240" w:top="125" w:right="259" w:bottom="0" w:gutter="0" w:footer="0" w:header="0"/>
        </w:sectPr>
      </w:pPr>
    </w:p>
    <w:bookmarkStart w:id="19" w:name="page20"/>
    <w:bookmarkEnd w:id="19"/>
    <w:p>
      <w:pPr>
        <w:ind w:left="1080" w:right="140"/>
        <w:spacing w:after="0" w:line="339" w:lineRule="auto"/>
        <w:rPr>
          <w:sz w:val="20"/>
          <w:szCs w:val="20"/>
          <w:color w:val="auto"/>
        </w:rPr>
      </w:pPr>
      <w:r>
        <w:rPr>
          <w:rFonts w:ascii="Times New Roman" w:cs="Times New Roman" w:eastAsia="Times New Roman" w:hAnsi="Times New Roman"/>
          <w:sz w:val="16"/>
          <w:szCs w:val="16"/>
          <w:color w:val="auto"/>
        </w:rPr>
        <w:t>outstanding securitized portfolio. The net yield on our retail portfolio for 2001 was approximately 40 basis points less than in 2000. The decrease in the net yield is largely related to higher net charge-off rates in 2001, partially offset by lower cost of funds in the second half of the year.</w:t>
      </w:r>
    </w:p>
    <w:p>
      <w:pPr>
        <w:spacing w:after="0" w:line="140" w:lineRule="exact"/>
        <w:rPr>
          <w:sz w:val="20"/>
          <w:szCs w:val="20"/>
          <w:color w:val="auto"/>
        </w:rPr>
      </w:pPr>
    </w:p>
    <w:p>
      <w:pPr>
        <w:ind w:left="1080" w:right="60" w:hanging="532"/>
        <w:spacing w:after="0" w:line="257"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Marketing Services. </w:t>
      </w:r>
      <w:r>
        <w:rPr>
          <w:rFonts w:ascii="Times New Roman" w:cs="Times New Roman" w:eastAsia="Times New Roman" w:hAnsi="Times New Roman"/>
          <w:sz w:val="18"/>
          <w:szCs w:val="18"/>
          <w:color w:val="auto"/>
        </w:rPr>
        <w:t>Marketing Services revenue increased $23.4 million, or 13.2%, primarily due to an increase in reward revenue related to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26.0% increase in the redemption of AIR MILES reward miles. Additionally, services revenue increased 12.2% as a result of an 11.8% increase in the number of AIR MILES reward miles issued and the corresponding recognition of deferred revenue balances. As a result of the increased issuance activity, our deferred revenue balance increased 13.6% to $329.5 million at December 31, 2001 from $290.2 million at December 31, 2000.</w:t>
      </w:r>
    </w:p>
    <w:p>
      <w:pPr>
        <w:spacing w:after="0" w:line="188" w:lineRule="exact"/>
        <w:rPr>
          <w:sz w:val="20"/>
          <w:szCs w:val="20"/>
          <w:color w:val="auto"/>
        </w:rPr>
      </w:pPr>
    </w:p>
    <w:p>
      <w:pPr>
        <w:ind w:right="240" w:firstLine="351"/>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Operating Expenses. </w:t>
      </w:r>
      <w:r>
        <w:rPr>
          <w:rFonts w:ascii="Times New Roman" w:cs="Times New Roman" w:eastAsia="Times New Roman" w:hAnsi="Times New Roman"/>
          <w:sz w:val="18"/>
          <w:szCs w:val="18"/>
          <w:color w:val="auto"/>
        </w:rPr>
        <w:t>Total operating expenses, excluding depreciation and amortization, increased $68.7 million, or 11.8%, to $648.9 million for 2001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$580.2 million for 2000. Total EBITDA margin increased to 16.5% for 2001 from 14.5% for 2000. The increase in EBITDA margin is due to increases in Transaction Services, Credit Services and Marketing Services margins.</w:t>
      </w:r>
    </w:p>
    <w:p>
      <w:pPr>
        <w:spacing w:after="0" w:line="208" w:lineRule="exact"/>
        <w:rPr>
          <w:sz w:val="20"/>
          <w:szCs w:val="20"/>
          <w:color w:val="auto"/>
        </w:rPr>
      </w:pPr>
    </w:p>
    <w:p>
      <w:pPr>
        <w:ind w:left="1080" w:right="100" w:hanging="532"/>
        <w:spacing w:after="0" w:line="259"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Transaction Services. </w:t>
      </w:r>
      <w:r>
        <w:rPr>
          <w:rFonts w:ascii="Times New Roman" w:cs="Times New Roman" w:eastAsia="Times New Roman" w:hAnsi="Times New Roman"/>
          <w:sz w:val="18"/>
          <w:szCs w:val="18"/>
          <w:color w:val="auto"/>
        </w:rPr>
        <w:t>Transaction Services operating expenses, excluding depreciation and amortization, increased $48.5 million, or 12.6%,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$433.1 million for 2001 from $384.6 million for 2000, and EBITDA margin increased to 13.9% for 2001 from 12.5% for 2000. The increase in EBITDA margin is the result of operational efficiencies achieved in our merchant services business and increased statement volumes and revenue per statement in the utility services sector.</w:t>
      </w:r>
    </w:p>
    <w:p>
      <w:pPr>
        <w:spacing w:after="0" w:line="20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Credit Services.  </w:t>
      </w:r>
      <w:r>
        <w:rPr>
          <w:rFonts w:ascii="Times New Roman" w:cs="Times New Roman" w:eastAsia="Times New Roman" w:hAnsi="Times New Roman"/>
          <w:sz w:val="18"/>
          <w:szCs w:val="18"/>
          <w:color w:val="auto"/>
        </w:rPr>
        <w:t>Credit Services operating expenses, excluding depreciation and amortization, increased $17.4 million, or 7.2%, to</w:t>
      </w:r>
    </w:p>
    <w:p>
      <w:pPr>
        <w:spacing w:after="0" w:line="23" w:lineRule="exact"/>
        <w:rPr>
          <w:rFonts w:ascii="Times New Roman" w:cs="Times New Roman" w:eastAsia="Times New Roman" w:hAnsi="Times New Roman"/>
          <w:sz w:val="18"/>
          <w:szCs w:val="18"/>
          <w:color w:val="auto"/>
        </w:rPr>
      </w:pPr>
    </w:p>
    <w:p>
      <w:pPr>
        <w:ind w:left="1080" w:right="3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$260.3 million for 2001 from $242.9 million for 2000, and EBITDA margin increased to 10.1% for 2001 from 9.4% for 2000. The increase in EBITDA margin is the result of lower cost of funds offset by an increase in net charge-offs.</w:t>
      </w:r>
    </w:p>
    <w:p>
      <w:pPr>
        <w:spacing w:after="0" w:line="19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Marketing Services.  </w:t>
      </w:r>
      <w:r>
        <w:rPr>
          <w:rFonts w:ascii="Times New Roman" w:cs="Times New Roman" w:eastAsia="Times New Roman" w:hAnsi="Times New Roman"/>
          <w:sz w:val="18"/>
          <w:szCs w:val="18"/>
          <w:color w:val="auto"/>
        </w:rPr>
        <w:t>Marketing Services operating expenses, excluding depreciation and amortization, increased $12.1 million, or 7.6%, to</w:t>
      </w:r>
    </w:p>
    <w:p>
      <w:pPr>
        <w:spacing w:after="0" w:line="23" w:lineRule="exact"/>
        <w:rPr>
          <w:rFonts w:ascii="Times New Roman" w:cs="Times New Roman" w:eastAsia="Times New Roman" w:hAnsi="Times New Roman"/>
          <w:sz w:val="18"/>
          <w:szCs w:val="18"/>
          <w:color w:val="auto"/>
        </w:rPr>
      </w:pPr>
    </w:p>
    <w:p>
      <w:pPr>
        <w:ind w:left="108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$172.4 million for 2001 from $160.3 million for 2000, and EBITDA margin increased to 14.5% for 2001 from 10.1% for 2000. The increase in the margin is attributable to increased revenue and the leveraging of the existing infrastructure.</w:t>
      </w:r>
    </w:p>
    <w:p>
      <w:pPr>
        <w:spacing w:after="0" w:line="210" w:lineRule="exact"/>
        <w:rPr>
          <w:rFonts w:ascii="Times New Roman" w:cs="Times New Roman" w:eastAsia="Times New Roman" w:hAnsi="Times New Roman"/>
          <w:sz w:val="18"/>
          <w:szCs w:val="18"/>
          <w:color w:val="auto"/>
        </w:rPr>
      </w:pPr>
    </w:p>
    <w:p>
      <w:pPr>
        <w:ind w:left="1080" w:right="20" w:hanging="532"/>
        <w:spacing w:after="0" w:line="264"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Depreciation and Amortization. </w:t>
      </w:r>
      <w:r>
        <w:rPr>
          <w:rFonts w:ascii="Times New Roman" w:cs="Times New Roman" w:eastAsia="Times New Roman" w:hAnsi="Times New Roman"/>
          <w:sz w:val="18"/>
          <w:szCs w:val="18"/>
          <w:color w:val="auto"/>
        </w:rPr>
        <w:t>Depreciation and amortization decreased $1.9 million, or 2.5%, to $74.2 million for 2001 from $76.1 million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2000. The decrease is primarily due to a decrease in amortization of purchased intangibles of $6.4 million related to certain purchased intangibles becoming fully amortized during the year, offset in part by new capital expenditures in 2001.</w:t>
      </w:r>
    </w:p>
    <w:p>
      <w:pPr>
        <w:spacing w:after="0" w:line="181" w:lineRule="exact"/>
        <w:rPr>
          <w:sz w:val="20"/>
          <w:szCs w:val="20"/>
          <w:color w:val="auto"/>
        </w:rPr>
      </w:pPr>
    </w:p>
    <w:p>
      <w:pPr>
        <w:ind w:right="560" w:firstLine="351"/>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Operating Income. </w:t>
      </w:r>
      <w:r>
        <w:rPr>
          <w:rFonts w:ascii="Times New Roman" w:cs="Times New Roman" w:eastAsia="Times New Roman" w:hAnsi="Times New Roman"/>
          <w:sz w:val="18"/>
          <w:szCs w:val="18"/>
          <w:color w:val="auto"/>
        </w:rPr>
        <w:t>Operating income increased $32.3 million, or 147.5%, to $54.2 million for 2001 from $21.9 million for 2000. Operating income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increased primarily from revenue gains with modest expansion of EBITDA margins and a decrease in depreciation and amortization.</w:t>
      </w:r>
    </w:p>
    <w:p>
      <w:pPr>
        <w:spacing w:after="0" w:line="170" w:lineRule="exact"/>
        <w:rPr>
          <w:sz w:val="20"/>
          <w:szCs w:val="20"/>
          <w:color w:val="auto"/>
        </w:rPr>
      </w:pPr>
    </w:p>
    <w:p>
      <w:pPr>
        <w:ind w:right="20" w:firstLine="351"/>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Interest Expense. </w:t>
      </w:r>
      <w:r>
        <w:rPr>
          <w:rFonts w:ascii="Times New Roman" w:cs="Times New Roman" w:eastAsia="Times New Roman" w:hAnsi="Times New Roman"/>
          <w:sz w:val="18"/>
          <w:szCs w:val="18"/>
          <w:color w:val="auto"/>
        </w:rPr>
        <w:t>Interest expense decreased $8.8 million, or 22.6%, to $30.1 million for 2001 from $38.9 million for 2000 due to our use of approximately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$90.8 million of proceeds from our initial public</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offering to repay in full a term loan, which resulted in a decrease in average debt outstanding and lower rates.</w:t>
      </w:r>
    </w:p>
    <w:p>
      <w:pPr>
        <w:spacing w:after="0" w:line="223" w:lineRule="exact"/>
        <w:rPr>
          <w:sz w:val="20"/>
          <w:szCs w:val="20"/>
          <w:color w:val="auto"/>
        </w:rPr>
      </w:pPr>
    </w:p>
    <w:p>
      <w:pPr>
        <w:ind w:firstLine="351"/>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Fair Value Loss on Derivatives. </w:t>
      </w:r>
      <w:r>
        <w:rPr>
          <w:rFonts w:ascii="Times New Roman" w:cs="Times New Roman" w:eastAsia="Times New Roman" w:hAnsi="Times New Roman"/>
          <w:sz w:val="18"/>
          <w:szCs w:val="18"/>
          <w:color w:val="auto"/>
        </w:rPr>
        <w:t>During 2001, we incurred a $15.1 million cash component fair value loss on an interest rate swap following the adoption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SFAS No. 133 on January 1, 2001. Part of the fair value loss was associated with cash payments we made to counter-parties of $5.3 million. In accordance with SFAS No. 133, fair value changes in derivative instruments that do not meet the accounting criteria for hedge treatment are recorded as part of earnings. The related derivative is a $200.0 million notional interest rate swap that swaps a LIBOR based variable interest rate for a LIBOR based fixed interest rate.</w:t>
      </w:r>
    </w:p>
    <w:p>
      <w:pPr>
        <w:spacing w:after="0" w:line="187" w:lineRule="exact"/>
        <w:rPr>
          <w:sz w:val="20"/>
          <w:szCs w:val="20"/>
          <w:color w:val="auto"/>
        </w:rPr>
      </w:pPr>
    </w:p>
    <w:p>
      <w:pPr>
        <w:ind w:right="160" w:firstLine="351"/>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Taxes. </w:t>
      </w:r>
      <w:r>
        <w:rPr>
          <w:rFonts w:ascii="Times New Roman" w:cs="Times New Roman" w:eastAsia="Times New Roman" w:hAnsi="Times New Roman"/>
          <w:sz w:val="18"/>
          <w:szCs w:val="18"/>
          <w:color w:val="auto"/>
        </w:rPr>
        <w:t>Income tax expense increased $9.8 million to $11.6 million for 2001 from $1.8 million in 2000 due to an increase in taxable income. Our effective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rate for 2001 was approximately 290.7% and is most significantly impacted by the non-deductibility of a portion of our amortization of purchased intangibles. During 2001, the Canadian corporate income tax rate was lowered. As a result, we recorded $5.7 million of income tax expense to reduce our net deferred tax assets in Canada.</w:t>
      </w:r>
    </w:p>
    <w:p>
      <w:pPr>
        <w:spacing w:after="0" w:line="187" w:lineRule="exact"/>
        <w:rPr>
          <w:sz w:val="20"/>
          <w:szCs w:val="20"/>
          <w:color w:val="auto"/>
        </w:rPr>
      </w:pPr>
    </w:p>
    <w:p>
      <w:pPr>
        <w:ind w:left="360"/>
        <w:spacing w:after="0"/>
        <w:tabs>
          <w:tab w:leader="none" w:pos="2940" w:val="left"/>
        </w:tabs>
        <w:rPr>
          <w:sz w:val="20"/>
          <w:szCs w:val="20"/>
          <w:color w:val="auto"/>
        </w:rPr>
      </w:pPr>
      <w:r>
        <w:rPr>
          <w:rFonts w:ascii="Times New Roman" w:cs="Times New Roman" w:eastAsia="Times New Roman" w:hAnsi="Times New Roman"/>
          <w:sz w:val="18"/>
          <w:szCs w:val="18"/>
          <w:i w:val="1"/>
          <w:iCs w:val="1"/>
          <w:color w:val="auto"/>
        </w:rPr>
        <w:t>Transactions with Limited Brands.</w:t>
      </w:r>
      <w:r>
        <w:rPr>
          <w:sz w:val="20"/>
          <w:szCs w:val="20"/>
          <w:color w:val="auto"/>
        </w:rPr>
        <w:tab/>
      </w:r>
      <w:r>
        <w:rPr>
          <w:rFonts w:ascii="Times New Roman" w:cs="Times New Roman" w:eastAsia="Times New Roman" w:hAnsi="Times New Roman"/>
          <w:sz w:val="16"/>
          <w:szCs w:val="16"/>
          <w:color w:val="auto"/>
        </w:rPr>
        <w:t>Revenue from Limited Brands and its affiliates, which includes merchant and database marketing fees, decreased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$3.2 million to $43.5 million for 2001 from $46.7 million for 2000, partially as a result of the sale of Lane Bryant by Limited Brands. Excluding the effect of the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Lane Bryant sale, the decrease would have been $2.2 million. We generate a significant amount of additional revenue from our cardholders who are customers of</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Limited Brands and its affiliates.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 Quality</w:t>
      </w:r>
    </w:p>
    <w:p>
      <w:pPr>
        <w:spacing w:after="0" w:line="227" w:lineRule="exact"/>
        <w:rPr>
          <w:sz w:val="20"/>
          <w:szCs w:val="20"/>
          <w:color w:val="auto"/>
        </w:rPr>
      </w:pPr>
    </w:p>
    <w:p>
      <w:pPr>
        <w:ind w:right="140" w:firstLine="351"/>
        <w:spacing w:after="0" w:line="256" w:lineRule="auto"/>
        <w:rPr>
          <w:sz w:val="20"/>
          <w:szCs w:val="20"/>
          <w:color w:val="auto"/>
        </w:rPr>
      </w:pPr>
      <w:r>
        <w:rPr>
          <w:rFonts w:ascii="Times New Roman" w:cs="Times New Roman" w:eastAsia="Times New Roman" w:hAnsi="Times New Roman"/>
          <w:sz w:val="18"/>
          <w:szCs w:val="18"/>
          <w:color w:val="auto"/>
        </w:rPr>
        <w:t>Our delinquency and net charge-off rates reflect, among other factors, the credit risk of credit card receivables, the average age of our various credit card account portfolios, the success of our collection and recovery efforts, and general economic conditions. The average age of our credit card portfolio affects the stability of delinquency and loss rates of the portfolio. We continue to focus our resources on refining our credit underwriting standards for new accounts and on collections and post charge-off recovery efforts to minimize net losses. At December 31, 2002, 47.7% of securitized accounts with balances and 41.3% of securitized loans were less than 24 months old.</w:t>
      </w:r>
    </w:p>
    <w:p>
      <w:pPr>
        <w:spacing w:after="0" w:line="191" w:lineRule="exact"/>
        <w:rPr>
          <w:sz w:val="20"/>
          <w:szCs w:val="20"/>
          <w:color w:val="auto"/>
        </w:rPr>
      </w:pPr>
    </w:p>
    <w:p>
      <w:pPr>
        <w:ind w:right="80" w:firstLine="351"/>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Delinquencies. </w:t>
      </w:r>
      <w:r>
        <w:rPr>
          <w:rFonts w:ascii="Times New Roman" w:cs="Times New Roman" w:eastAsia="Times New Roman" w:hAnsi="Times New Roman"/>
          <w:sz w:val="18"/>
          <w:szCs w:val="18"/>
          <w:color w:val="auto"/>
        </w:rPr>
        <w:t>A credit card account is contractually delinquent if we do not receive the minimum payment by the specified due date on the cardholder's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 It is our policy to continue to accrue interest and fee income on all credit card accounts, except in limited circumstances, until the account balance and all related interest and other fees are charged off or paid after 90 days. When an account becomes delinquent, we print a message on the cardholder's billing statement requesting payment. After an account becomes 30 days past due, a proprietary collection scoring algorithm automatically scores the risk of the account rolling to a more delinquent status. The collection system then recommends a collection strategy for the past due account based on the collection score and account balance and dictates the contact schedule and collections priority for the account. If we are unable to make a collection after exhausting all in-house efforts, we engage collection agencies and outside attorneys to continue those efforts.</w:t>
      </w:r>
    </w:p>
    <w:p>
      <w:pPr>
        <w:sectPr>
          <w:pgSz w:w="11900" w:h="16838" w:orient="portrait"/>
          <w:cols w:equalWidth="0" w:num="1">
            <w:col w:w="11420"/>
          </w:cols>
          <w:pgMar w:left="240" w:top="125" w:right="239" w:bottom="0" w:gutter="0" w:footer="0" w:header="0"/>
        </w:sectPr>
      </w:pP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type w:val="continuous"/>
        </w:sectPr>
      </w:pPr>
    </w:p>
    <w:bookmarkStart w:id="20" w:name="page21"/>
    <w:bookmarkEnd w:id="20"/>
    <w:p>
      <w:pPr>
        <w:ind w:left="360"/>
        <w:spacing w:after="0"/>
        <w:rPr>
          <w:sz w:val="20"/>
          <w:szCs w:val="20"/>
          <w:color w:val="auto"/>
        </w:rPr>
      </w:pPr>
      <w:r>
        <w:rPr>
          <w:rFonts w:ascii="Times New Roman" w:cs="Times New Roman" w:eastAsia="Times New Roman" w:hAnsi="Times New Roman"/>
          <w:sz w:val="18"/>
          <w:szCs w:val="18"/>
          <w:color w:val="auto"/>
        </w:rPr>
        <w:t>The following table presents the delinquency trends of our securitized credit card portfolio:</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tcPr>
          <w:p>
            <w:pPr>
              <w:jc w:val="right"/>
              <w:ind w:right="29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3"/>
                <w:szCs w:val="13"/>
                <w:color w:val="auto"/>
              </w:rPr>
            </w:pPr>
          </w:p>
        </w:tc>
        <w:tc>
          <w:tcPr>
            <w:tcW w:w="1000" w:type="dxa"/>
            <w:vAlign w:val="bottom"/>
            <w:gridSpan w:val="3"/>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 of</w:t>
            </w:r>
          </w:p>
        </w:tc>
        <w:tc>
          <w:tcPr>
            <w:tcW w:w="15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 of</w:t>
            </w:r>
          </w:p>
        </w:tc>
        <w:tc>
          <w:tcPr>
            <w:tcW w:w="15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 of</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jc w:val="right"/>
              <w:ind w:right="558"/>
              <w:spacing w:after="0"/>
              <w:rPr>
                <w:sz w:val="20"/>
                <w:szCs w:val="20"/>
                <w:color w:val="auto"/>
              </w:rPr>
            </w:pPr>
            <w:r>
              <w:rPr>
                <w:rFonts w:ascii="Times New Roman" w:cs="Times New Roman" w:eastAsia="Times New Roman" w:hAnsi="Times New Roman"/>
                <w:sz w:val="14"/>
                <w:szCs w:val="14"/>
                <w:b w:val="1"/>
                <w:bCs w:val="1"/>
                <w:color w:val="auto"/>
              </w:rPr>
              <w:t>2000</w:t>
            </w:r>
          </w:p>
        </w:tc>
        <w:tc>
          <w:tcPr>
            <w:tcW w:w="220" w:type="dxa"/>
            <w:vAlign w:val="bottom"/>
          </w:tcPr>
          <w:p>
            <w:pPr>
              <w:spacing w:after="0"/>
              <w:rPr>
                <w:sz w:val="15"/>
                <w:szCs w:val="15"/>
                <w:color w:val="auto"/>
              </w:rPr>
            </w:pPr>
          </w:p>
        </w:tc>
        <w:tc>
          <w:tcPr>
            <w:tcW w:w="1000" w:type="dxa"/>
            <w:vAlign w:val="bottom"/>
            <w:gridSpan w:val="3"/>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340" w:type="dxa"/>
            <w:vAlign w:val="bottom"/>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2001</w:t>
            </w:r>
          </w:p>
        </w:tc>
        <w:tc>
          <w:tcPr>
            <w:tcW w:w="220" w:type="dxa"/>
            <w:vAlign w:val="bottom"/>
          </w:tcPr>
          <w:p>
            <w:pPr>
              <w:spacing w:after="0"/>
              <w:rPr>
                <w:sz w:val="15"/>
                <w:szCs w:val="15"/>
                <w:color w:val="auto"/>
              </w:rPr>
            </w:pPr>
          </w:p>
        </w:tc>
        <w:tc>
          <w:tcPr>
            <w:tcW w:w="100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340" w:type="dxa"/>
            <w:vAlign w:val="bottom"/>
          </w:tcPr>
          <w:p>
            <w:pPr>
              <w:jc w:val="right"/>
              <w:ind w:right="578"/>
              <w:spacing w:after="0"/>
              <w:rPr>
                <w:sz w:val="20"/>
                <w:szCs w:val="20"/>
                <w:color w:val="auto"/>
              </w:rPr>
            </w:pPr>
            <w:r>
              <w:rPr>
                <w:rFonts w:ascii="Times New Roman" w:cs="Times New Roman" w:eastAsia="Times New Roman" w:hAnsi="Times New Roman"/>
                <w:sz w:val="14"/>
                <w:szCs w:val="14"/>
                <w:b w:val="1"/>
                <w:bCs w:val="1"/>
                <w:color w:val="auto"/>
              </w:rPr>
              <w:t>2002</w:t>
            </w:r>
          </w:p>
        </w:tc>
        <w:tc>
          <w:tcPr>
            <w:tcW w:w="200" w:type="dxa"/>
            <w:vAlign w:val="bottom"/>
          </w:tcPr>
          <w:p>
            <w:pPr>
              <w:spacing w:after="0"/>
              <w:rPr>
                <w:sz w:val="15"/>
                <w:szCs w:val="15"/>
                <w:color w:val="auto"/>
              </w:rPr>
            </w:pPr>
          </w:p>
        </w:tc>
        <w:tc>
          <w:tcPr>
            <w:tcW w:w="6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76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37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6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w w:val="95"/>
              </w:rPr>
              <w:t>(dollars in thousands)</w:t>
            </w:r>
          </w:p>
        </w:tc>
        <w:tc>
          <w:tcPr>
            <w:tcW w:w="5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3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Receivables outstanding</w:t>
            </w:r>
          </w:p>
        </w:tc>
        <w:tc>
          <w:tcPr>
            <w:tcW w:w="240" w:type="dxa"/>
            <w:vAlign w:val="bottom"/>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2,319,703</w:t>
            </w:r>
          </w:p>
        </w:tc>
        <w:tc>
          <w:tcPr>
            <w:tcW w:w="122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100% $</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2,451,006</w:t>
            </w:r>
          </w:p>
        </w:tc>
        <w:tc>
          <w:tcPr>
            <w:tcW w:w="220" w:type="dxa"/>
            <w:vAlign w:val="bottom"/>
            <w:tcBorders>
              <w:right w:val="single" w:sz="8" w:color="CCEEFF"/>
            </w:tcBorders>
            <w:shd w:val="clear" w:color="auto" w:fill="CCEEFF"/>
          </w:tcPr>
          <w:p>
            <w:pPr>
              <w:spacing w:after="0"/>
              <w:rPr>
                <w:sz w:val="18"/>
                <w:szCs w:val="18"/>
                <w:color w:val="auto"/>
              </w:rPr>
            </w:pPr>
          </w:p>
        </w:tc>
        <w:tc>
          <w:tcPr>
            <w:tcW w:w="10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 $</w:t>
            </w:r>
          </w:p>
        </w:tc>
        <w:tc>
          <w:tcPr>
            <w:tcW w:w="13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2,775,138</w:t>
            </w: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95"/>
              </w:rPr>
              <w:t>100%</w:t>
            </w:r>
          </w:p>
        </w:tc>
        <w:tc>
          <w:tcPr>
            <w:tcW w:w="0" w:type="dxa"/>
            <w:vAlign w:val="bottom"/>
          </w:tcPr>
          <w:p>
            <w:pPr>
              <w:spacing w:after="0"/>
              <w:rPr>
                <w:sz w:val="1"/>
                <w:szCs w:val="1"/>
                <w:color w:val="auto"/>
              </w:rPr>
            </w:pPr>
          </w:p>
        </w:tc>
      </w:tr>
      <w:tr>
        <w:trPr>
          <w:trHeight w:val="430"/>
        </w:trPr>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Loan balances contractually delinquent:</w:t>
            </w: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31 to 60 days</w:t>
            </w:r>
          </w:p>
        </w:tc>
        <w:tc>
          <w:tcPr>
            <w:tcW w:w="240" w:type="dxa"/>
            <w:vAlign w:val="bottom"/>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62,040</w:t>
            </w:r>
          </w:p>
        </w:tc>
        <w:tc>
          <w:tcPr>
            <w:tcW w:w="122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2.7% $</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59,657</w:t>
            </w:r>
          </w:p>
        </w:tc>
        <w:tc>
          <w:tcPr>
            <w:tcW w:w="220" w:type="dxa"/>
            <w:vAlign w:val="bottom"/>
            <w:tcBorders>
              <w:right w:val="single" w:sz="8" w:color="CCEEFF"/>
            </w:tcBorders>
            <w:shd w:val="clear" w:color="auto" w:fill="CCEEFF"/>
          </w:tcPr>
          <w:p>
            <w:pPr>
              <w:spacing w:after="0"/>
              <w:rPr>
                <w:sz w:val="18"/>
                <w:szCs w:val="18"/>
                <w:color w:val="auto"/>
              </w:rPr>
            </w:pPr>
          </w:p>
        </w:tc>
        <w:tc>
          <w:tcPr>
            <w:tcW w:w="10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 $</w:t>
            </w:r>
          </w:p>
        </w:tc>
        <w:tc>
          <w:tcPr>
            <w:tcW w:w="13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53,893</w:t>
            </w: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90"/>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61 to 90 days</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36,095</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34,370</w:t>
            </w: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33,332</w:t>
            </w:r>
          </w:p>
        </w:tc>
        <w:tc>
          <w:tcPr>
            <w:tcW w:w="200" w:type="dxa"/>
            <w:vAlign w:val="bottom"/>
          </w:tcPr>
          <w:p>
            <w:pPr>
              <w:spacing w:after="0"/>
              <w:rPr>
                <w:sz w:val="18"/>
                <w:szCs w:val="18"/>
                <w:color w:val="auto"/>
              </w:rPr>
            </w:pPr>
          </w:p>
        </w:tc>
        <w:tc>
          <w:tcPr>
            <w:tcW w:w="50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79"/>
              </w:rPr>
              <w:t>1.2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91 or more days</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64,473</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64,175</w:t>
            </w:r>
          </w:p>
        </w:tc>
        <w:tc>
          <w:tcPr>
            <w:tcW w:w="220" w:type="dxa"/>
            <w:vAlign w:val="bottom"/>
            <w:tcBorders>
              <w:right w:val="single" w:sz="8" w:color="CCEEFF"/>
            </w:tcBorders>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64,295</w:t>
            </w:r>
          </w:p>
        </w:tc>
        <w:tc>
          <w:tcPr>
            <w:tcW w:w="20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79"/>
              </w:rPr>
              <w:t>2.3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76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3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162,608</w:t>
            </w:r>
          </w:p>
        </w:tc>
        <w:tc>
          <w:tcPr>
            <w:tcW w:w="122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7.0% $</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158,202</w:t>
            </w:r>
          </w:p>
        </w:tc>
        <w:tc>
          <w:tcPr>
            <w:tcW w:w="220" w:type="dxa"/>
            <w:vAlign w:val="bottom"/>
          </w:tcPr>
          <w:p>
            <w:pPr>
              <w:spacing w:after="0"/>
              <w:rPr>
                <w:sz w:val="24"/>
                <w:szCs w:val="24"/>
                <w:color w:val="auto"/>
              </w:rPr>
            </w:pPr>
          </w:p>
        </w:tc>
        <w:tc>
          <w:tcPr>
            <w:tcW w:w="10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6.4% $</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151,520</w:t>
            </w:r>
          </w:p>
        </w:tc>
        <w:tc>
          <w:tcPr>
            <w:tcW w:w="200" w:type="dxa"/>
            <w:vAlign w:val="bottom"/>
          </w:tcPr>
          <w:p>
            <w:pPr>
              <w:spacing w:after="0"/>
              <w:rPr>
                <w:sz w:val="24"/>
                <w:szCs w:val="24"/>
                <w:color w:val="auto"/>
              </w:rPr>
            </w:pPr>
          </w:p>
        </w:tc>
        <w:tc>
          <w:tcPr>
            <w:tcW w:w="6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w w:val="90"/>
              </w:rPr>
              <w:t>5.5%</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76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32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340" w:type="dxa"/>
            <w:vAlign w:val="bottom"/>
            <w:shd w:val="clear" w:color="auto" w:fill="808080"/>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34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3382010</wp:posOffset>
            </wp:positionH>
            <wp:positionV relativeFrom="paragraph">
              <wp:posOffset>-1566545</wp:posOffset>
            </wp:positionV>
            <wp:extent cx="1270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2395855</wp:posOffset>
            </wp:positionH>
            <wp:positionV relativeFrom="paragraph">
              <wp:posOffset>-1566545</wp:posOffset>
            </wp:positionV>
            <wp:extent cx="1270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-1566545</wp:posOffset>
            </wp:positionV>
            <wp:extent cx="1270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3527425</wp:posOffset>
            </wp:positionH>
            <wp:positionV relativeFrom="paragraph">
              <wp:posOffset>-1566545</wp:posOffset>
            </wp:positionV>
            <wp:extent cx="1270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-1566545</wp:posOffset>
            </wp:positionV>
            <wp:extent cx="1270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4016375</wp:posOffset>
            </wp:positionH>
            <wp:positionV relativeFrom="paragraph">
              <wp:posOffset>-1566545</wp:posOffset>
            </wp:positionV>
            <wp:extent cx="1270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-1566545</wp:posOffset>
            </wp:positionV>
            <wp:extent cx="1270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-1566545</wp:posOffset>
            </wp:positionV>
            <wp:extent cx="1270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6623685</wp:posOffset>
            </wp:positionH>
            <wp:positionV relativeFrom="paragraph">
              <wp:posOffset>-1566545</wp:posOffset>
            </wp:positionV>
            <wp:extent cx="1270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-1566545</wp:posOffset>
            </wp:positionV>
            <wp:extent cx="1270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-1566545</wp:posOffset>
            </wp:positionV>
            <wp:extent cx="1270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-1566545</wp:posOffset>
            </wp:positionV>
            <wp:extent cx="1270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3382010</wp:posOffset>
            </wp:positionH>
            <wp:positionV relativeFrom="paragraph">
              <wp:posOffset>-340360</wp:posOffset>
            </wp:positionV>
            <wp:extent cx="1270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2395855</wp:posOffset>
            </wp:positionH>
            <wp:positionV relativeFrom="paragraph">
              <wp:posOffset>-340360</wp:posOffset>
            </wp:positionV>
            <wp:extent cx="1270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-340360</wp:posOffset>
            </wp:positionV>
            <wp:extent cx="1270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3527425</wp:posOffset>
            </wp:positionH>
            <wp:positionV relativeFrom="paragraph">
              <wp:posOffset>-340360</wp:posOffset>
            </wp:positionV>
            <wp:extent cx="1270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-340360</wp:posOffset>
            </wp:positionV>
            <wp:extent cx="1270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4016375</wp:posOffset>
            </wp:positionH>
            <wp:positionV relativeFrom="paragraph">
              <wp:posOffset>-340360</wp:posOffset>
            </wp:positionV>
            <wp:extent cx="1270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-340360</wp:posOffset>
            </wp:positionV>
            <wp:extent cx="1270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-340360</wp:posOffset>
            </wp:positionV>
            <wp:extent cx="1270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6623685</wp:posOffset>
            </wp:positionH>
            <wp:positionV relativeFrom="paragraph">
              <wp:posOffset>-340360</wp:posOffset>
            </wp:positionV>
            <wp:extent cx="1270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-340360</wp:posOffset>
            </wp:positionV>
            <wp:extent cx="1270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-340360</wp:posOffset>
            </wp:positionV>
            <wp:extent cx="1270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-340360</wp:posOffset>
            </wp:positionV>
            <wp:extent cx="1270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5" w:lineRule="exact"/>
        <w:rPr>
          <w:sz w:val="20"/>
          <w:szCs w:val="20"/>
          <w:color w:val="auto"/>
        </w:rPr>
      </w:pPr>
    </w:p>
    <w:p>
      <w:pPr>
        <w:ind w:right="200" w:firstLine="351"/>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Net Charge-Offs. </w:t>
      </w:r>
      <w:r>
        <w:rPr>
          <w:rFonts w:ascii="Times New Roman" w:cs="Times New Roman" w:eastAsia="Times New Roman" w:hAnsi="Times New Roman"/>
          <w:sz w:val="18"/>
          <w:szCs w:val="18"/>
          <w:color w:val="auto"/>
        </w:rPr>
        <w:t>Net charge-offs comprise the principal amount of losses from cardholders unwilling or unable to pay their account balances, as well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bankrupt and deceased cardholders, less current period recoveries. Net charge-offs exclude current years accrued finance charges and fees. The following table presents our net charge-offs for the periods indicated on a securitized basis. Average credit card portfolio outstanding represents the average balance of the securitized receivables at the beginning of each month in the year indicated.</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50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72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Year ended December 31,</w:t>
            </w: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080" w:type="dxa"/>
            <w:vAlign w:val="bottom"/>
          </w:tcPr>
          <w:p>
            <w:pPr>
              <w:spacing w:after="0"/>
              <w:rPr>
                <w:sz w:val="9"/>
                <w:szCs w:val="9"/>
                <w:color w:val="auto"/>
              </w:rPr>
            </w:pPr>
          </w:p>
        </w:tc>
        <w:tc>
          <w:tcPr>
            <w:tcW w:w="64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50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2000</w:t>
            </w: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jc w:val="center"/>
              <w:ind w:right="237"/>
              <w:spacing w:after="0"/>
              <w:rPr>
                <w:sz w:val="20"/>
                <w:szCs w:val="20"/>
                <w:color w:val="auto"/>
              </w:rPr>
            </w:pPr>
            <w:r>
              <w:rPr>
                <w:rFonts w:ascii="Times New Roman" w:cs="Times New Roman" w:eastAsia="Times New Roman" w:hAnsi="Times New Roman"/>
                <w:sz w:val="14"/>
                <w:szCs w:val="14"/>
                <w:b w:val="1"/>
                <w:bCs w:val="1"/>
                <w:color w:val="auto"/>
                <w:w w:val="92"/>
              </w:rPr>
              <w:t>2001</w:t>
            </w: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2002</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080" w:type="dxa"/>
            <w:vAlign w:val="bottom"/>
          </w:tcPr>
          <w:p>
            <w:pPr>
              <w:spacing w:after="0"/>
              <w:rPr>
                <w:sz w:val="9"/>
                <w:szCs w:val="9"/>
                <w:color w:val="auto"/>
              </w:rPr>
            </w:pPr>
          </w:p>
        </w:tc>
        <w:tc>
          <w:tcPr>
            <w:tcW w:w="64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340" w:type="dxa"/>
            <w:vAlign w:val="bottom"/>
            <w:tcBorders>
              <w:bottom w:val="single" w:sz="8" w:color="808080"/>
            </w:tcBorders>
            <w:gridSpan w:val="2"/>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50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52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6"/>
              </w:rPr>
              <w:t>(dollars in thousands)</w:t>
            </w: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50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securitized portfolio</w:t>
            </w: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2,073,574</w:t>
            </w:r>
          </w:p>
        </w:tc>
        <w:tc>
          <w:tcPr>
            <w:tcW w:w="1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2,197,935</w:t>
            </w:r>
          </w:p>
        </w:tc>
        <w:tc>
          <w:tcPr>
            <w:tcW w:w="1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2,408,444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Net charge-offs</w:t>
            </w: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157,351</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184,622</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177,603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charge-offs as a percentage of average securitized portfolio</w:t>
            </w: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8.4%</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6452235</wp:posOffset>
            </wp:positionH>
            <wp:positionV relativeFrom="paragraph">
              <wp:posOffset>-989965</wp:posOffset>
            </wp:positionV>
            <wp:extent cx="1270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-989965</wp:posOffset>
            </wp:positionV>
            <wp:extent cx="1270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-741045</wp:posOffset>
            </wp:positionV>
            <wp:extent cx="1270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-741045</wp:posOffset>
            </wp:positionV>
            <wp:extent cx="1270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-741045</wp:posOffset>
            </wp:positionV>
            <wp:extent cx="1270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-741045</wp:posOffset>
            </wp:positionV>
            <wp:extent cx="1270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-741045</wp:posOffset>
            </wp:positionV>
            <wp:extent cx="1270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-741045</wp:posOffset>
            </wp:positionV>
            <wp:extent cx="1270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We believe, consistent with our statistical models and other credit analyses, that our securitized net charge-off ratio will continue to fluctuate.</w:t>
      </w:r>
    </w:p>
    <w:p>
      <w:pPr>
        <w:spacing w:after="0" w:line="223" w:lineRule="exact"/>
        <w:rPr>
          <w:sz w:val="20"/>
          <w:szCs w:val="20"/>
          <w:color w:val="auto"/>
        </w:rPr>
      </w:pPr>
    </w:p>
    <w:p>
      <w:pPr>
        <w:ind w:firstLine="348"/>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Age of Portfolio. </w:t>
      </w:r>
      <w:r>
        <w:rPr>
          <w:rFonts w:ascii="Times New Roman" w:cs="Times New Roman" w:eastAsia="Times New Roman" w:hAnsi="Times New Roman"/>
          <w:sz w:val="18"/>
          <w:szCs w:val="18"/>
          <w:color w:val="auto"/>
        </w:rPr>
        <w:t>The following table sets forth, as of December 31, 2002, the number of accounts with balance and the related balances outstanding, based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upon the age of the securitized accounts: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6"/>
              </w:rPr>
              <w:t>Percentage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Number of</w:t>
            </w:r>
          </w:p>
        </w:tc>
        <w:tc>
          <w:tcPr>
            <w:tcW w:w="1700" w:type="dxa"/>
            <w:vAlign w:val="bottom"/>
            <w:gridSpan w:val="3"/>
          </w:tcPr>
          <w:p>
            <w:pPr>
              <w:jc w:val="right"/>
              <w:ind w:right="680"/>
              <w:spacing w:after="0" w:line="149" w:lineRule="exact"/>
              <w:rPr>
                <w:sz w:val="20"/>
                <w:szCs w:val="20"/>
                <w:color w:val="auto"/>
              </w:rPr>
            </w:pPr>
            <w:r>
              <w:rPr>
                <w:rFonts w:ascii="Times New Roman" w:cs="Times New Roman" w:eastAsia="Times New Roman" w:hAnsi="Times New Roman"/>
                <w:sz w:val="14"/>
                <w:szCs w:val="14"/>
                <w:b w:val="1"/>
                <w:bCs w:val="1"/>
                <w:color w:val="auto"/>
              </w:rPr>
              <w:t>Percentage of</w:t>
            </w:r>
          </w:p>
        </w:tc>
        <w:tc>
          <w:tcPr>
            <w:tcW w:w="138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w w:val="94"/>
              </w:rPr>
              <w:t>Balances</w:t>
            </w:r>
          </w:p>
        </w:tc>
        <w:tc>
          <w:tcPr>
            <w:tcW w:w="13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6"/>
              </w:rPr>
              <w:t>of balances</w:t>
            </w:r>
          </w:p>
        </w:tc>
        <w:tc>
          <w:tcPr>
            <w:tcW w:w="0" w:type="dxa"/>
            <w:vAlign w:val="bottom"/>
          </w:tcPr>
          <w:p>
            <w:pPr>
              <w:spacing w:after="0"/>
              <w:rPr>
                <w:sz w:val="1"/>
                <w:szCs w:val="1"/>
                <w:color w:val="auto"/>
              </w:rPr>
            </w:pPr>
          </w:p>
        </w:tc>
      </w:tr>
      <w:tr>
        <w:trPr>
          <w:trHeight w:val="178"/>
        </w:trPr>
        <w:tc>
          <w:tcPr>
            <w:tcW w:w="46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Age since origination</w:t>
            </w:r>
          </w:p>
        </w:tc>
        <w:tc>
          <w:tcPr>
            <w:tcW w:w="200" w:type="dxa"/>
            <w:vAlign w:val="bottom"/>
          </w:tcPr>
          <w:p>
            <w:pPr>
              <w:spacing w:after="0"/>
              <w:rPr>
                <w:sz w:val="15"/>
                <w:szCs w:val="15"/>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5"/>
              </w:rPr>
              <w:t>accounts</w:t>
            </w:r>
          </w:p>
        </w:tc>
        <w:tc>
          <w:tcPr>
            <w:tcW w:w="1700" w:type="dxa"/>
            <w:vAlign w:val="bottom"/>
            <w:gridSpan w:val="3"/>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accounts</w:t>
            </w:r>
          </w:p>
        </w:tc>
        <w:tc>
          <w:tcPr>
            <w:tcW w:w="138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5"/>
              </w:rPr>
              <w:t>outstanding</w:t>
            </w:r>
          </w:p>
        </w:tc>
        <w:tc>
          <w:tcPr>
            <w:tcW w:w="13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5"/>
              </w:rPr>
              <w:t>outstanding</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5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45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080" w:type="dxa"/>
            <w:vAlign w:val="bottom"/>
            <w:gridSpan w:val="5"/>
          </w:tcPr>
          <w:p>
            <w:pPr>
              <w:ind w:left="86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4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0–5 Months</w:t>
            </w:r>
          </w:p>
        </w:tc>
        <w:tc>
          <w:tcPr>
            <w:tcW w:w="12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2,016</w:t>
            </w:r>
          </w:p>
        </w:tc>
        <w:tc>
          <w:tcPr>
            <w:tcW w:w="200" w:type="dxa"/>
            <w:vAlign w:val="bottom"/>
            <w:tcBorders>
              <w:right w:val="single" w:sz="8" w:color="CCEEFF"/>
            </w:tcBorders>
            <w:shd w:val="clear" w:color="auto" w:fill="CCEEFF"/>
          </w:tcPr>
          <w:p>
            <w:pPr>
              <w:spacing w:after="0"/>
              <w:rPr>
                <w:sz w:val="18"/>
                <w:szCs w:val="18"/>
                <w:color w:val="auto"/>
              </w:rPr>
            </w:pPr>
          </w:p>
        </w:tc>
        <w:tc>
          <w:tcPr>
            <w:tcW w:w="17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20.8% $</w:t>
            </w:r>
          </w:p>
        </w:tc>
        <w:tc>
          <w:tcPr>
            <w:tcW w:w="11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468,529</w:t>
            </w:r>
          </w:p>
        </w:tc>
        <w:tc>
          <w:tcPr>
            <w:tcW w:w="200" w:type="dxa"/>
            <w:vAlign w:val="bottom"/>
            <w:tcBorders>
              <w:right w:val="single" w:sz="8" w:color="CCEEFF"/>
            </w:tcBorders>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6–11 Months</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244,546</w:t>
            </w: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12–17 Months</w:t>
            </w:r>
          </w:p>
        </w:tc>
        <w:tc>
          <w:tcPr>
            <w:tcW w:w="12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w:t>
            </w:r>
          </w:p>
        </w:tc>
        <w:tc>
          <w:tcPr>
            <w:tcW w:w="200" w:type="dxa"/>
            <w:vAlign w:val="bottom"/>
            <w:tcBorders>
              <w:right w:val="single" w:sz="8" w:color="CCEEFF"/>
            </w:tcBorders>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248,031</w:t>
            </w:r>
          </w:p>
        </w:tc>
        <w:tc>
          <w:tcPr>
            <w:tcW w:w="200" w:type="dxa"/>
            <w:vAlign w:val="bottom"/>
            <w:tcBorders>
              <w:right w:val="single" w:sz="8" w:color="CCEEFF"/>
            </w:tcBorders>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18–23 Months</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184,574</w:t>
            </w: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24–35 Months</w:t>
            </w:r>
          </w:p>
        </w:tc>
        <w:tc>
          <w:tcPr>
            <w:tcW w:w="12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w:t>
            </w:r>
          </w:p>
        </w:tc>
        <w:tc>
          <w:tcPr>
            <w:tcW w:w="200" w:type="dxa"/>
            <w:vAlign w:val="bottom"/>
            <w:tcBorders>
              <w:right w:val="single" w:sz="8" w:color="CCEEFF"/>
            </w:tcBorders>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343,635</w:t>
            </w:r>
          </w:p>
        </w:tc>
        <w:tc>
          <w:tcPr>
            <w:tcW w:w="200" w:type="dxa"/>
            <w:vAlign w:val="bottom"/>
            <w:tcBorders>
              <w:right w:val="single" w:sz="8" w:color="CCEEFF"/>
            </w:tcBorders>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36+ Months</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3,921</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1,285,823</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4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5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12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9,677</w:t>
            </w:r>
          </w:p>
        </w:tc>
        <w:tc>
          <w:tcPr>
            <w:tcW w:w="200" w:type="dxa"/>
            <w:vAlign w:val="bottom"/>
            <w:tcBorders>
              <w:right w:val="single" w:sz="8" w:color="CCEEFF"/>
            </w:tcBorders>
            <w:shd w:val="clear" w:color="auto" w:fill="CCEEFF"/>
          </w:tcPr>
          <w:p>
            <w:pPr>
              <w:spacing w:after="0"/>
              <w:rPr>
                <w:sz w:val="21"/>
                <w:szCs w:val="21"/>
                <w:color w:val="auto"/>
              </w:rPr>
            </w:pPr>
          </w:p>
        </w:tc>
        <w:tc>
          <w:tcPr>
            <w:tcW w:w="17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100.0% $</w:t>
            </w:r>
          </w:p>
        </w:tc>
        <w:tc>
          <w:tcPr>
            <w:tcW w:w="11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2,775,138</w:t>
            </w:r>
          </w:p>
        </w:tc>
        <w:tc>
          <w:tcPr>
            <w:tcW w:w="200" w:type="dxa"/>
            <w:vAlign w:val="bottom"/>
            <w:tcBorders>
              <w:right w:val="single" w:sz="8" w:color="CCEEFF"/>
            </w:tcBorders>
            <w:shd w:val="clear" w:color="auto" w:fill="CCEEFF"/>
          </w:tcPr>
          <w:p>
            <w:pPr>
              <w:spacing w:after="0"/>
              <w:rPr>
                <w:sz w:val="21"/>
                <w:szCs w:val="21"/>
                <w:color w:val="auto"/>
              </w:rPr>
            </w:pPr>
          </w:p>
        </w:tc>
        <w:tc>
          <w:tcPr>
            <w:tcW w:w="1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80" w:type="dxa"/>
            <w:vAlign w:val="bottom"/>
            <w:tcBorders>
              <w:right w:val="single" w:sz="8" w:color="808080"/>
            </w:tcBorders>
            <w:shd w:val="clear" w:color="auto" w:fill="808080"/>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12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180" w:type="dxa"/>
            <w:vAlign w:val="bottom"/>
            <w:tcBorders>
              <w:right w:val="single" w:sz="8" w:color="808080"/>
            </w:tcBorders>
            <w:shd w:val="clear" w:color="auto" w:fill="808080"/>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1180" w:type="dxa"/>
            <w:vAlign w:val="bottom"/>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128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color w:val="auto"/>
              </w:rPr>
              <w:t>34</w:t>
            </w: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2910205</wp:posOffset>
            </wp:positionH>
            <wp:positionV relativeFrom="paragraph">
              <wp:posOffset>-1906270</wp:posOffset>
            </wp:positionV>
            <wp:extent cx="1270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-1906270</wp:posOffset>
            </wp:positionV>
            <wp:extent cx="1270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-1906270</wp:posOffset>
            </wp:positionV>
            <wp:extent cx="1270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3047365</wp:posOffset>
            </wp:positionH>
            <wp:positionV relativeFrom="paragraph">
              <wp:posOffset>-1906270</wp:posOffset>
            </wp:positionV>
            <wp:extent cx="1270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-1906270</wp:posOffset>
            </wp:positionV>
            <wp:extent cx="1270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-1906270</wp:posOffset>
            </wp:positionV>
            <wp:extent cx="1270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-1906270</wp:posOffset>
            </wp:positionV>
            <wp:extent cx="1270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-1906270</wp:posOffset>
            </wp:positionV>
            <wp:extent cx="1270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-1906270</wp:posOffset>
            </wp:positionV>
            <wp:extent cx="1270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-1906270</wp:posOffset>
            </wp:positionV>
            <wp:extent cx="1270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-680085</wp:posOffset>
            </wp:positionV>
            <wp:extent cx="1270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3047365</wp:posOffset>
            </wp:positionH>
            <wp:positionV relativeFrom="paragraph">
              <wp:posOffset>-680085</wp:posOffset>
            </wp:positionV>
            <wp:extent cx="1270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-680085</wp:posOffset>
            </wp:positionV>
            <wp:extent cx="1270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-680085</wp:posOffset>
            </wp:positionV>
            <wp:extent cx="1270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-680085</wp:posOffset>
            </wp:positionV>
            <wp:extent cx="1270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-680085</wp:posOffset>
            </wp:positionV>
            <wp:extent cx="1270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-680085</wp:posOffset>
            </wp:positionV>
            <wp:extent cx="1270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-680085</wp:posOffset>
            </wp:positionV>
            <wp:extent cx="1270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136525</wp:posOffset>
            </wp:positionV>
            <wp:extent cx="7250430" cy="215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ind w:right="60" w:firstLine="351"/>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Operating Activities. </w:t>
      </w:r>
      <w:r>
        <w:rPr>
          <w:rFonts w:ascii="Times New Roman" w:cs="Times New Roman" w:eastAsia="Times New Roman" w:hAnsi="Times New Roman"/>
          <w:sz w:val="18"/>
          <w:szCs w:val="18"/>
          <w:color w:val="auto"/>
        </w:rPr>
        <w:t>We have historically generated cash flows from operations, although that amount may vary based on fluctuations in working capital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the timing of merchant settlement activity. Merchant settlement activity is driven by the number of days of float at the end of the period. As of December 31, 2002, we had one day of float compared to three days at December 31, 2001. Our operating cash flow is seasonal, with cash utilization peaking at the end of December due to increased activity in our Credit Services segment related to holiday retail sales.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6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3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6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2000</w:t>
            </w: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2001</w:t>
            </w: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2002</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3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140" w:type="dxa"/>
            <w:vAlign w:val="bottom"/>
            <w:tcBorders>
              <w:bottom w:val="single" w:sz="8" w:color="808080"/>
            </w:tcBorders>
            <w:gridSpan w:val="2"/>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6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6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provided by operating activities:</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Before change in merchant settlement activity</w:t>
            </w: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70,035</w:t>
            </w:r>
          </w:p>
        </w:tc>
        <w:tc>
          <w:tcPr>
            <w:tcW w:w="4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113,015</w:t>
            </w:r>
          </w:p>
        </w:tc>
        <w:tc>
          <w:tcPr>
            <w:tcW w:w="200" w:type="dxa"/>
            <w:vAlign w:val="bottom"/>
          </w:tcPr>
          <w:p>
            <w:pPr>
              <w:spacing w:after="0"/>
              <w:rPr>
                <w:sz w:val="18"/>
                <w:szCs w:val="18"/>
                <w:color w:val="auto"/>
              </w:rPr>
            </w:pPr>
          </w:p>
        </w:tc>
        <w:tc>
          <w:tcPr>
            <w:tcW w:w="26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197,149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change in merchant settlement activity</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17,148</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55,240</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(69,387)</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3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6300" w:type="dxa"/>
            <w:vAlign w:val="bottom"/>
          </w:tcPr>
          <w:p>
            <w:pPr>
              <w:spacing w:after="0"/>
              <w:rPr>
                <w:sz w:val="24"/>
                <w:szCs w:val="24"/>
                <w:color w:val="auto"/>
              </w:rPr>
            </w:pP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87,183</w:t>
            </w:r>
          </w:p>
        </w:tc>
        <w:tc>
          <w:tcPr>
            <w:tcW w:w="4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168,255</w:t>
            </w:r>
          </w:p>
        </w:tc>
        <w:tc>
          <w:tcPr>
            <w:tcW w:w="200" w:type="dxa"/>
            <w:vAlign w:val="bottom"/>
          </w:tcPr>
          <w:p>
            <w:pPr>
              <w:spacing w:after="0"/>
              <w:rPr>
                <w:sz w:val="24"/>
                <w:szCs w:val="24"/>
                <w:color w:val="auto"/>
              </w:rPr>
            </w:pPr>
          </w:p>
        </w:tc>
        <w:tc>
          <w:tcPr>
            <w:tcW w:w="26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127,762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30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6374765</wp:posOffset>
            </wp:positionH>
            <wp:positionV relativeFrom="paragraph">
              <wp:posOffset>-1386205</wp:posOffset>
            </wp:positionV>
            <wp:extent cx="1270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4016375</wp:posOffset>
            </wp:positionH>
            <wp:positionV relativeFrom="paragraph">
              <wp:posOffset>-1386205</wp:posOffset>
            </wp:positionV>
            <wp:extent cx="1270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-1137920</wp:posOffset>
            </wp:positionV>
            <wp:extent cx="1270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4016375</wp:posOffset>
            </wp:positionH>
            <wp:positionV relativeFrom="paragraph">
              <wp:posOffset>-1137920</wp:posOffset>
            </wp:positionV>
            <wp:extent cx="1270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-1137920</wp:posOffset>
            </wp:positionV>
            <wp:extent cx="1270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-1137920</wp:posOffset>
            </wp:positionV>
            <wp:extent cx="1270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-1137920</wp:posOffset>
            </wp:positionV>
            <wp:extent cx="1270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-1137920</wp:posOffset>
            </wp:positionV>
            <wp:extent cx="1270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-323215</wp:posOffset>
            </wp:positionV>
            <wp:extent cx="1270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4016375</wp:posOffset>
            </wp:positionH>
            <wp:positionV relativeFrom="paragraph">
              <wp:posOffset>-323215</wp:posOffset>
            </wp:positionV>
            <wp:extent cx="1270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-323215</wp:posOffset>
            </wp:positionV>
            <wp:extent cx="1270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-323215</wp:posOffset>
            </wp:positionV>
            <wp:extent cx="1270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-323215</wp:posOffset>
            </wp:positionV>
            <wp:extent cx="1270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-323215</wp:posOffset>
            </wp:positionV>
            <wp:extent cx="1270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380"/>
          </w:cols>
          <w:pgMar w:left="240" w:top="584" w:right="279" w:bottom="0" w:gutter="0" w:footer="0" w:header="0"/>
        </w:sectPr>
      </w:pPr>
    </w:p>
    <w:bookmarkStart w:id="21" w:name="page22"/>
    <w:bookmarkEnd w:id="21"/>
    <w:p>
      <w:pPr>
        <w:ind w:right="280" w:firstLine="351"/>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Investing Activities. </w:t>
      </w:r>
      <w:r>
        <w:rPr>
          <w:rFonts w:ascii="Times New Roman" w:cs="Times New Roman" w:eastAsia="Times New Roman" w:hAnsi="Times New Roman"/>
          <w:sz w:val="18"/>
          <w:szCs w:val="18"/>
          <w:color w:val="auto"/>
        </w:rPr>
        <w:t>We use a significant portion of our cash flows from operations for acquisitions and capital expenditures. We acquired the following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businesses in 2002 for a total of $35.9 million, net of cash acquired, compared to $89.0 million in 2001:</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5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Business</w:t>
            </w:r>
          </w:p>
        </w:tc>
        <w:tc>
          <w:tcPr>
            <w:tcW w:w="180" w:type="dxa"/>
            <w:vAlign w:val="bottom"/>
          </w:tcPr>
          <w:p>
            <w:pPr>
              <w:spacing w:after="0"/>
              <w:rPr>
                <w:sz w:val="15"/>
                <w:szCs w:val="15"/>
                <w:color w:val="auto"/>
              </w:rPr>
            </w:pPr>
          </w:p>
        </w:tc>
        <w:tc>
          <w:tcPr>
            <w:tcW w:w="172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Month Acquired</w:t>
            </w:r>
          </w:p>
        </w:tc>
        <w:tc>
          <w:tcPr>
            <w:tcW w:w="180" w:type="dxa"/>
            <w:vAlign w:val="bottom"/>
          </w:tcPr>
          <w:p>
            <w:pPr>
              <w:spacing w:after="0"/>
              <w:rPr>
                <w:sz w:val="15"/>
                <w:szCs w:val="15"/>
                <w:color w:val="auto"/>
              </w:rPr>
            </w:pPr>
          </w:p>
        </w:tc>
        <w:tc>
          <w:tcPr>
            <w:tcW w:w="1820" w:type="dxa"/>
            <w:vAlign w:val="bottom"/>
          </w:tcPr>
          <w:p>
            <w:pPr>
              <w:ind w:left="660"/>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180" w:type="dxa"/>
            <w:vAlign w:val="bottom"/>
          </w:tcPr>
          <w:p>
            <w:pPr>
              <w:spacing w:after="0"/>
              <w:rPr>
                <w:sz w:val="15"/>
                <w:szCs w:val="15"/>
                <w:color w:val="auto"/>
              </w:rPr>
            </w:pPr>
          </w:p>
        </w:tc>
        <w:tc>
          <w:tcPr>
            <w:tcW w:w="1740" w:type="dxa"/>
            <w:vAlign w:val="bottom"/>
          </w:tcPr>
          <w:p>
            <w:pPr>
              <w:ind w:left="460"/>
              <w:spacing w:after="0"/>
              <w:rPr>
                <w:sz w:val="20"/>
                <w:szCs w:val="20"/>
                <w:color w:val="auto"/>
              </w:rPr>
            </w:pPr>
            <w:r>
              <w:rPr>
                <w:rFonts w:ascii="Times New Roman" w:cs="Times New Roman" w:eastAsia="Times New Roman" w:hAnsi="Times New Roman"/>
                <w:sz w:val="14"/>
                <w:szCs w:val="14"/>
                <w:b w:val="1"/>
                <w:bCs w:val="1"/>
                <w:color w:val="auto"/>
              </w:rPr>
              <w:t>Consideration</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5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7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8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7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Loyalty One, Inc.</w:t>
            </w:r>
          </w:p>
        </w:tc>
        <w:tc>
          <w:tcPr>
            <w:tcW w:w="18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2002</w:t>
            </w:r>
          </w:p>
        </w:tc>
        <w:tc>
          <w:tcPr>
            <w:tcW w:w="18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Transaction Services</w:t>
            </w:r>
          </w:p>
        </w:tc>
        <w:tc>
          <w:tcPr>
            <w:tcW w:w="19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for Stock</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Enlogix Group</w:t>
            </w:r>
          </w:p>
        </w:tc>
        <w:tc>
          <w:tcPr>
            <w:tcW w:w="180" w:type="dxa"/>
            <w:vAlign w:val="bottom"/>
          </w:tcPr>
          <w:p>
            <w:pPr>
              <w:spacing w:after="0"/>
              <w:rPr>
                <w:sz w:val="18"/>
                <w:szCs w:val="18"/>
                <w:color w:val="auto"/>
              </w:rPr>
            </w:pPr>
          </w:p>
        </w:tc>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August 2002</w:t>
            </w:r>
          </w:p>
        </w:tc>
        <w:tc>
          <w:tcPr>
            <w:tcW w:w="18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Transaction Services</w:t>
            </w:r>
          </w:p>
        </w:tc>
        <w:tc>
          <w:tcPr>
            <w:tcW w:w="19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Cash for Stock</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Targeted Marketing Services</w:t>
            </w:r>
          </w:p>
        </w:tc>
        <w:tc>
          <w:tcPr>
            <w:tcW w:w="18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2002</w:t>
            </w:r>
          </w:p>
        </w:tc>
        <w:tc>
          <w:tcPr>
            <w:tcW w:w="18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Transaction Services</w:t>
            </w:r>
          </w:p>
        </w:tc>
        <w:tc>
          <w:tcPr>
            <w:tcW w:w="19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for Assets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2241550</wp:posOffset>
            </wp:positionH>
            <wp:positionV relativeFrom="paragraph">
              <wp:posOffset>-492760</wp:posOffset>
            </wp:positionV>
            <wp:extent cx="1270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-492760</wp:posOffset>
            </wp:positionV>
            <wp:extent cx="1270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3441700</wp:posOffset>
            </wp:positionH>
            <wp:positionV relativeFrom="paragraph">
              <wp:posOffset>-492760</wp:posOffset>
            </wp:positionV>
            <wp:extent cx="1270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2361565</wp:posOffset>
            </wp:positionH>
            <wp:positionV relativeFrom="paragraph">
              <wp:posOffset>-492760</wp:posOffset>
            </wp:positionV>
            <wp:extent cx="1270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-492760</wp:posOffset>
            </wp:positionV>
            <wp:extent cx="1270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3561715</wp:posOffset>
            </wp:positionH>
            <wp:positionV relativeFrom="paragraph">
              <wp:posOffset>-492760</wp:posOffset>
            </wp:positionV>
            <wp:extent cx="1270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5928995</wp:posOffset>
            </wp:positionH>
            <wp:positionV relativeFrom="paragraph">
              <wp:posOffset>-492760</wp:posOffset>
            </wp:positionV>
            <wp:extent cx="1270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-492760</wp:posOffset>
            </wp:positionV>
            <wp:extent cx="1270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2" w:lineRule="exact"/>
        <w:rPr>
          <w:sz w:val="20"/>
          <w:szCs w:val="20"/>
          <w:color w:val="auto"/>
        </w:rPr>
      </w:pPr>
    </w:p>
    <w:p>
      <w:pPr>
        <w:ind w:right="100" w:firstLine="351"/>
        <w:spacing w:after="0" w:line="275" w:lineRule="auto"/>
        <w:rPr>
          <w:sz w:val="20"/>
          <w:szCs w:val="20"/>
          <w:color w:val="auto"/>
        </w:rPr>
      </w:pPr>
      <w:r>
        <w:rPr>
          <w:rFonts w:ascii="Times New Roman" w:cs="Times New Roman" w:eastAsia="Times New Roman" w:hAnsi="Times New Roman"/>
          <w:sz w:val="18"/>
          <w:szCs w:val="18"/>
          <w:color w:val="auto"/>
        </w:rPr>
        <w:t>In addition, the Credit Services segment utilizes a securitization program, discussed below, and certificates of deposit to finance our private label credit card program. Net securitization activity utilized $98.4 million in 2002 compared to $67.1 million in 2001.</w:t>
      </w:r>
    </w:p>
    <w:p>
      <w:pPr>
        <w:spacing w:after="0" w:line="172" w:lineRule="exact"/>
        <w:rPr>
          <w:sz w:val="20"/>
          <w:szCs w:val="20"/>
          <w:color w:val="auto"/>
        </w:rPr>
      </w:pPr>
    </w:p>
    <w:p>
      <w:pPr>
        <w:ind w:left="360"/>
        <w:spacing w:after="0"/>
        <w:tabs>
          <w:tab w:leader="none" w:pos="1980" w:val="left"/>
        </w:tabs>
        <w:rPr>
          <w:sz w:val="20"/>
          <w:szCs w:val="20"/>
          <w:color w:val="auto"/>
        </w:rPr>
      </w:pPr>
      <w:r>
        <w:rPr>
          <w:rFonts w:ascii="Times New Roman" w:cs="Times New Roman" w:eastAsia="Times New Roman" w:hAnsi="Times New Roman"/>
          <w:sz w:val="18"/>
          <w:szCs w:val="18"/>
          <w:i w:val="1"/>
          <w:iCs w:val="1"/>
          <w:color w:val="auto"/>
        </w:rPr>
        <w:t>Financing Activities.</w:t>
      </w:r>
      <w:r>
        <w:rPr>
          <w:sz w:val="20"/>
          <w:szCs w:val="20"/>
          <w:color w:val="auto"/>
        </w:rPr>
        <w:tab/>
      </w:r>
      <w:r>
        <w:rPr>
          <w:rFonts w:ascii="Times New Roman" w:cs="Times New Roman" w:eastAsia="Times New Roman" w:hAnsi="Times New Roman"/>
          <w:sz w:val="16"/>
          <w:szCs w:val="16"/>
          <w:color w:val="auto"/>
        </w:rPr>
        <w:t>Our cash flows used in financing activities was $16.0 million in 2002 compared to cash flows provided by financing activities of</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$32.5 million in 2001. Financing activity primarily is attributed to the pay off of $50.0 million of subordinated debt to Limited Brands and Welsh Carson, offset</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borrowing under our credit facilities.</w:t>
      </w:r>
    </w:p>
    <w:p>
      <w:pPr>
        <w:spacing w:after="0" w:line="209" w:lineRule="exact"/>
        <w:rPr>
          <w:sz w:val="20"/>
          <w:szCs w:val="20"/>
          <w:color w:val="auto"/>
        </w:rPr>
      </w:pPr>
    </w:p>
    <w:p>
      <w:pPr>
        <w:ind w:right="160" w:firstLine="351"/>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 xml:space="preserve">Liquidity Sources. </w:t>
      </w:r>
      <w:r>
        <w:rPr>
          <w:rFonts w:ascii="Times New Roman" w:cs="Times New Roman" w:eastAsia="Times New Roman" w:hAnsi="Times New Roman"/>
          <w:sz w:val="18"/>
          <w:szCs w:val="18"/>
          <w:color w:val="auto"/>
        </w:rPr>
        <w:t>In addition to cash generated by operating activities, we have four main sources of liquidity: securitization program, certificates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deposit issued by World Financial Network National Bank, our credit facilities and issuances of equity securities. We believe that internally generated funds and existing sources of liquidity are sufficient to meet current and anticipated financing requirements during the next 12 months.</w:t>
      </w:r>
    </w:p>
    <w:p>
      <w:pPr>
        <w:spacing w:after="0" w:line="181" w:lineRule="exact"/>
        <w:rPr>
          <w:sz w:val="20"/>
          <w:szCs w:val="20"/>
          <w:color w:val="auto"/>
        </w:rPr>
      </w:pPr>
    </w:p>
    <w:p>
      <w:pPr>
        <w:jc w:val="both"/>
        <w:ind w:right="100" w:firstLine="351"/>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Securitization Program and Off-Balance Sheet Transactions. </w:t>
      </w:r>
      <w:r>
        <w:rPr>
          <w:rFonts w:ascii="Times New Roman" w:cs="Times New Roman" w:eastAsia="Times New Roman" w:hAnsi="Times New Roman"/>
          <w:sz w:val="18"/>
          <w:szCs w:val="18"/>
          <w:color w:val="auto"/>
        </w:rPr>
        <w:t>Since January 1996, we have sold substantially all of the credit card receivables owned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credit card bank, World Financial Network National Bank, to World Financial Network Credit Card Master Trust and World Financial Network Credit Card Master Note Trust, and sometimes through WFN Credit Company, LLC, as part of our securitization program. This securitization program is the primary vehicle through which we finance our private label credit card receivables. The following table shows expected maturities for borrowing</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commitments of World Financial Network Credit Card Master Trust and World Financial Network Credit Card Master Note Trust by year:</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4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2003</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2004</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2007</w:t>
            </w: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88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Borders>
              <w:bottom w:val="single" w:sz="8" w:color="808080"/>
            </w:tcBorders>
            <w:gridSpan w:val="2"/>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48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260" w:type="dxa"/>
            <w:vAlign w:val="bottom"/>
            <w:gridSpan w:val="4"/>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4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notes</w:t>
            </w:r>
          </w:p>
        </w:tc>
        <w:tc>
          <w:tcPr>
            <w:tcW w:w="320" w:type="dxa"/>
            <w:vAlign w:val="bottom"/>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358,750</w:t>
            </w:r>
          </w:p>
        </w:tc>
        <w:tc>
          <w:tcPr>
            <w:tcW w:w="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900,000</w:t>
            </w:r>
          </w:p>
        </w:tc>
        <w:tc>
          <w:tcPr>
            <w:tcW w:w="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1,858,750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Private conduits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887,861</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887,861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488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8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8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1,246,611</w:t>
            </w:r>
          </w:p>
        </w:tc>
        <w:tc>
          <w:tcPr>
            <w:tcW w:w="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900,000</w:t>
            </w:r>
          </w:p>
        </w:tc>
        <w:tc>
          <w:tcPr>
            <w:tcW w:w="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2,746,611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8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88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108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104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3982085</wp:posOffset>
            </wp:positionH>
            <wp:positionV relativeFrom="paragraph">
              <wp:posOffset>-1017905</wp:posOffset>
            </wp:positionV>
            <wp:extent cx="1270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3107690</wp:posOffset>
            </wp:positionH>
            <wp:positionV relativeFrom="paragraph">
              <wp:posOffset>-1017905</wp:posOffset>
            </wp:positionV>
            <wp:extent cx="1270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-1017905</wp:posOffset>
            </wp:positionV>
            <wp:extent cx="1270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-1017905</wp:posOffset>
            </wp:positionV>
            <wp:extent cx="1270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-1017905</wp:posOffset>
            </wp:positionV>
            <wp:extent cx="1270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-1017905</wp:posOffset>
            </wp:positionV>
            <wp:extent cx="1270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-1017905</wp:posOffset>
            </wp:positionV>
            <wp:extent cx="1270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-1017905</wp:posOffset>
            </wp:positionV>
            <wp:extent cx="1270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3982085</wp:posOffset>
            </wp:positionH>
            <wp:positionV relativeFrom="paragraph">
              <wp:posOffset>-340360</wp:posOffset>
            </wp:positionV>
            <wp:extent cx="1270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3107690</wp:posOffset>
            </wp:positionH>
            <wp:positionV relativeFrom="paragraph">
              <wp:posOffset>-340360</wp:posOffset>
            </wp:positionV>
            <wp:extent cx="1270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-340360</wp:posOffset>
            </wp:positionV>
            <wp:extent cx="1270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-340360</wp:posOffset>
            </wp:positionV>
            <wp:extent cx="1270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-340360</wp:posOffset>
            </wp:positionV>
            <wp:extent cx="1270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-340360</wp:posOffset>
            </wp:positionV>
            <wp:extent cx="1270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-340360</wp:posOffset>
            </wp:positionV>
            <wp:extent cx="1270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-340360</wp:posOffset>
            </wp:positionV>
            <wp:extent cx="1270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7" w:lineRule="exact"/>
        <w:rPr>
          <w:sz w:val="20"/>
          <w:szCs w:val="20"/>
          <w:color w:val="auto"/>
        </w:rPr>
      </w:pPr>
    </w:p>
    <w:p>
      <w:pPr>
        <w:ind w:firstLine="341"/>
        <w:spacing w:after="0" w:line="258" w:lineRule="auto"/>
        <w:rPr>
          <w:sz w:val="20"/>
          <w:szCs w:val="20"/>
          <w:color w:val="auto"/>
        </w:rPr>
      </w:pPr>
      <w:r>
        <w:rPr>
          <w:rFonts w:ascii="Times New Roman" w:cs="Times New Roman" w:eastAsia="Times New Roman" w:hAnsi="Times New Roman"/>
          <w:sz w:val="18"/>
          <w:szCs w:val="18"/>
          <w:color w:val="auto"/>
        </w:rPr>
        <w:t>As public notes approach maturity, the notes will enter a controlled accumulation period, which typically lasts three months. During the controlled accumulation period, we will either need to arrange an additional private conduit facility or use our own balance sheet to finance the controlled accumulation until such time as we can issue a new public series in the public markets. During November 2002, we completed a $600.0 million offering of asset-backed notes to refinance an existing series of public notes. The new notes issued in November 2002 will mature in November 2007.</w:t>
      </w:r>
    </w:p>
    <w:p>
      <w:pPr>
        <w:spacing w:after="0" w:line="190" w:lineRule="exact"/>
        <w:rPr>
          <w:sz w:val="20"/>
          <w:szCs w:val="20"/>
          <w:color w:val="auto"/>
        </w:rPr>
      </w:pPr>
    </w:p>
    <w:p>
      <w:pPr>
        <w:ind w:right="60" w:firstLine="341"/>
        <w:spacing w:after="0" w:line="256" w:lineRule="auto"/>
        <w:rPr>
          <w:sz w:val="20"/>
          <w:szCs w:val="20"/>
          <w:color w:val="auto"/>
        </w:rPr>
      </w:pPr>
      <w:r>
        <w:rPr>
          <w:rFonts w:ascii="Times New Roman" w:cs="Times New Roman" w:eastAsia="Times New Roman" w:hAnsi="Times New Roman"/>
          <w:sz w:val="18"/>
          <w:szCs w:val="18"/>
          <w:color w:val="auto"/>
        </w:rPr>
        <w:t>As of December 31, 2002, we had over $2.7 billion of securitized credit card receivables. Securitizations require credit enhancements in the form of cash, spread deposits and additional receivables. The credit enhancement is principally based on the outstanding balances of the private label credit cards in the securitization trust and their related performance. During the period from November to January, we are required to maintain a credit enhancement level of 6% of securitized credit card receivables as compared to 4% to 5% for the remainder of the year. Accordingly, at December 31, we typically have our highest balance of credit enhancement assets. We intend to utilize our securitization program for the foreseeable future.</w:t>
      </w:r>
    </w:p>
    <w:p>
      <w:pPr>
        <w:spacing w:after="0" w:line="193" w:lineRule="exact"/>
        <w:rPr>
          <w:sz w:val="20"/>
          <w:szCs w:val="20"/>
          <w:color w:val="auto"/>
        </w:rPr>
      </w:pPr>
    </w:p>
    <w:p>
      <w:pPr>
        <w:ind w:right="20" w:firstLine="351"/>
        <w:spacing w:after="0" w:line="262" w:lineRule="auto"/>
        <w:rPr>
          <w:sz w:val="20"/>
          <w:szCs w:val="20"/>
          <w:color w:val="auto"/>
        </w:rPr>
      </w:pPr>
      <w:r>
        <w:rPr>
          <w:rFonts w:ascii="Times New Roman" w:cs="Times New Roman" w:eastAsia="Times New Roman" w:hAnsi="Times New Roman"/>
          <w:sz w:val="18"/>
          <w:szCs w:val="18"/>
          <w:color w:val="auto"/>
        </w:rPr>
        <w:t>If World Financial Network National Bank were not able to regularly securitize the receivables it originates, our ability to grow or even maintain our credit services business would be materially impaired. World Financial Network National Bank's ability to effect securitization transactions is impacted by the following factors, some of which are beyond our control:</w:t>
      </w:r>
    </w:p>
    <w:p>
      <w:pPr>
        <w:spacing w:after="0" w:line="200" w:lineRule="exact"/>
        <w:rPr>
          <w:sz w:val="20"/>
          <w:szCs w:val="20"/>
          <w:color w:val="auto"/>
        </w:rPr>
      </w:pPr>
    </w:p>
    <w:p>
      <w:pPr>
        <w:ind w:left="1080" w:hanging="532"/>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in the securities markets in general and the asset-backed securitization market in particular;</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conformity in the quality of credit card receivables to rating agency requirements and changes in those requirements; and</w:t>
      </w:r>
    </w:p>
    <w:p>
      <w:pPr>
        <w:spacing w:after="0" w:line="238" w:lineRule="exact"/>
        <w:rPr>
          <w:rFonts w:ascii="Times New Roman" w:cs="Times New Roman" w:eastAsia="Times New Roman" w:hAnsi="Times New Roman"/>
          <w:sz w:val="18"/>
          <w:szCs w:val="18"/>
          <w:color w:val="auto"/>
        </w:rPr>
      </w:pPr>
    </w:p>
    <w:p>
      <w:pPr>
        <w:ind w:left="1080" w:right="340" w:hanging="532"/>
        <w:spacing w:after="0" w:line="275"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fund required overcollateralizations or credit enhancements, which we routinely utilize in order to achieve better credit ratings to lower our borrowing costs.</w:t>
      </w:r>
    </w:p>
    <w:p>
      <w:pPr>
        <w:spacing w:after="0" w:line="174" w:lineRule="exact"/>
        <w:rPr>
          <w:sz w:val="20"/>
          <w:szCs w:val="20"/>
          <w:color w:val="auto"/>
        </w:rPr>
      </w:pPr>
    </w:p>
    <w:p>
      <w:pPr>
        <w:ind w:right="80" w:firstLine="351"/>
        <w:spacing w:after="0" w:line="255" w:lineRule="auto"/>
        <w:rPr>
          <w:sz w:val="20"/>
          <w:szCs w:val="20"/>
          <w:color w:val="auto"/>
        </w:rPr>
      </w:pPr>
      <w:r>
        <w:rPr>
          <w:rFonts w:ascii="Times New Roman" w:cs="Times New Roman" w:eastAsia="Times New Roman" w:hAnsi="Times New Roman"/>
          <w:sz w:val="18"/>
          <w:szCs w:val="18"/>
          <w:color w:val="auto"/>
        </w:rPr>
        <w:t>Once World Financial Network National Bank securitizes receivables, the agreement governing the transaction contains covenants that address the receivables' performance and the continued solvency of the retailer where the underlying sales were generated. In the event one of those or other similar covenants is breached, an early amortization event could be declared, in which case the trustee for the securitization trust would retain World Financial Network National Bank's interest in the related receivables, along with the excess interest income that would normally be paid to World Financial Network National Bank, until such time as the securitization investors are fully repaid. The occurrence of an early amortization event would significantly limit, or even negate, our ability to securitize additional receivables.</w:t>
      </w:r>
    </w:p>
    <w:p>
      <w:pPr>
        <w:spacing w:after="0" w:line="191" w:lineRule="exact"/>
        <w:rPr>
          <w:sz w:val="20"/>
          <w:szCs w:val="20"/>
          <w:color w:val="auto"/>
        </w:rPr>
      </w:pPr>
    </w:p>
    <w:p>
      <w:pPr>
        <w:ind w:right="20" w:firstLine="351"/>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Certificates of Deposit. </w:t>
      </w:r>
      <w:r>
        <w:rPr>
          <w:rFonts w:ascii="Times New Roman" w:cs="Times New Roman" w:eastAsia="Times New Roman" w:hAnsi="Times New Roman"/>
          <w:sz w:val="18"/>
          <w:szCs w:val="18"/>
          <w:color w:val="auto"/>
        </w:rPr>
        <w:t>We utilize certificates of deposit to finance the operating activities of our credit card bank subsidiary, World Financial Network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National Bank, and to fund securitization enhancement requirements. World Financial Network National Bank issues certificates of deposit in denominations of $100,000 in various maturities ranging between three months and two years and with effective annual fixed rates ranging from 2.0% to 6.1%. As of December 31, 2002, we had $96.2 million</w:t>
      </w:r>
    </w:p>
    <w:p>
      <w:pPr>
        <w:sectPr>
          <w:pgSz w:w="11900" w:h="16838" w:orient="portrait"/>
          <w:cols w:equalWidth="0" w:num="1">
            <w:col w:w="11420"/>
          </w:cols>
          <w:pgMar w:left="240" w:top="123" w:right="239" w:bottom="0" w:gutter="0" w:footer="0" w:header="0"/>
        </w:sectPr>
      </w:pPr>
    </w:p>
    <w:bookmarkStart w:id="22" w:name="page23"/>
    <w:bookmarkEnd w:id="22"/>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certificates of deposit outstanding. Certificate of deposit borrowings are subject to regulatory capital requirements.</w:t>
      </w:r>
    </w:p>
    <w:p>
      <w:pPr>
        <w:spacing w:after="0" w:line="223" w:lineRule="exact"/>
        <w:rPr>
          <w:sz w:val="20"/>
          <w:szCs w:val="20"/>
          <w:color w:val="auto"/>
        </w:rPr>
      </w:pPr>
    </w:p>
    <w:p>
      <w:pPr>
        <w:ind w:right="20" w:firstLine="351"/>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Credit Facilities. </w:t>
      </w:r>
      <w:r>
        <w:rPr>
          <w:rFonts w:ascii="Times New Roman" w:cs="Times New Roman" w:eastAsia="Times New Roman" w:hAnsi="Times New Roman"/>
          <w:sz w:val="18"/>
          <w:szCs w:val="18"/>
          <w:color w:val="auto"/>
        </w:rPr>
        <w:t>We are party to two credit facilities with the same group of lenders. The first facility, which we entered into on July 24, 1998 and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amended on several occasions since then, provides for $83.5 million of term loans and a $100.0 million revolving commitment. The term loans mature in installments through July 2005, and the revolving commitment matures in July 2003. The second facility, which we entered into on May 22, 2002, provides for a $50.0 million revolving commitment that matures in May 2003. The covenants contained in the credit facilities are substantially identical. At December 31, 2002, we had $139.5 million outstanding under our credit facilities, consisting of $83.5 million of term loans and $56.0 million of borrowings under our $150.0 million revolving loan commitments. Existing borrowings under the term loans and the revolving facilities bear interest at variable rates based on LIBOR plus applicable Euro-dollar margins. At December 31, 2002, the effective interest rates on the two term loans were 4.6% and 9.3%, and the approximate effective interest rate on borrowings under the revolving loan facilities was 3.1%.</w:t>
      </w:r>
    </w:p>
    <w:p>
      <w:pPr>
        <w:spacing w:after="0" w:line="194" w:lineRule="exact"/>
        <w:rPr>
          <w:sz w:val="20"/>
          <w:szCs w:val="20"/>
          <w:color w:val="auto"/>
        </w:rPr>
      </w:pPr>
    </w:p>
    <w:p>
      <w:pPr>
        <w:ind w:right="80" w:firstLine="351"/>
        <w:spacing w:after="0" w:line="256" w:lineRule="auto"/>
        <w:rPr>
          <w:sz w:val="20"/>
          <w:szCs w:val="20"/>
          <w:color w:val="auto"/>
        </w:rPr>
      </w:pPr>
      <w:r>
        <w:rPr>
          <w:rFonts w:ascii="Times New Roman" w:cs="Times New Roman" w:eastAsia="Times New Roman" w:hAnsi="Times New Roman"/>
          <w:sz w:val="18"/>
          <w:szCs w:val="18"/>
          <w:color w:val="auto"/>
        </w:rPr>
        <w:t>Our credit facilities allow us to have outstanding funded debt obligations, whether under our credit facilities or otherwise, of up to three times our operating EBITDA (as defined in the facilities). Based on this covenant, our borrowing capacity at December 31, 2002 would have been approximately $495.6 million. With total outstanding borrowings consisting of the credit facilities, certificates of deposit, and subordinated debt of $292.9 million, we had additional borrowing capacity of $202.7 million. In addition, we had $30.4 million of cash and cash equivalents as of December 31, 2002. We utilize the credit facilities and excess cash flows from operations to support our acquisition strategy and to fund working capital and capital expenditures.</w:t>
      </w:r>
    </w:p>
    <w:p>
      <w:pPr>
        <w:spacing w:after="0" w:line="191" w:lineRule="exact"/>
        <w:rPr>
          <w:sz w:val="20"/>
          <w:szCs w:val="20"/>
          <w:color w:val="auto"/>
        </w:rPr>
      </w:pPr>
    </w:p>
    <w:p>
      <w:pPr>
        <w:ind w:right="20" w:firstLine="351"/>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Issuances of Equity. </w:t>
      </w:r>
      <w:r>
        <w:rPr>
          <w:rFonts w:ascii="Times New Roman" w:cs="Times New Roman" w:eastAsia="Times New Roman" w:hAnsi="Times New Roman"/>
          <w:sz w:val="18"/>
          <w:szCs w:val="18"/>
          <w:color w:val="auto"/>
        </w:rPr>
        <w:t>On June 13, 2001, we completed our initial public offering, which consisted of the sale of 14,950,000 shares of our common stock at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price to the public of $12.00 per share. After deducting expenses and underwriting discounts and commissions, we received net offering proceeds of approximately $160.8 million. We used proceeds of approximately $90.8 million to repay in full the outstanding balance of a term loan and approximately $500,000 was used to repurchase a then outstanding warrant for 167,084 shares of our common stock. The remaining net proceeds were used to pay down additional debt and support our securitization program, acquisitions and other working capital requirements. In addition, simultaneously with the closing of our initial public offering in June 2001, we converted all outstanding shares of our Series A cumulative convertible preferred stock into approximately 11,199,340 shares of common stock.</w:t>
      </w:r>
    </w:p>
    <w:p>
      <w:pPr>
        <w:spacing w:after="0" w:line="189" w:lineRule="exact"/>
        <w:rPr>
          <w:sz w:val="20"/>
          <w:szCs w:val="20"/>
          <w:color w:val="auto"/>
        </w:rPr>
      </w:pPr>
    </w:p>
    <w:p>
      <w:pPr>
        <w:ind w:right="80" w:firstLine="351"/>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Contractual Obligations. </w:t>
      </w:r>
      <w:r>
        <w:rPr>
          <w:rFonts w:ascii="Times New Roman" w:cs="Times New Roman" w:eastAsia="Times New Roman" w:hAnsi="Times New Roman"/>
          <w:sz w:val="18"/>
          <w:szCs w:val="18"/>
          <w:color w:val="auto"/>
        </w:rPr>
        <w:t>The following table highlights, as of December 31, 2002, our contractual obligations and commitments to make future payments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type and period: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Less than</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After</w:t>
            </w: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2–3 years</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4–5 years</w:t>
            </w:r>
          </w:p>
        </w:tc>
        <w:tc>
          <w:tcPr>
            <w:tcW w:w="180" w:type="dxa"/>
            <w:vAlign w:val="bottom"/>
          </w:tcPr>
          <w:p>
            <w:pPr>
              <w:spacing w:after="0"/>
              <w:rPr>
                <w:sz w:val="15"/>
                <w:szCs w:val="15"/>
                <w:color w:val="auto"/>
              </w:rPr>
            </w:pPr>
          </w:p>
        </w:tc>
        <w:tc>
          <w:tcPr>
            <w:tcW w:w="800" w:type="dxa"/>
            <w:vAlign w:val="bottom"/>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28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28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380" w:type="dxa"/>
            <w:vAlign w:val="bottom"/>
            <w:gridSpan w:val="5"/>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164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Certificates of Deposit</w:t>
            </w: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90,000</w:t>
            </w:r>
          </w:p>
        </w:tc>
        <w:tc>
          <w:tcPr>
            <w:tcW w:w="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6,200</w:t>
            </w:r>
          </w:p>
        </w:tc>
        <w:tc>
          <w:tcPr>
            <w:tcW w:w="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Credit Facilities</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94,500</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Subordinated Debt(1)</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26,000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26,000</w:t>
            </w:r>
          </w:p>
        </w:tc>
        <w:tc>
          <w:tcPr>
            <w:tcW w:w="22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36,066</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44,558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25,241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12,975</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118,840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Software Licenses</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17,390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38,026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38,880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12,426</w:t>
            </w:r>
          </w:p>
        </w:tc>
        <w:tc>
          <w:tcPr>
            <w:tcW w:w="22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106,722</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Obligations</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2,033</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3,153</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5,211</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28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2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239,989</w:t>
            </w:r>
          </w:p>
        </w:tc>
        <w:tc>
          <w:tcPr>
            <w:tcW w:w="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136,937</w:t>
            </w:r>
          </w:p>
        </w:tc>
        <w:tc>
          <w:tcPr>
            <w:tcW w:w="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90,146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51,401</w:t>
            </w:r>
          </w:p>
        </w:tc>
        <w:tc>
          <w:tcPr>
            <w:tcW w:w="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518,473</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2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640" w:type="dxa"/>
            <w:vAlign w:val="bottom"/>
          </w:tcPr>
          <w:p>
            <w:pPr>
              <w:spacing w:after="0"/>
              <w:rPr>
                <w:sz w:val="5"/>
                <w:szCs w:val="5"/>
                <w:color w:val="auto"/>
              </w:rPr>
            </w:pPr>
          </w:p>
        </w:tc>
        <w:tc>
          <w:tcPr>
            <w:tcW w:w="280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00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640" w:type="dxa"/>
            <w:vAlign w:val="bottom"/>
            <w:tcBorders>
              <w:bottom w:val="single" w:sz="8" w:color="808080"/>
            </w:tcBorders>
          </w:tcPr>
          <w:p>
            <w:pPr>
              <w:spacing w:after="0"/>
              <w:rPr>
                <w:sz w:val="19"/>
                <w:szCs w:val="19"/>
                <w:color w:val="auto"/>
              </w:rPr>
            </w:pPr>
          </w:p>
        </w:tc>
        <w:tc>
          <w:tcPr>
            <w:tcW w:w="2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3578860</wp:posOffset>
            </wp:positionH>
            <wp:positionV relativeFrom="paragraph">
              <wp:posOffset>-1703705</wp:posOffset>
            </wp:positionV>
            <wp:extent cx="1270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2833370</wp:posOffset>
            </wp:positionH>
            <wp:positionV relativeFrom="paragraph">
              <wp:posOffset>-1703705</wp:posOffset>
            </wp:positionV>
            <wp:extent cx="1270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-1703705</wp:posOffset>
            </wp:positionV>
            <wp:extent cx="1270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-1703705</wp:posOffset>
            </wp:positionV>
            <wp:extent cx="1270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-1703705</wp:posOffset>
            </wp:positionV>
            <wp:extent cx="1270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-1703705</wp:posOffset>
            </wp:positionV>
            <wp:extent cx="1270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-1703705</wp:posOffset>
            </wp:positionV>
            <wp:extent cx="1270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-1703705</wp:posOffset>
            </wp:positionV>
            <wp:extent cx="1270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6871970</wp:posOffset>
            </wp:positionH>
            <wp:positionV relativeFrom="paragraph">
              <wp:posOffset>-1703705</wp:posOffset>
            </wp:positionV>
            <wp:extent cx="1270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-1703705</wp:posOffset>
            </wp:positionV>
            <wp:extent cx="1270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3578860</wp:posOffset>
            </wp:positionH>
            <wp:positionV relativeFrom="paragraph">
              <wp:posOffset>-477520</wp:posOffset>
            </wp:positionV>
            <wp:extent cx="1270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2833370</wp:posOffset>
            </wp:positionH>
            <wp:positionV relativeFrom="paragraph">
              <wp:posOffset>-477520</wp:posOffset>
            </wp:positionV>
            <wp:extent cx="1270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-477520</wp:posOffset>
            </wp:positionV>
            <wp:extent cx="1270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-477520</wp:posOffset>
            </wp:positionV>
            <wp:extent cx="1270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-477520</wp:posOffset>
            </wp:positionV>
            <wp:extent cx="1270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-477520</wp:posOffset>
            </wp:positionV>
            <wp:extent cx="1270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-477520</wp:posOffset>
            </wp:positionV>
            <wp:extent cx="1270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-477520</wp:posOffset>
            </wp:positionV>
            <wp:extent cx="1270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6871970</wp:posOffset>
            </wp:positionH>
            <wp:positionV relativeFrom="paragraph">
              <wp:posOffset>-477520</wp:posOffset>
            </wp:positionV>
            <wp:extent cx="1270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-477520</wp:posOffset>
            </wp:positionV>
            <wp:extent cx="1270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2" w:lineRule="exact"/>
        <w:rPr>
          <w:sz w:val="20"/>
          <w:szCs w:val="20"/>
          <w:color w:val="auto"/>
        </w:rPr>
      </w:pPr>
    </w:p>
    <w:p>
      <w:pPr>
        <w:ind w:left="540" w:hanging="532"/>
        <w:spacing w:after="0"/>
        <w:tabs>
          <w:tab w:leader="none" w:pos="5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repaid $50.0 million of subordinated debt during April 2002.</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We believe that we will have access to sufficient resources to meet these commitments.</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Economic Fluctuations</w:t>
      </w:r>
    </w:p>
    <w:p>
      <w:pPr>
        <w:spacing w:after="0" w:line="227" w:lineRule="exact"/>
        <w:rPr>
          <w:sz w:val="20"/>
          <w:szCs w:val="20"/>
          <w:color w:val="auto"/>
        </w:rPr>
      </w:pPr>
    </w:p>
    <w:p>
      <w:pPr>
        <w:ind w:right="260" w:firstLine="341"/>
        <w:spacing w:after="0" w:line="262" w:lineRule="auto"/>
        <w:rPr>
          <w:sz w:val="20"/>
          <w:szCs w:val="20"/>
          <w:color w:val="auto"/>
        </w:rPr>
      </w:pPr>
      <w:r>
        <w:rPr>
          <w:rFonts w:ascii="Times New Roman" w:cs="Times New Roman" w:eastAsia="Times New Roman" w:hAnsi="Times New Roman"/>
          <w:sz w:val="18"/>
          <w:szCs w:val="18"/>
          <w:color w:val="auto"/>
        </w:rPr>
        <w:t>Although we cannot precisely determine the impact of inflation on our operations, we do not believe that we have been significantly affected by inflation. For the most part, we have relied on operating efficiencies from scale and technology, as well as decreases in technology and communication costs, to offset increased costs of employee compensation and other operating expenses.</w:t>
      </w:r>
    </w:p>
    <w:p>
      <w:pPr>
        <w:spacing w:after="0" w:line="186" w:lineRule="exact"/>
        <w:rPr>
          <w:sz w:val="20"/>
          <w:szCs w:val="20"/>
          <w:color w:val="auto"/>
        </w:rPr>
      </w:pPr>
    </w:p>
    <w:p>
      <w:pPr>
        <w:ind w:firstLine="351"/>
        <w:spacing w:after="0" w:line="258" w:lineRule="auto"/>
        <w:rPr>
          <w:sz w:val="20"/>
          <w:szCs w:val="20"/>
          <w:color w:val="auto"/>
        </w:rPr>
      </w:pPr>
      <w:r>
        <w:rPr>
          <w:rFonts w:ascii="Times New Roman" w:cs="Times New Roman" w:eastAsia="Times New Roman" w:hAnsi="Times New Roman"/>
          <w:sz w:val="18"/>
          <w:szCs w:val="18"/>
          <w:color w:val="auto"/>
        </w:rPr>
        <w:t>Portions of our business are seasonal. Our revenues and earnings are favorably affected by increased transaction volume and credit card balances during the holiday shopping period in the fourth quarter and, to a lesser extent, during the first quarter as credit card balances are paid down. Similarly, our petroleum related businesses are favorably affected by increased volume in the latter part of the second quarter and the first part of the third quarter as consumers make more frequent purchases of gasoline in connection with summer travel.</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Matters</w:t>
      </w:r>
    </w:p>
    <w:p>
      <w:pPr>
        <w:spacing w:after="0" w:line="227" w:lineRule="exact"/>
        <w:rPr>
          <w:sz w:val="20"/>
          <w:szCs w:val="20"/>
          <w:color w:val="auto"/>
        </w:rPr>
      </w:pPr>
    </w:p>
    <w:p>
      <w:pPr>
        <w:ind w:right="60" w:firstLine="348"/>
        <w:spacing w:after="0" w:line="293" w:lineRule="auto"/>
        <w:rPr>
          <w:sz w:val="20"/>
          <w:szCs w:val="20"/>
          <w:color w:val="auto"/>
        </w:rPr>
      </w:pPr>
      <w:r>
        <w:rPr>
          <w:rFonts w:ascii="Times New Roman" w:cs="Times New Roman" w:eastAsia="Times New Roman" w:hAnsi="Times New Roman"/>
          <w:sz w:val="16"/>
          <w:szCs w:val="16"/>
          <w:color w:val="auto"/>
        </w:rPr>
        <w:t>World Financial Network National Bank is subject to various regulatory capital requirements administered by the Office of the Comptroller of the Currency. Failure to meet minimum capital requirements can trigger certain mandatory and possibly additional discretionary actions by regulators that, if undertaken, could have a material adverse effect on our financial statements. Under capital adequacy guidelines and the regulatory framework for prompt corrective action, World Financial Network National Bank must meet specific capital guidelines that involve quantitative measures of its assets, liabilities and certain off-balance sheet items as calculated under regulatory accounting practices. The capital amounts and classification are also subject to qualitative judgments by the regulators about components, risk weightings and other factors. World Financial Network National Bank is limited in the amounts that it can dividend to us.</w:t>
      </w:r>
    </w:p>
    <w:p>
      <w:pPr>
        <w:sectPr>
          <w:pgSz w:w="11900" w:h="16838" w:orient="portrait"/>
          <w:cols w:equalWidth="0" w:num="1">
            <w:col w:w="11400"/>
          </w:cols>
          <w:pgMar w:left="240" w:top="125" w:right="259" w:bottom="0" w:gutter="0" w:footer="0" w:header="0"/>
        </w:sectPr>
      </w:pPr>
    </w:p>
    <w:bookmarkStart w:id="23" w:name="page24"/>
    <w:bookmarkEnd w:id="23"/>
    <w:p>
      <w:pPr>
        <w:spacing w:after="0" w:line="82" w:lineRule="exact"/>
        <w:rPr>
          <w:sz w:val="20"/>
          <w:szCs w:val="20"/>
          <w:color w:val="auto"/>
        </w:rPr>
      </w:pPr>
    </w:p>
    <w:p>
      <w:pPr>
        <w:ind w:firstLine="351"/>
        <w:spacing w:after="0" w:line="254" w:lineRule="auto"/>
        <w:rPr>
          <w:sz w:val="20"/>
          <w:szCs w:val="20"/>
          <w:color w:val="auto"/>
        </w:rPr>
      </w:pPr>
      <w:r>
        <w:rPr>
          <w:rFonts w:ascii="Times New Roman" w:cs="Times New Roman" w:eastAsia="Times New Roman" w:hAnsi="Times New Roman"/>
          <w:sz w:val="18"/>
          <w:szCs w:val="18"/>
          <w:color w:val="auto"/>
        </w:rPr>
        <w:t>Quantitative measures established by regulations to ensure capital adequacy require World Financial Network National Bank to maintain minimum amounts and ratios of total and Tier 1 capital to risk weighted assets and of Tier 1 capital to average assets. Under the regulations, a "well capitalized" institution must have a Tier 1 capital ratio of at least 6%, a total capital ratio of at least 10% and a leverage ratio of at least 5% and not be subject to a capital directive order. An "adequately capitalized" institution must have a Tier 1 capital ratio of at least 4%, a total capital ratio of at least 8% and a leverage ratio of at least 4%, but 3% is allowed in some cases. Under these guidelines, World Financial Network National Bank is considered well capitalized. As of December 31, 2002, World Financial Network National Bank's Tier 1 capital ratio was 19.2%, total capital ratio was 19.7% and leverage ratio was 46.1%, and World Financial Network National Bank was not subject to a capital directive order.</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7" w:lineRule="exact"/>
        <w:rPr>
          <w:sz w:val="20"/>
          <w:szCs w:val="20"/>
          <w:color w:val="auto"/>
        </w:rPr>
      </w:pPr>
    </w:p>
    <w:p>
      <w:pPr>
        <w:ind w:right="220" w:firstLine="351"/>
        <w:spacing w:after="0" w:line="255" w:lineRule="auto"/>
        <w:rPr>
          <w:sz w:val="20"/>
          <w:szCs w:val="20"/>
          <w:color w:val="auto"/>
        </w:rPr>
      </w:pPr>
      <w:r>
        <w:rPr>
          <w:rFonts w:ascii="Times New Roman" w:cs="Times New Roman" w:eastAsia="Times New Roman" w:hAnsi="Times New Roman"/>
          <w:sz w:val="18"/>
          <w:szCs w:val="18"/>
          <w:color w:val="auto"/>
        </w:rPr>
        <w:t>In April 2002, the FASB issued SFAS No. 145, "Rescission of FASB Statements No. 4, 44 and 64, Amendment of FASB Statement No. 13 and Technical Corrections." SFAS 145 eliminates Statement 4 and, thus, the exception to applying Opinion 30 to all gains and losses related to extinguishments of debt (other than extinguishments of debt to satisfy sinking-fund requirements—the exception to application of Statement 4 noted in Statement 64). As a result, gains and losses from extinguishment of debt should be classified as extraordinary items only if they meet the criteria in Opinion 30. This provision of SFAS 145 is effective for fiscal years beginning after May 15, 2002. We expect to adopt this statement in our 2003 financial statements and accordingly reclassify extraordinary items for the years ended December 31, 2001 and 2002.</w:t>
      </w:r>
    </w:p>
    <w:p>
      <w:pPr>
        <w:spacing w:after="0" w:line="193" w:lineRule="exact"/>
        <w:rPr>
          <w:sz w:val="20"/>
          <w:szCs w:val="20"/>
          <w:color w:val="auto"/>
        </w:rPr>
      </w:pPr>
    </w:p>
    <w:p>
      <w:pPr>
        <w:ind w:right="620" w:firstLine="351"/>
        <w:spacing w:after="0" w:line="339" w:lineRule="auto"/>
        <w:rPr>
          <w:sz w:val="20"/>
          <w:szCs w:val="20"/>
          <w:color w:val="auto"/>
        </w:rPr>
      </w:pPr>
      <w:r>
        <w:rPr>
          <w:rFonts w:ascii="Times New Roman" w:cs="Times New Roman" w:eastAsia="Times New Roman" w:hAnsi="Times New Roman"/>
          <w:sz w:val="16"/>
          <w:szCs w:val="16"/>
          <w:color w:val="auto"/>
        </w:rPr>
        <w:t>In June 2002, the FASB issued SFAS No. 146, "Accounting for Costs Associated with Exit or Disposal Activities." SFAS No. 146 generally requires companies to recognize costs associated with exit or disposal activities when they are incurred rather than at the date of a commitment to an exit or</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8"/>
          <w:szCs w:val="18"/>
          <w:color w:val="auto"/>
        </w:rPr>
        <w:t>disposal plan. This pronouncement is effective for exit or disposal activities initiated after December 31, 2002, and is not expected to have a significant impact on us.</w:t>
      </w:r>
    </w:p>
    <w:p>
      <w:pPr>
        <w:spacing w:after="0" w:line="174" w:lineRule="exact"/>
        <w:rPr>
          <w:sz w:val="20"/>
          <w:szCs w:val="20"/>
          <w:color w:val="auto"/>
        </w:rPr>
      </w:pPr>
    </w:p>
    <w:p>
      <w:pPr>
        <w:ind w:right="20" w:firstLine="351"/>
        <w:spacing w:after="0" w:line="255" w:lineRule="auto"/>
        <w:rPr>
          <w:sz w:val="20"/>
          <w:szCs w:val="20"/>
          <w:color w:val="auto"/>
        </w:rPr>
      </w:pPr>
      <w:r>
        <w:rPr>
          <w:rFonts w:ascii="Times New Roman" w:cs="Times New Roman" w:eastAsia="Times New Roman" w:hAnsi="Times New Roman"/>
          <w:sz w:val="18"/>
          <w:szCs w:val="18"/>
          <w:color w:val="auto"/>
        </w:rPr>
        <w:t>In December 2002, the FASB issued SFAS No.148, "Accounting for Stock-Based Compensation—Transition and Disclosure—an amendment of FASB Statement No. 123." SFAS 148 amends SFAS 123 to provide alternative methods of transition for a voluntary change to the fair value method of accounting for stock-based employee compensation. In addition, SFAS 148 amends the disclosure requirements of SFAS 123 to require prominent disclosures in both annual and interim financial statements about the method of accounting for stock-based employee compensation and the effect of the method used on reported results. Management currently does not plan to transition to the fair value method of accounting for employee stock options. Accordingly, management does not believe that portion of SFAS 148 will impact the Company. However, management has provided the required disclosures.</w:t>
      </w:r>
    </w:p>
    <w:p>
      <w:pPr>
        <w:spacing w:after="0" w:line="193" w:lineRule="exact"/>
        <w:rPr>
          <w:sz w:val="20"/>
          <w:szCs w:val="20"/>
          <w:color w:val="auto"/>
        </w:rPr>
      </w:pPr>
    </w:p>
    <w:p>
      <w:pPr>
        <w:ind w:right="20" w:firstLine="351"/>
        <w:spacing w:after="0" w:line="256" w:lineRule="auto"/>
        <w:rPr>
          <w:sz w:val="20"/>
          <w:szCs w:val="20"/>
          <w:color w:val="auto"/>
        </w:rPr>
      </w:pPr>
      <w:r>
        <w:rPr>
          <w:rFonts w:ascii="Times New Roman" w:cs="Times New Roman" w:eastAsia="Times New Roman" w:hAnsi="Times New Roman"/>
          <w:sz w:val="18"/>
          <w:szCs w:val="18"/>
          <w:color w:val="auto"/>
        </w:rPr>
        <w:t>In November 2002, the FASB issued Interpretation No. 45, "Guarantor's Accounting and Disclosure Requirements for Guarantees, Including Indirect Guarantees of Indebtedness of Others." Interpretation No. 45 requires that at the time a company issues a guarantee, the company must recognize an initial liability for the fair value, or market value, of the obligations it assumes under that guarantee. This interpretation is applicable on a prospective basis to guarantees issued or modified after December 31, 2002. While we have various guarantees included in contracts in the normal course of business, primarily in the form of indemnities, these guarantees do not represent significant commitments or contingent liabilities of the indebtedness of others.</w:t>
      </w:r>
    </w:p>
    <w:p>
      <w:pPr>
        <w:spacing w:after="0" w:line="193" w:lineRule="exact"/>
        <w:rPr>
          <w:sz w:val="20"/>
          <w:szCs w:val="20"/>
          <w:color w:val="auto"/>
        </w:rPr>
      </w:pPr>
    </w:p>
    <w:p>
      <w:pPr>
        <w:ind w:firstLine="351"/>
        <w:spacing w:after="0" w:line="258" w:lineRule="auto"/>
        <w:rPr>
          <w:sz w:val="20"/>
          <w:szCs w:val="20"/>
          <w:color w:val="auto"/>
        </w:rPr>
      </w:pPr>
      <w:r>
        <w:rPr>
          <w:rFonts w:ascii="Times New Roman" w:cs="Times New Roman" w:eastAsia="Times New Roman" w:hAnsi="Times New Roman"/>
          <w:sz w:val="18"/>
          <w:szCs w:val="18"/>
          <w:color w:val="auto"/>
        </w:rPr>
        <w:t>In January 2003, the FASB issued Interpretation No. 46, "Consolidation of Variable Interest Entities." Interpretation No. 46 requires public companies with a variable interest in a variable interest entity to apply this guidance to that entity no later than the beginning of the first interim or annual reporting period beginning after June 15, 2003 and immediately for new interests. This application of the guidance could result in the consolidation of a variable interest entity. We are evaluating the impact of this interpretation on our financial results.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7" w:lineRule="exact"/>
        <w:rPr>
          <w:sz w:val="20"/>
          <w:szCs w:val="20"/>
          <w:color w:val="auto"/>
        </w:rPr>
      </w:pPr>
    </w:p>
    <w:p>
      <w:pPr>
        <w:jc w:val="both"/>
        <w:ind w:right="460" w:firstLine="351"/>
        <w:spacing w:after="0" w:line="262" w:lineRule="auto"/>
        <w:rPr>
          <w:sz w:val="20"/>
          <w:szCs w:val="20"/>
          <w:color w:val="auto"/>
        </w:rPr>
      </w:pPr>
      <w:r>
        <w:rPr>
          <w:rFonts w:ascii="Times New Roman" w:cs="Times New Roman" w:eastAsia="Times New Roman" w:hAnsi="Times New Roman"/>
          <w:sz w:val="18"/>
          <w:szCs w:val="18"/>
          <w:color w:val="auto"/>
        </w:rPr>
        <w:t>In March 2003, we purchased the customer care back office operations of American Electric Power related to the Texas marketplace for approximately $30.0 million. As part of the transaction, we will provide billing and customer care services to over 800,000 accounts that were recently acquired by a U.S. subsidiary of Centrica plc.</w:t>
      </w:r>
    </w:p>
    <w:p>
      <w:pPr>
        <w:spacing w:after="0" w:line="200" w:lineRule="exact"/>
        <w:rPr>
          <w:sz w:val="20"/>
          <w:szCs w:val="20"/>
          <w:color w:val="auto"/>
        </w:rPr>
      </w:pPr>
    </w:p>
    <w:p>
      <w:pPr>
        <w:spacing w:after="0" w:line="201"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6"/>
          <w:szCs w:val="16"/>
          <w:b w:val="1"/>
          <w:bCs w:val="1"/>
          <w:color w:val="auto"/>
        </w:rPr>
        <w:t>Quantitative and Qualitative Disclosures About Market Risk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Risk</w:t>
      </w:r>
    </w:p>
    <w:p>
      <w:pPr>
        <w:spacing w:after="0" w:line="227" w:lineRule="exact"/>
        <w:rPr>
          <w:sz w:val="20"/>
          <w:szCs w:val="20"/>
          <w:color w:val="auto"/>
        </w:rPr>
      </w:pPr>
    </w:p>
    <w:p>
      <w:pPr>
        <w:ind w:right="340" w:firstLine="351"/>
        <w:spacing w:after="0" w:line="275" w:lineRule="auto"/>
        <w:rPr>
          <w:sz w:val="20"/>
          <w:szCs w:val="20"/>
          <w:color w:val="auto"/>
        </w:rPr>
      </w:pPr>
      <w:r>
        <w:rPr>
          <w:rFonts w:ascii="Times New Roman" w:cs="Times New Roman" w:eastAsia="Times New Roman" w:hAnsi="Times New Roman"/>
          <w:sz w:val="18"/>
          <w:szCs w:val="18"/>
          <w:color w:val="auto"/>
        </w:rPr>
        <w:t>Market risk is the risk of loss from adverse changes in market prices and rates. Our primary market risks include off-balance sheet risk, interest rate risk, credit risk, foreign currency exchange rate risk and redemption reward risk.</w:t>
      </w:r>
    </w:p>
    <w:p>
      <w:pPr>
        <w:spacing w:after="0" w:line="170" w:lineRule="exact"/>
        <w:rPr>
          <w:sz w:val="20"/>
          <w:szCs w:val="20"/>
          <w:color w:val="auto"/>
        </w:rPr>
      </w:pPr>
    </w:p>
    <w:p>
      <w:pPr>
        <w:ind w:right="100" w:firstLine="351"/>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Off-Balance Sheet Risk. </w:t>
      </w:r>
      <w:r>
        <w:rPr>
          <w:rFonts w:ascii="Times New Roman" w:cs="Times New Roman" w:eastAsia="Times New Roman" w:hAnsi="Times New Roman"/>
          <w:sz w:val="18"/>
          <w:szCs w:val="18"/>
          <w:color w:val="auto"/>
        </w:rPr>
        <w:t>We are subject to off-balance sheet risk in the normal course of business, including commitments to extend credit and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securitization program. We sell substantially all of our credit card receivables to World Financial Network Credit Card Master Trust, a qualifying special purpose entity. The trust enters into interest rate swaps to reduce the interest rate sensitivity of the securitization transactions. The securitization program involves elements of credit, market, interest rate, legal and operational risks in excess of the amount recognized on the balance sheet through our retained interests in the securitization and the interest only strips.</w:t>
      </w:r>
    </w:p>
    <w:p>
      <w:pPr>
        <w:spacing w:after="0" w:line="188" w:lineRule="exact"/>
        <w:rPr>
          <w:sz w:val="20"/>
          <w:szCs w:val="20"/>
          <w:color w:val="auto"/>
        </w:rPr>
      </w:pPr>
    </w:p>
    <w:p>
      <w:pPr>
        <w:ind w:right="1060" w:firstLine="351"/>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Rate Risk. </w:t>
      </w:r>
      <w:r>
        <w:rPr>
          <w:rFonts w:ascii="Times New Roman" w:cs="Times New Roman" w:eastAsia="Times New Roman" w:hAnsi="Times New Roman"/>
          <w:sz w:val="18"/>
          <w:szCs w:val="18"/>
          <w:color w:val="auto"/>
        </w:rPr>
        <w:t>Interest rate risk affects us directly in our lending and borrowing activities. Our total interest incurred was approximately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$133.0 million for 2002, which includes both on- and</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both"/>
        <w:ind w:right="100"/>
        <w:spacing w:after="0" w:line="310" w:lineRule="auto"/>
        <w:rPr>
          <w:sz w:val="20"/>
          <w:szCs w:val="20"/>
          <w:color w:val="auto"/>
        </w:rPr>
      </w:pPr>
      <w:r>
        <w:rPr>
          <w:rFonts w:ascii="Times New Roman" w:cs="Times New Roman" w:eastAsia="Times New Roman" w:hAnsi="Times New Roman"/>
          <w:sz w:val="16"/>
          <w:szCs w:val="16"/>
          <w:color w:val="auto"/>
        </w:rPr>
        <w:t>off-balance sheet transactions. Of this total, $21.2 million of the interest expense for 2002 was attributable to on-balance sheet indebtedness and the remainder to our securitized credit card receivables, which are financed off-balance sheet. To manage our risk from market interest rates, we actively monitor the interest rates and the interest-sensitive components both on- and off-balance sheet to minimize the impact that changes in interest rates have on the fair value of assets, net</w:t>
      </w:r>
    </w:p>
    <w:p>
      <w:pPr>
        <w:sectPr>
          <w:pgSz w:w="11900" w:h="16921" w:orient="portrait"/>
          <w:cols w:equalWidth="0" w:num="1">
            <w:col w:w="11420"/>
          </w:cols>
          <w:pgMar w:left="240" w:top="125" w:right="239" w:bottom="0" w:gutter="0" w:footer="0" w:header="0"/>
        </w:sectPr>
      </w:pPr>
    </w:p>
    <w:bookmarkStart w:id="24" w:name="page25"/>
    <w:bookmarkEnd w:id="24"/>
    <w:p>
      <w:pPr>
        <w:spacing w:after="0" w:line="4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income and cash flow. To achieve this objective, we manage our exposure to fluctuations in market interest rates by matching asset and liability repricings and through the use of fixed-rate debt instruments to the extent that reasonably favorable rates are obtainable with such arrangements. In addition, we enter into derivative financial instruments such as interest rate swaps and treasury locks to mitigate our interest rate risk on a related financial instrument or to lock the interest rate on a portion of our variable debt. We do not enter into derivative or interest rate transactions for trading or other speculative purposes. At December 31, 2002, approximately 3.4% of our outstanding debt was subject to fixed rates with a weighted average interest rate of 6.6% An additional 70.0% of our outstanding debt at December 31, 2002 was locked at an effective interest rate of 5.5% through interest rate swap agreements and treasury locks with notional amounts totaling $1.7 billion.</w:t>
      </w:r>
    </w:p>
    <w:p>
      <w:pPr>
        <w:spacing w:after="0" w:line="195" w:lineRule="exact"/>
        <w:rPr>
          <w:sz w:val="20"/>
          <w:szCs w:val="20"/>
          <w:color w:val="auto"/>
        </w:rPr>
      </w:pPr>
    </w:p>
    <w:p>
      <w:pPr>
        <w:ind w:firstLine="348"/>
        <w:spacing w:after="0" w:line="255" w:lineRule="auto"/>
        <w:rPr>
          <w:sz w:val="20"/>
          <w:szCs w:val="20"/>
          <w:color w:val="auto"/>
        </w:rPr>
      </w:pPr>
      <w:r>
        <w:rPr>
          <w:rFonts w:ascii="Times New Roman" w:cs="Times New Roman" w:eastAsia="Times New Roman" w:hAnsi="Times New Roman"/>
          <w:sz w:val="18"/>
          <w:szCs w:val="18"/>
          <w:color w:val="auto"/>
        </w:rPr>
        <w:t>The approach we use to quantify interest rate risk is a sensitivity analysis which we believe best reflects the risk inherent in our business. This approach calculates the impact on pretax income from an instantaneous and sustained increase in interest rates of 1.0%. Assuming we do not take any counteractive measures, in 2002 a 1.0% increase in interest rates would have resulted in an increase to interest expense of approximately $2.5 million. In 2001, a 1.0% increase in interest rates would have resulted in an increase to interest expense of approximately $4.9 million. Conversely, a corresponding decrease in interest rates would result in a comparable decrease to interest expense. Our use of this methodology to quantify the market risk of financial instruments should not be construed as an endorsement of its accuracy or the accuracy of the related assumptions.</w:t>
      </w:r>
    </w:p>
    <w:p>
      <w:pPr>
        <w:spacing w:after="0" w:line="189" w:lineRule="exact"/>
        <w:rPr>
          <w:sz w:val="20"/>
          <w:szCs w:val="20"/>
          <w:color w:val="auto"/>
        </w:rPr>
      </w:pPr>
    </w:p>
    <w:p>
      <w:pPr>
        <w:ind w:right="400" w:firstLine="351"/>
        <w:spacing w:after="0" w:line="302" w:lineRule="auto"/>
        <w:rPr>
          <w:sz w:val="20"/>
          <w:szCs w:val="20"/>
          <w:color w:val="auto"/>
        </w:rPr>
      </w:pPr>
      <w:r>
        <w:rPr>
          <w:rFonts w:ascii="Times New Roman" w:cs="Times New Roman" w:eastAsia="Times New Roman" w:hAnsi="Times New Roman"/>
          <w:sz w:val="16"/>
          <w:szCs w:val="16"/>
          <w:b w:val="1"/>
          <w:bCs w:val="1"/>
          <w:i w:val="1"/>
          <w:iCs w:val="1"/>
          <w:color w:val="auto"/>
        </w:rPr>
        <w:t xml:space="preserve">Credit Risk. </w:t>
      </w:r>
      <w:r>
        <w:rPr>
          <w:rFonts w:ascii="Times New Roman" w:cs="Times New Roman" w:eastAsia="Times New Roman" w:hAnsi="Times New Roman"/>
          <w:sz w:val="16"/>
          <w:szCs w:val="16"/>
          <w:color w:val="auto"/>
        </w:rPr>
        <w:t>We are exposed to credit risk relating to the credit card loans we make to our clients' customers. Our credit risk relates to the risk that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consumers using the private label credit cards that we issue will not repay their revolving credit card loan balances. We have developed credit risk models designed to identify qualified consumers who fit our risk parameters. To minimize our risk of loan write-offs, we control approval rates of new accounts and related credit limits and follow strict collection practices. We monitor the buying limits as well as set pricing regarding fees and interest rates charged.</w:t>
      </w:r>
    </w:p>
    <w:p>
      <w:pPr>
        <w:spacing w:after="0" w:line="154" w:lineRule="exact"/>
        <w:rPr>
          <w:sz w:val="20"/>
          <w:szCs w:val="20"/>
          <w:color w:val="auto"/>
        </w:rPr>
      </w:pPr>
    </w:p>
    <w:p>
      <w:pPr>
        <w:ind w:right="320" w:firstLine="351"/>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 xml:space="preserve">Foreign Currency Exchange Rate Risk. </w:t>
      </w:r>
      <w:r>
        <w:rPr>
          <w:rFonts w:ascii="Times New Roman" w:cs="Times New Roman" w:eastAsia="Times New Roman" w:hAnsi="Times New Roman"/>
          <w:sz w:val="18"/>
          <w:szCs w:val="18"/>
          <w:color w:val="auto"/>
        </w:rPr>
        <w:t>We are exposed to fluctuations in the exchange rate between the U.S. and the Canadian dollar through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significant Canadian operations. Although we have entered into cross currency hedges to fix the exchange rate on any Canadian debt repayment due to a U.S. counter party, we do not hedge our net investment exposure in our Canadian subsidiary.</w:t>
      </w:r>
    </w:p>
    <w:p>
      <w:pPr>
        <w:spacing w:after="0" w:line="179" w:lineRule="exact"/>
        <w:rPr>
          <w:sz w:val="20"/>
          <w:szCs w:val="20"/>
          <w:color w:val="auto"/>
        </w:rPr>
      </w:pPr>
    </w:p>
    <w:p>
      <w:pPr>
        <w:ind w:right="180" w:firstLine="351"/>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Redemption Reward Risk. </w:t>
      </w:r>
      <w:r>
        <w:rPr>
          <w:rFonts w:ascii="Times New Roman" w:cs="Times New Roman" w:eastAsia="Times New Roman" w:hAnsi="Times New Roman"/>
          <w:sz w:val="18"/>
          <w:szCs w:val="18"/>
          <w:color w:val="auto"/>
        </w:rPr>
        <w:t>We are exposed to potentially increasing reward costs associated primarily with travel rewards. To minimize the risk of rising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travel reward costs, we:</w:t>
      </w:r>
    </w:p>
    <w:p>
      <w:pPr>
        <w:spacing w:after="0" w:line="183" w:lineRule="exact"/>
        <w:rPr>
          <w:sz w:val="20"/>
          <w:szCs w:val="20"/>
          <w:color w:val="auto"/>
        </w:rPr>
      </w:pPr>
    </w:p>
    <w:p>
      <w:pPr>
        <w:ind w:left="1080" w:hanging="532"/>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supply agreements with airlines in addition to Air Canada;</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seeking new supply agreements with additional airlines;</w:t>
      </w:r>
    </w:p>
    <w:p>
      <w:pPr>
        <w:spacing w:after="0" w:line="238" w:lineRule="exact"/>
        <w:rPr>
          <w:rFonts w:ascii="Times New Roman" w:cs="Times New Roman" w:eastAsia="Times New Roman" w:hAnsi="Times New Roman"/>
          <w:sz w:val="18"/>
          <w:szCs w:val="18"/>
          <w:color w:val="auto"/>
        </w:rPr>
      </w:pPr>
    </w:p>
    <w:p>
      <w:pPr>
        <w:ind w:left="1080" w:right="40" w:hanging="532"/>
        <w:spacing w:after="0" w:line="275"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periodically alter the total mix of rewards available to collectors with the introduction of new merchandise rewards, which are typically lower cost per AIR MILES reward mile than air travel;</w:t>
      </w:r>
    </w:p>
    <w:p>
      <w:pPr>
        <w:spacing w:after="0" w:line="187" w:lineRule="exact"/>
        <w:rPr>
          <w:rFonts w:ascii="Times New Roman" w:cs="Times New Roman" w:eastAsia="Times New Roman" w:hAnsi="Times New Roman"/>
          <w:sz w:val="18"/>
          <w:szCs w:val="18"/>
          <w:color w:val="auto"/>
        </w:rPr>
      </w:pPr>
    </w:p>
    <w:p>
      <w:pPr>
        <w:ind w:left="1080" w:right="400" w:hanging="532"/>
        <w:spacing w:after="0" w:line="275"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 collectors to obtain certain travel rewards using a combination of reward miles and cash or cash alone in addition to using AIR MILES reward miles alone; and</w:t>
      </w:r>
    </w:p>
    <w:p>
      <w:pPr>
        <w:spacing w:after="0" w:line="20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periodically adjust the number of miles required to redeem a reward.</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6"/>
          <w:szCs w:val="16"/>
          <w:b w:val="1"/>
          <w:bCs w:val="1"/>
          <w:color w:val="auto"/>
        </w:rPr>
        <w:t>Financial Statements and Supplementary Data</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Our consolidated financial statements begin on page F-1 of this Form 10-K.</w:t>
      </w:r>
    </w:p>
    <w:p>
      <w:pPr>
        <w:spacing w:after="0" w:line="200" w:lineRule="exact"/>
        <w:rPr>
          <w:sz w:val="20"/>
          <w:szCs w:val="20"/>
          <w:color w:val="auto"/>
        </w:rPr>
      </w:pPr>
    </w:p>
    <w:p>
      <w:pPr>
        <w:spacing w:after="0" w:line="23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6"/>
          <w:szCs w:val="16"/>
          <w:b w:val="1"/>
          <w:bCs w:val="1"/>
          <w:color w:val="auto"/>
        </w:rPr>
        <w:t>Changes in and Disagreements with Accountants on Accounting and Financial Disclosure</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ind w:right="720"/>
        <w:spacing w:after="0" w:line="277" w:lineRule="auto"/>
        <w:rPr>
          <w:sz w:val="20"/>
          <w:szCs w:val="20"/>
          <w:color w:val="auto"/>
        </w:rPr>
      </w:pPr>
      <w:r>
        <w:rPr>
          <w:rFonts w:ascii="Times New Roman" w:cs="Times New Roman" w:eastAsia="Times New Roman" w:hAnsi="Times New Roman"/>
          <w:sz w:val="18"/>
          <w:szCs w:val="18"/>
          <w:b w:val="1"/>
          <w:bCs w:val="1"/>
          <w:color w:val="auto"/>
        </w:rPr>
        <w:t>Item 10. Directors and Executive Officers of the Company</w:t>
      </w:r>
      <w:r>
        <w:rPr>
          <w:rFonts w:ascii="Times New Roman" w:cs="Times New Roman" w:eastAsia="Times New Roman" w:hAnsi="Times New Roman"/>
          <w:sz w:val="18"/>
          <w:szCs w:val="18"/>
          <w:color w:val="auto"/>
        </w:rPr>
        <w:t>—Incorporated by reference to the Proxy Statement for the 2003 Annual Meeting of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stockholders, which will be filed with the Securities and Exchange Commission not later than 120 days after December 31, 2002.</w:t>
      </w:r>
    </w:p>
    <w:p>
      <w:pPr>
        <w:spacing w:after="0" w:line="387" w:lineRule="exact"/>
        <w:rPr>
          <w:sz w:val="20"/>
          <w:szCs w:val="20"/>
          <w:color w:val="auto"/>
        </w:rPr>
      </w:pPr>
    </w:p>
    <w:p>
      <w:pPr>
        <w:ind w:right="220"/>
        <w:spacing w:after="0" w:line="277" w:lineRule="auto"/>
        <w:rPr>
          <w:sz w:val="20"/>
          <w:szCs w:val="20"/>
          <w:color w:val="auto"/>
        </w:rPr>
      </w:pPr>
      <w:r>
        <w:rPr>
          <w:rFonts w:ascii="Times New Roman" w:cs="Times New Roman" w:eastAsia="Times New Roman" w:hAnsi="Times New Roman"/>
          <w:sz w:val="18"/>
          <w:szCs w:val="18"/>
          <w:b w:val="1"/>
          <w:bCs w:val="1"/>
          <w:color w:val="auto"/>
        </w:rPr>
        <w:t>Item 11. Executive Compensation</w:t>
      </w:r>
      <w:r>
        <w:rPr>
          <w:rFonts w:ascii="Times New Roman" w:cs="Times New Roman" w:eastAsia="Times New Roman" w:hAnsi="Times New Roman"/>
          <w:sz w:val="18"/>
          <w:szCs w:val="18"/>
          <w:color w:val="auto"/>
        </w:rPr>
        <w:t>—Incorporated by reference to the Proxy Statement for the 2003 Annual Meeting of our stockholders, which will be filed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the Securities and Exchange Commission not later than 120 days after December 31, 2002.</w:t>
      </w:r>
    </w:p>
    <w:p>
      <w:pPr>
        <w:spacing w:after="0" w:line="387"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r>
        <w:rPr>
          <w:rFonts w:ascii="Times New Roman" w:cs="Times New Roman" w:eastAsia="Times New Roman" w:hAnsi="Times New Roman"/>
          <w:sz w:val="18"/>
          <w:szCs w:val="18"/>
          <w:color w:val="auto"/>
        </w:rPr>
        <w:t>—Incorporated by reference to the Proxy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Statement for the 2003 Annual Meeting of our stockholders, which will be filed with the Securities and Exchange Commission not later than 120 days after December 31, 2002.</w:t>
      </w:r>
    </w:p>
    <w:p>
      <w:pPr>
        <w:spacing w:after="0" w:line="397" w:lineRule="exact"/>
        <w:rPr>
          <w:sz w:val="20"/>
          <w:szCs w:val="20"/>
          <w:color w:val="auto"/>
        </w:rPr>
      </w:pPr>
    </w:p>
    <w:p>
      <w:pPr>
        <w:ind w:right="820"/>
        <w:spacing w:after="0" w:line="277" w:lineRule="auto"/>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w:t>
      </w:r>
      <w:r>
        <w:rPr>
          <w:rFonts w:ascii="Times New Roman" w:cs="Times New Roman" w:eastAsia="Times New Roman" w:hAnsi="Times New Roman"/>
          <w:sz w:val="18"/>
          <w:szCs w:val="18"/>
          <w:color w:val="auto"/>
        </w:rPr>
        <w:t>—Incorporated by reference to the Proxy Statement for the 2003 Annual Meeting of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stockholders, which will be filed with the Securities and Exchange Commission not later than 120 days after December 31, 2002.</w:t>
      </w:r>
    </w:p>
    <w:p>
      <w:pPr>
        <w:sectPr>
          <w:pgSz w:w="11900" w:h="16885" w:orient="portrait"/>
          <w:cols w:equalWidth="0" w:num="1">
            <w:col w:w="11400"/>
          </w:cols>
          <w:pgMar w:left="240" w:top="125" w:right="259" w:bottom="0" w:gutter="0" w:footer="0" w:header="0"/>
        </w:sectPr>
      </w:pPr>
    </w:p>
    <w:p>
      <w:pPr>
        <w:spacing w:after="0" w:line="387"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6"/>
          <w:szCs w:val="16"/>
          <w:b w:val="1"/>
          <w:bCs w:val="1"/>
          <w:color w:val="auto"/>
        </w:rPr>
        <w:t>Controls and Procedures</w:t>
      </w:r>
    </w:p>
    <w:p>
      <w:pPr>
        <w:sectPr>
          <w:pgSz w:w="11900" w:h="16885" w:orient="portrait"/>
          <w:cols w:equalWidth="0" w:num="1">
            <w:col w:w="11400"/>
          </w:cols>
          <w:pgMar w:left="240" w:top="125" w:right="259" w:bottom="0" w:gutter="0" w:footer="0" w:header="0"/>
          <w:type w:val="continuous"/>
        </w:sectPr>
      </w:pPr>
    </w:p>
    <w:bookmarkStart w:id="25" w:name="page26"/>
    <w:bookmarkEnd w:id="25"/>
    <w:p>
      <w:pPr>
        <w:ind w:firstLine="348"/>
        <w:spacing w:after="0" w:line="291" w:lineRule="auto"/>
        <w:rPr>
          <w:sz w:val="20"/>
          <w:szCs w:val="20"/>
          <w:color w:val="auto"/>
        </w:rPr>
      </w:pPr>
      <w:r>
        <w:rPr>
          <w:rFonts w:ascii="Times New Roman" w:cs="Times New Roman" w:eastAsia="Times New Roman" w:hAnsi="Times New Roman"/>
          <w:sz w:val="16"/>
          <w:szCs w:val="16"/>
          <w:color w:val="auto"/>
        </w:rPr>
        <w:t>Within the 90 days prior to the filing date of this report, we carried out an evaluation, under the supervision and with the participation of our management, including our Chief Executive Officer and Chief Financial Officer, of the effectiveness of the design and operation of our disclosure controls and procedures pursuant to Rule 13a-15 of the Securities Exchange Act of 1934. Based upon that evaluation, our Chief Executive Officer and Chief Financial Officer concluded that our disclosure controls and procedures are effective to ensure that information required to be disclosed in our reports filed or submitted under the Securities Exchange Act of 1934 is recorded, processed, summarized and reported within the time periods specified in the Securities and Exchange Commission's rules and forms and include controls and procedures designed to ensure that information we are required to disclose in such reports is accumulated and communicated to management, including our Chief Executive Officer and Chief Financial Officer, as appropriate to allow timely decisions regarding required disclosure.</w:t>
      </w:r>
    </w:p>
    <w:p>
      <w:pPr>
        <w:spacing w:after="0" w:line="167" w:lineRule="exact"/>
        <w:rPr>
          <w:sz w:val="20"/>
          <w:szCs w:val="20"/>
          <w:color w:val="auto"/>
        </w:rPr>
      </w:pPr>
    </w:p>
    <w:p>
      <w:pPr>
        <w:ind w:right="100" w:firstLine="348"/>
        <w:spacing w:after="0" w:line="275" w:lineRule="auto"/>
        <w:rPr>
          <w:sz w:val="20"/>
          <w:szCs w:val="20"/>
          <w:color w:val="auto"/>
        </w:rPr>
      </w:pPr>
      <w:r>
        <w:rPr>
          <w:rFonts w:ascii="Times New Roman" w:cs="Times New Roman" w:eastAsia="Times New Roman" w:hAnsi="Times New Roman"/>
          <w:sz w:val="18"/>
          <w:szCs w:val="18"/>
          <w:color w:val="auto"/>
        </w:rPr>
        <w:t>There have been no significant changes in our internal controls or in other factors that could significantly affect internal controls subsequent to the date we carried out this evaluation, including any corrective actions in regard to significant deficiencies and material weaknesses.</w:t>
      </w:r>
    </w:p>
    <w:p>
      <w:pPr>
        <w:spacing w:after="0" w:line="17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6"/>
          <w:szCs w:val="16"/>
          <w:b w:val="1"/>
          <w:bCs w:val="1"/>
          <w:color w:val="auto"/>
        </w:rPr>
        <w:t>Exhibits, Financial Statement Schedules, and Reports on Form 8-K.</w:t>
      </w:r>
    </w:p>
    <w:p>
      <w:pPr>
        <w:spacing w:after="0" w:line="241" w:lineRule="exact"/>
        <w:rPr>
          <w:sz w:val="20"/>
          <w:szCs w:val="20"/>
          <w:color w:val="auto"/>
        </w:rPr>
      </w:pPr>
    </w:p>
    <w:p>
      <w:pPr>
        <w:ind w:left="1080" w:hanging="532"/>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documents are filed as part of this report:</w:t>
      </w:r>
    </w:p>
    <w:p>
      <w:pPr>
        <w:spacing w:after="0" w:line="200" w:lineRule="exact"/>
        <w:rPr>
          <w:rFonts w:ascii="Times New Roman" w:cs="Times New Roman" w:eastAsia="Times New Roman" w:hAnsi="Times New Roman"/>
          <w:sz w:val="18"/>
          <w:szCs w:val="18"/>
          <w:color w:val="auto"/>
        </w:rPr>
      </w:pPr>
    </w:p>
    <w:p>
      <w:pPr>
        <w:spacing w:after="0" w:line="268" w:lineRule="exact"/>
        <w:rPr>
          <w:rFonts w:ascii="Times New Roman" w:cs="Times New Roman" w:eastAsia="Times New Roman" w:hAnsi="Times New Roman"/>
          <w:sz w:val="18"/>
          <w:szCs w:val="18"/>
          <w:color w:val="auto"/>
        </w:rPr>
      </w:pPr>
    </w:p>
    <w:p>
      <w:pPr>
        <w:ind w:left="1620" w:hanging="532"/>
        <w:spacing w:after="0"/>
        <w:tabs>
          <w:tab w:leader="none" w:pos="162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w:t>
      </w:r>
    </w:p>
    <w:p>
      <w:pPr>
        <w:spacing w:after="0" w:line="238" w:lineRule="exact"/>
        <w:rPr>
          <w:rFonts w:ascii="Times New Roman" w:cs="Times New Roman" w:eastAsia="Times New Roman" w:hAnsi="Times New Roman"/>
          <w:sz w:val="18"/>
          <w:szCs w:val="18"/>
          <w:color w:val="auto"/>
        </w:rPr>
      </w:pPr>
    </w:p>
    <w:p>
      <w:pPr>
        <w:ind w:left="1620" w:hanging="532"/>
        <w:spacing w:after="0"/>
        <w:tabs>
          <w:tab w:leader="none" w:pos="162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w:t>
      </w:r>
    </w:p>
    <w:p>
      <w:pPr>
        <w:spacing w:after="0" w:line="238" w:lineRule="exact"/>
        <w:rPr>
          <w:rFonts w:ascii="Times New Roman" w:cs="Times New Roman" w:eastAsia="Times New Roman" w:hAnsi="Times New Roman"/>
          <w:sz w:val="18"/>
          <w:szCs w:val="18"/>
          <w:color w:val="auto"/>
        </w:rPr>
      </w:pPr>
    </w:p>
    <w:p>
      <w:pPr>
        <w:ind w:left="1620" w:right="200" w:hanging="532"/>
        <w:spacing w:after="0" w:line="275" w:lineRule="auto"/>
        <w:tabs>
          <w:tab w:leader="none" w:pos="162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exhibits are filed as part of this Annual Report or, where indicated, were previously filed and are hereby incorporated by reference.</w:t>
      </w:r>
    </w:p>
    <w:p>
      <w:pPr>
        <w:sectPr>
          <w:pgSz w:w="11900" w:h="16838" w:orient="portrait"/>
          <w:cols w:equalWidth="0" w:num="1">
            <w:col w:w="11320"/>
          </w:cols>
          <w:pgMar w:left="240" w:top="125" w:right="339" w:bottom="0" w:gutter="0" w:footer="0" w:header="0"/>
        </w:sectPr>
      </w:pPr>
    </w:p>
    <w:p>
      <w:pPr>
        <w:spacing w:after="0" w:line="200" w:lineRule="exact"/>
        <w:rPr>
          <w:sz w:val="20"/>
          <w:szCs w:val="20"/>
          <w:color w:val="auto"/>
        </w:rPr>
      </w:pPr>
    </w:p>
    <w:p>
      <w:pPr>
        <w:spacing w:after="0" w:line="215" w:lineRule="exact"/>
        <w:rPr>
          <w:sz w:val="20"/>
          <w:szCs w:val="20"/>
          <w:color w:val="auto"/>
        </w:rPr>
      </w:pPr>
    </w:p>
    <w:p>
      <w:pPr>
        <w:jc w:val="center"/>
        <w:ind w:right="4300"/>
        <w:spacing w:after="0"/>
        <w:rPr>
          <w:sz w:val="20"/>
          <w:szCs w:val="20"/>
          <w:color w:val="auto"/>
        </w:rPr>
      </w:pPr>
      <w:r>
        <w:rPr>
          <w:rFonts w:ascii="Times New Roman" w:cs="Times New Roman" w:eastAsia="Times New Roman" w:hAnsi="Times New Roman"/>
          <w:sz w:val="12"/>
          <w:szCs w:val="12"/>
          <w:b w:val="1"/>
          <w:bCs w:val="1"/>
          <w:color w:val="auto"/>
        </w:rPr>
        <w:t>Exhibit</w:t>
      </w:r>
    </w:p>
    <w:p>
      <w:pPr>
        <w:spacing w:after="0" w:line="28" w:lineRule="exact"/>
        <w:rPr>
          <w:sz w:val="20"/>
          <w:szCs w:val="20"/>
          <w:color w:val="auto"/>
        </w:rPr>
      </w:pPr>
    </w:p>
    <w:p>
      <w:pPr>
        <w:jc w:val="center"/>
        <w:ind w:right="4300"/>
        <w:spacing w:after="0"/>
        <w:rPr>
          <w:sz w:val="20"/>
          <w:szCs w:val="20"/>
          <w:color w:val="auto"/>
        </w:rPr>
      </w:pPr>
      <w:r>
        <w:rPr>
          <w:rFonts w:ascii="Times New Roman" w:cs="Times New Roman" w:eastAsia="Times New Roman" w:hAnsi="Times New Roman"/>
          <w:sz w:val="14"/>
          <w:szCs w:val="14"/>
          <w:b w:val="1"/>
          <w:bCs w:val="1"/>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58420</wp:posOffset>
            </wp:positionV>
            <wp:extent cx="655955" cy="215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55955"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-2978150</wp:posOffset>
            </wp:positionH>
            <wp:positionV relativeFrom="paragraph">
              <wp:posOffset>83820</wp:posOffset>
            </wp:positionV>
            <wp:extent cx="6384290" cy="215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6384290" cy="21590"/>
                    </a:xfrm>
                    <a:prstGeom prst="rect">
                      <a:avLst/>
                    </a:prstGeom>
                    <a:noFill/>
                  </pic:spPr>
                </pic:pic>
              </a:graphicData>
            </a:graphic>
          </wp:anchor>
        </w:drawing>
      </w:r>
    </w:p>
    <w:p>
      <w:pPr>
        <w:spacing w:after="0" w:line="240" w:lineRule="exact"/>
        <w:rPr>
          <w:sz w:val="20"/>
          <w:szCs w:val="20"/>
          <w:color w:val="auto"/>
        </w:rPr>
      </w:pPr>
    </w:p>
    <w:p>
      <w:pPr>
        <w:sectPr>
          <w:pgSz w:w="11900" w:h="16838" w:orient="portrait"/>
          <w:cols w:equalWidth="0" w:num="2">
            <w:col w:w="5340" w:space="720"/>
            <w:col w:w="5260"/>
          </w:cols>
          <w:pgMar w:left="240" w:top="125" w:right="339" w:bottom="0" w:gutter="0" w:footer="0" w:header="0"/>
          <w:type w:val="continuous"/>
        </w:sectPr>
      </w:pPr>
    </w:p>
    <w:p>
      <w:pPr>
        <w:spacing w:after="0" w:line="16" w:lineRule="exact"/>
        <w:rPr>
          <w:sz w:val="20"/>
          <w:szCs w:val="20"/>
          <w:color w:val="auto"/>
        </w:rPr>
      </w:pPr>
    </w:p>
    <w:p>
      <w:pPr>
        <w:ind w:left="1380" w:right="40" w:hanging="433"/>
        <w:spacing w:after="0" w:line="262" w:lineRule="auto"/>
        <w:tabs>
          <w:tab w:leader="none" w:pos="13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and Sale Agreement, dated September 5, 2002, among ADS Alliance Data Systems, Inc., Loyalty Management Group Canada, Inc. and Westcoast Energy Inc. carrying on business as Duke Energy Gas Transmission (incorporated by reference to Exhibit 2.1 to our Current Report on Form 8-K filed with the SEC on September 10, 2002).</w:t>
      </w:r>
    </w:p>
    <w:p>
      <w:pPr>
        <w:spacing w:after="0" w:line="186" w:lineRule="exact"/>
        <w:rPr>
          <w:sz w:val="20"/>
          <w:szCs w:val="20"/>
          <w:color w:val="auto"/>
        </w:rPr>
      </w:pPr>
    </w:p>
    <w:p>
      <w:pPr>
        <w:ind w:left="1380" w:hanging="556"/>
        <w:spacing w:after="0" w:line="275" w:lineRule="auto"/>
        <w:tabs>
          <w:tab w:leader="none" w:pos="136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8"/>
          <w:szCs w:val="18"/>
          <w:color w:val="auto"/>
        </w:rPr>
        <w:t>Second Amended and Restated Certificate of Incorporation of the Registrant (incorporated by reference to Exhibit No. 3.1 to our Registration Statement on Form S-1 filed with the SEC on March 3, 2000, File No. 333-94623).</w:t>
      </w:r>
    </w:p>
    <w:p>
      <w:pPr>
        <w:spacing w:after="0" w:line="174" w:lineRule="exact"/>
        <w:rPr>
          <w:sz w:val="20"/>
          <w:szCs w:val="20"/>
          <w:color w:val="auto"/>
        </w:rPr>
      </w:pPr>
    </w:p>
    <w:p>
      <w:pPr>
        <w:ind w:left="1380" w:right="440" w:hanging="556"/>
        <w:spacing w:after="0" w:line="275" w:lineRule="auto"/>
        <w:tabs>
          <w:tab w:leader="none" w:pos="136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8"/>
          <w:szCs w:val="18"/>
          <w:color w:val="auto"/>
        </w:rPr>
        <w:t>Second Amended and Restated Bylaws of the Registrant (incorporated by reference to Exhibit No. 3.2 to our Registration Statement on Form S-1 filed with the SEC on March 3, 2000, File No. 333-94623).</w:t>
      </w:r>
    </w:p>
    <w:p>
      <w:pPr>
        <w:spacing w:after="0" w:line="174" w:lineRule="exact"/>
        <w:rPr>
          <w:sz w:val="20"/>
          <w:szCs w:val="20"/>
          <w:color w:val="auto"/>
        </w:rPr>
      </w:pPr>
    </w:p>
    <w:p>
      <w:pPr>
        <w:ind w:left="1380" w:right="580" w:hanging="556"/>
        <w:spacing w:after="0" w:line="275" w:lineRule="auto"/>
        <w:tabs>
          <w:tab w:leader="none" w:pos="1360" w:val="left"/>
        </w:tabs>
        <w:rPr>
          <w:sz w:val="20"/>
          <w:szCs w:val="20"/>
          <w:color w:val="auto"/>
        </w:rPr>
      </w:pPr>
      <w:r>
        <w:rPr>
          <w:rFonts w:ascii="Times New Roman" w:cs="Times New Roman" w:eastAsia="Times New Roman" w:hAnsi="Times New Roman"/>
          <w:sz w:val="18"/>
          <w:szCs w:val="18"/>
          <w:color w:val="auto"/>
        </w:rPr>
        <w:t>3.3</w:t>
      </w:r>
      <w:r>
        <w:rPr>
          <w:sz w:val="20"/>
          <w:szCs w:val="20"/>
          <w:color w:val="auto"/>
        </w:rPr>
        <w:tab/>
      </w:r>
      <w:r>
        <w:rPr>
          <w:rFonts w:ascii="Times New Roman" w:cs="Times New Roman" w:eastAsia="Times New Roman" w:hAnsi="Times New Roman"/>
          <w:sz w:val="18"/>
          <w:szCs w:val="18"/>
          <w:color w:val="auto"/>
        </w:rPr>
        <w:t>First Amendment to the Second Amended and Restated Bylaws of the Registrant (incorporated by reference to Exhibit No. 3.3 to our Registration Statement on Form S-1 filed with the SEC on May 4, 2001, File No. 333-94623).</w:t>
      </w:r>
    </w:p>
    <w:p>
      <w:pPr>
        <w:spacing w:after="0" w:line="174" w:lineRule="exact"/>
        <w:rPr>
          <w:sz w:val="20"/>
          <w:szCs w:val="20"/>
          <w:color w:val="auto"/>
        </w:rPr>
      </w:pPr>
    </w:p>
    <w:p>
      <w:pPr>
        <w:ind w:left="1380" w:right="400" w:hanging="556"/>
        <w:spacing w:after="0" w:line="275" w:lineRule="auto"/>
        <w:tabs>
          <w:tab w:leader="none" w:pos="1360" w:val="left"/>
        </w:tabs>
        <w:rPr>
          <w:sz w:val="20"/>
          <w:szCs w:val="20"/>
          <w:color w:val="auto"/>
        </w:rPr>
      </w:pPr>
      <w:r>
        <w:rPr>
          <w:rFonts w:ascii="Times New Roman" w:cs="Times New Roman" w:eastAsia="Times New Roman" w:hAnsi="Times New Roman"/>
          <w:sz w:val="18"/>
          <w:szCs w:val="18"/>
          <w:color w:val="auto"/>
        </w:rPr>
        <w:t>3.4</w:t>
      </w:r>
      <w:r>
        <w:rPr>
          <w:sz w:val="20"/>
          <w:szCs w:val="20"/>
          <w:color w:val="auto"/>
        </w:rPr>
        <w:tab/>
      </w:r>
      <w:r>
        <w:rPr>
          <w:rFonts w:ascii="Times New Roman" w:cs="Times New Roman" w:eastAsia="Times New Roman" w:hAnsi="Times New Roman"/>
          <w:sz w:val="18"/>
          <w:szCs w:val="18"/>
          <w:color w:val="auto"/>
        </w:rPr>
        <w:t>Second Amendment to the Second Amended and Restated Bylaws of the Registrant (incorporated by reference to Exhibit No. 3.4 to our Annual Report on Form 10-K, filed with the SEC on April 1, 2002, File No. 001-15749).</w:t>
      </w:r>
    </w:p>
    <w:p>
      <w:pPr>
        <w:spacing w:after="0" w:line="174" w:lineRule="exact"/>
        <w:rPr>
          <w:sz w:val="20"/>
          <w:szCs w:val="20"/>
          <w:color w:val="auto"/>
        </w:rPr>
      </w:pPr>
    </w:p>
    <w:p>
      <w:pPr>
        <w:ind w:left="1380" w:hanging="433"/>
        <w:spacing w:after="0" w:line="275" w:lineRule="auto"/>
        <w:tabs>
          <w:tab w:leader="none" w:pos="13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Specimen Certificate for shares of Common Stock of the Registrant (incorporated by reference to Exhibit No. 4 to our Registration Statement on Form S-1 filed with the SEC on March 3, 2000, File No. 333-94623).</w:t>
      </w:r>
    </w:p>
    <w:p>
      <w:pPr>
        <w:spacing w:after="0" w:line="174" w:lineRule="exact"/>
        <w:rPr>
          <w:sz w:val="20"/>
          <w:szCs w:val="20"/>
          <w:color w:val="auto"/>
        </w:rPr>
      </w:pPr>
    </w:p>
    <w:p>
      <w:pPr>
        <w:ind w:left="1380" w:right="100" w:hanging="644"/>
        <w:spacing w:after="0" w:line="262" w:lineRule="auto"/>
        <w:tabs>
          <w:tab w:leader="none" w:pos="136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8"/>
          <w:szCs w:val="18"/>
          <w:color w:val="auto"/>
        </w:rPr>
        <w:t>Private Label Credit Card Program Agreement between World Financial Network National Bank, Bath &amp; Body Works, Inc. and Tri-State Factoring, Inc., dated as of August 29, 2002 (incorporated by reference to Exhibit No. 10.3 to our Quarterly Report on Form 10-Q filed with the SEC on November 11, 2002 File No. 001-15749).</w:t>
      </w:r>
    </w:p>
    <w:p>
      <w:pPr>
        <w:spacing w:after="0" w:line="186" w:lineRule="exact"/>
        <w:rPr>
          <w:sz w:val="20"/>
          <w:szCs w:val="20"/>
          <w:color w:val="auto"/>
        </w:rPr>
      </w:pPr>
    </w:p>
    <w:p>
      <w:pPr>
        <w:ind w:left="1380" w:hanging="644"/>
        <w:spacing w:after="0" w:line="262" w:lineRule="auto"/>
        <w:tabs>
          <w:tab w:leader="none" w:pos="1360" w:val="left"/>
        </w:tabs>
        <w:rPr>
          <w:sz w:val="20"/>
          <w:szCs w:val="20"/>
          <w:color w:val="auto"/>
        </w:rPr>
      </w:pPr>
      <w:r>
        <w:rPr>
          <w:rFonts w:ascii="Times New Roman" w:cs="Times New Roman" w:eastAsia="Times New Roman" w:hAnsi="Times New Roman"/>
          <w:sz w:val="18"/>
          <w:szCs w:val="18"/>
          <w:color w:val="auto"/>
        </w:rPr>
        <w:t>10.2</w:t>
      </w:r>
      <w:r>
        <w:rPr>
          <w:sz w:val="20"/>
          <w:szCs w:val="20"/>
          <w:color w:val="auto"/>
        </w:rPr>
        <w:tab/>
      </w:r>
      <w:r>
        <w:rPr>
          <w:rFonts w:ascii="Times New Roman" w:cs="Times New Roman" w:eastAsia="Times New Roman" w:hAnsi="Times New Roman"/>
          <w:sz w:val="18"/>
          <w:szCs w:val="18"/>
          <w:color w:val="auto"/>
        </w:rPr>
        <w:t>Private Label Credit Card Program Agreement between World Financial Network National Bank, Victoria's Secret Direct, LLC, and Far West Factoring Inc., dated as of August 29, 2002 (incorporated by reference to Exhibit No. 10.4 to our Quarterly Report on Form 10-Q filed with the SEC on November 11, 2002 File No. 001-15749).</w:t>
      </w:r>
    </w:p>
    <w:p>
      <w:pPr>
        <w:spacing w:after="0" w:line="186" w:lineRule="exact"/>
        <w:rPr>
          <w:sz w:val="20"/>
          <w:szCs w:val="20"/>
          <w:color w:val="auto"/>
        </w:rPr>
      </w:pPr>
    </w:p>
    <w:p>
      <w:pPr>
        <w:ind w:left="1380" w:right="80" w:hanging="644"/>
        <w:spacing w:after="0" w:line="262" w:lineRule="auto"/>
        <w:tabs>
          <w:tab w:leader="none" w:pos="1360" w:val="left"/>
        </w:tabs>
        <w:rPr>
          <w:sz w:val="20"/>
          <w:szCs w:val="20"/>
          <w:color w:val="auto"/>
        </w:rPr>
      </w:pPr>
      <w:r>
        <w:rPr>
          <w:rFonts w:ascii="Times New Roman" w:cs="Times New Roman" w:eastAsia="Times New Roman" w:hAnsi="Times New Roman"/>
          <w:sz w:val="18"/>
          <w:szCs w:val="18"/>
          <w:color w:val="auto"/>
        </w:rPr>
        <w:t>10.3</w:t>
      </w:r>
      <w:r>
        <w:rPr>
          <w:sz w:val="20"/>
          <w:szCs w:val="20"/>
          <w:color w:val="auto"/>
        </w:rPr>
        <w:tab/>
      </w:r>
      <w:r>
        <w:rPr>
          <w:rFonts w:ascii="Times New Roman" w:cs="Times New Roman" w:eastAsia="Times New Roman" w:hAnsi="Times New Roman"/>
          <w:sz w:val="18"/>
          <w:szCs w:val="18"/>
          <w:color w:val="auto"/>
        </w:rPr>
        <w:t>Private Label Credit Card Program Agreement between World Financial Network National Bank, Victoria's Secret Stores, Inc., and Lone Mountain Factoring, Inc., dated as of August 29, 2002 (incorporated by reference to Exhibit No. 10.4 to our Quarterly Report on Form 10-Q filed with the SEC on November 11, 2002 File No. 001-15749).</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left="1380" w:hanging="644"/>
        <w:spacing w:after="0" w:line="262" w:lineRule="auto"/>
        <w:tabs>
          <w:tab w:leader="none" w:pos="13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Private Label Credit Card Program Agreement between World Financial Network National Bank, Lerner New York, Inc., and Nevada Receivable Factoring, Inc., dated as of August 29, 2002 (incorporated by reference to Exhibit No. 10.6 to our Quarterly Report on Form 10-Q filed with the SEC on November 11, 2002 File No. 001-15749).</w:t>
      </w:r>
    </w:p>
    <w:p>
      <w:pPr>
        <w:spacing w:after="0" w:line="186" w:lineRule="exact"/>
        <w:rPr>
          <w:sz w:val="20"/>
          <w:szCs w:val="20"/>
          <w:color w:val="auto"/>
        </w:rPr>
      </w:pPr>
    </w:p>
    <w:p>
      <w:pPr>
        <w:ind w:left="720"/>
        <w:spacing w:after="0"/>
        <w:tabs>
          <w:tab w:leader="none" w:pos="1360" w:val="left"/>
        </w:tabs>
        <w:rPr>
          <w:sz w:val="20"/>
          <w:szCs w:val="20"/>
          <w:color w:val="auto"/>
        </w:rPr>
      </w:pPr>
      <w:r>
        <w:rPr>
          <w:rFonts w:ascii="Times New Roman" w:cs="Times New Roman" w:eastAsia="Times New Roman" w:hAnsi="Times New Roman"/>
          <w:sz w:val="18"/>
          <w:szCs w:val="18"/>
          <w:color w:val="auto"/>
        </w:rPr>
        <w:t>10.5</w:t>
      </w:r>
      <w:r>
        <w:rPr>
          <w:sz w:val="20"/>
          <w:szCs w:val="20"/>
          <w:color w:val="auto"/>
        </w:rPr>
        <w:tab/>
      </w:r>
      <w:r>
        <w:rPr>
          <w:rFonts w:ascii="Times New Roman" w:cs="Times New Roman" w:eastAsia="Times New Roman" w:hAnsi="Times New Roman"/>
          <w:sz w:val="16"/>
          <w:szCs w:val="16"/>
          <w:color w:val="auto"/>
        </w:rPr>
        <w:t>Private Label Credit Card Program Agreement between World Financial Network National Bank, Express, LLC, and Retail Factoring, Inc.,</w:t>
      </w:r>
    </w:p>
    <w:p>
      <w:pPr>
        <w:sectPr>
          <w:pgSz w:w="11900" w:h="16838" w:orient="portrait"/>
          <w:cols w:equalWidth="0" w:num="1">
            <w:col w:w="11320"/>
          </w:cols>
          <w:pgMar w:left="240" w:top="125" w:right="339" w:bottom="0" w:gutter="0" w:footer="0" w:header="0"/>
          <w:type w:val="continuous"/>
        </w:sectPr>
      </w:pPr>
    </w:p>
    <w:bookmarkStart w:id="26" w:name="page27"/>
    <w:bookmarkEnd w:id="26"/>
    <w:p>
      <w:pPr>
        <w:ind w:left="820" w:right="460"/>
        <w:spacing w:after="0" w:line="275" w:lineRule="auto"/>
        <w:rPr>
          <w:sz w:val="20"/>
          <w:szCs w:val="20"/>
          <w:color w:val="auto"/>
        </w:rPr>
      </w:pPr>
      <w:r>
        <w:rPr>
          <w:rFonts w:ascii="Times New Roman" w:cs="Times New Roman" w:eastAsia="Times New Roman" w:hAnsi="Times New Roman"/>
          <w:sz w:val="18"/>
          <w:szCs w:val="18"/>
          <w:color w:val="auto"/>
        </w:rPr>
        <w:t>dated as of August 29, 2002 (incorporated by reference to Exhibit No. 10.7 to our Quarterly Report on Form 10-Q filed with the SEC on November 11, 2002 File No. 001-15749).</w:t>
      </w:r>
    </w:p>
    <w:p>
      <w:pPr>
        <w:spacing w:after="0" w:line="174" w:lineRule="exact"/>
        <w:rPr>
          <w:sz w:val="20"/>
          <w:szCs w:val="20"/>
          <w:color w:val="auto"/>
        </w:rPr>
      </w:pPr>
    </w:p>
    <w:p>
      <w:pPr>
        <w:jc w:val="both"/>
        <w:ind w:left="820" w:right="100" w:hanging="644"/>
        <w:spacing w:after="0" w:line="262" w:lineRule="auto"/>
        <w:tabs>
          <w:tab w:leader="none" w:pos="800" w:val="left"/>
        </w:tabs>
        <w:rPr>
          <w:sz w:val="20"/>
          <w:szCs w:val="20"/>
          <w:color w:val="auto"/>
        </w:rPr>
      </w:pPr>
      <w:r>
        <w:rPr>
          <w:rFonts w:ascii="Times New Roman" w:cs="Times New Roman" w:eastAsia="Times New Roman" w:hAnsi="Times New Roman"/>
          <w:sz w:val="18"/>
          <w:szCs w:val="18"/>
          <w:color w:val="auto"/>
        </w:rPr>
        <w:t>10.6</w:t>
      </w:r>
      <w:r>
        <w:rPr>
          <w:sz w:val="20"/>
          <w:szCs w:val="20"/>
          <w:color w:val="auto"/>
        </w:rPr>
        <w:tab/>
      </w:r>
      <w:r>
        <w:rPr>
          <w:rFonts w:ascii="Times New Roman" w:cs="Times New Roman" w:eastAsia="Times New Roman" w:hAnsi="Times New Roman"/>
          <w:sz w:val="18"/>
          <w:szCs w:val="18"/>
          <w:color w:val="auto"/>
        </w:rPr>
        <w:t>Private Label Credit Card Program Agreement between World Financial Network National Bank, Limited Brands Stores, Inc., and American Receivable Factoring, Inc., dated as of August 29, 2002 (incorporated by reference to Exhibit No. 10.8 to our Quarterly Report on Form 10-Q filed with the SEC on November 11, 2002 File No. 001-15749).</w:t>
      </w:r>
    </w:p>
    <w:p>
      <w:pPr>
        <w:spacing w:after="0" w:line="186" w:lineRule="exact"/>
        <w:rPr>
          <w:sz w:val="20"/>
          <w:szCs w:val="20"/>
          <w:color w:val="auto"/>
        </w:rPr>
      </w:pPr>
    </w:p>
    <w:p>
      <w:pPr>
        <w:ind w:left="820" w:right="260" w:hanging="732"/>
        <w:spacing w:after="0" w:line="275" w:lineRule="auto"/>
        <w:tabs>
          <w:tab w:leader="none" w:pos="800" w:val="left"/>
        </w:tabs>
        <w:rPr>
          <w:sz w:val="20"/>
          <w:szCs w:val="20"/>
          <w:color w:val="auto"/>
        </w:rPr>
      </w:pPr>
      <w:r>
        <w:rPr>
          <w:rFonts w:ascii="Times New Roman" w:cs="Times New Roman" w:eastAsia="Times New Roman" w:hAnsi="Times New Roman"/>
          <w:sz w:val="18"/>
          <w:szCs w:val="18"/>
          <w:color w:val="auto"/>
        </w:rPr>
        <w:t>*10.7</w:t>
      </w:r>
      <w:r>
        <w:rPr>
          <w:sz w:val="20"/>
          <w:szCs w:val="20"/>
          <w:color w:val="auto"/>
        </w:rPr>
        <w:tab/>
      </w:r>
      <w:r>
        <w:rPr>
          <w:rFonts w:ascii="Times New Roman" w:cs="Times New Roman" w:eastAsia="Times New Roman" w:hAnsi="Times New Roman"/>
          <w:sz w:val="18"/>
          <w:szCs w:val="18"/>
          <w:color w:val="auto"/>
        </w:rPr>
        <w:t>Amendment, dated February 17, 2003, to Private Label Credit Card Program Agreement between World Financial Network National Bank, Express, LLC, and Retail Factoring, Inc., dated as of August 29, 2002.</w:t>
      </w:r>
    </w:p>
    <w:p>
      <w:pPr>
        <w:spacing w:after="0" w:line="174" w:lineRule="exact"/>
        <w:rPr>
          <w:sz w:val="20"/>
          <w:szCs w:val="20"/>
          <w:color w:val="auto"/>
        </w:rPr>
      </w:pPr>
    </w:p>
    <w:p>
      <w:pPr>
        <w:ind w:left="820" w:right="100" w:hanging="644"/>
        <w:spacing w:after="0" w:line="262" w:lineRule="auto"/>
        <w:tabs>
          <w:tab w:leader="none" w:pos="800" w:val="left"/>
        </w:tabs>
        <w:rPr>
          <w:sz w:val="20"/>
          <w:szCs w:val="20"/>
          <w:color w:val="auto"/>
        </w:rPr>
      </w:pPr>
      <w:r>
        <w:rPr>
          <w:rFonts w:ascii="Times New Roman" w:cs="Times New Roman" w:eastAsia="Times New Roman" w:hAnsi="Times New Roman"/>
          <w:sz w:val="18"/>
          <w:szCs w:val="18"/>
          <w:color w:val="auto"/>
        </w:rPr>
        <w:t>10.8</w:t>
      </w:r>
      <w:r>
        <w:rPr>
          <w:sz w:val="20"/>
          <w:szCs w:val="20"/>
          <w:color w:val="auto"/>
        </w:rPr>
        <w:tab/>
      </w:r>
      <w:r>
        <w:rPr>
          <w:rFonts w:ascii="Times New Roman" w:cs="Times New Roman" w:eastAsia="Times New Roman" w:hAnsi="Times New Roman"/>
          <w:sz w:val="18"/>
          <w:szCs w:val="18"/>
          <w:color w:val="auto"/>
        </w:rPr>
        <w:t>Private Label Credit Card Program Agreement between World Financial Network National Bank, Henri Bendel, Inc., and Western Factoring, Inc., dated as of August 29, 2002 (incorporated by reference to Exhibit No. 10.10 to our Quarterly Report on Form 10-Q filed with the SEC on November 11, 2002 File No. 001-15749).</w:t>
      </w:r>
    </w:p>
    <w:p>
      <w:pPr>
        <w:spacing w:after="0" w:line="186" w:lineRule="exact"/>
        <w:rPr>
          <w:sz w:val="20"/>
          <w:szCs w:val="20"/>
          <w:color w:val="auto"/>
        </w:rPr>
      </w:pPr>
    </w:p>
    <w:p>
      <w:pPr>
        <w:ind w:left="820" w:right="100" w:hanging="644"/>
        <w:spacing w:after="0" w:line="275" w:lineRule="auto"/>
        <w:tabs>
          <w:tab w:leader="none" w:pos="800" w:val="left"/>
        </w:tabs>
        <w:rPr>
          <w:sz w:val="20"/>
          <w:szCs w:val="20"/>
          <w:color w:val="auto"/>
        </w:rPr>
      </w:pPr>
      <w:r>
        <w:rPr>
          <w:rFonts w:ascii="Times New Roman" w:cs="Times New Roman" w:eastAsia="Times New Roman" w:hAnsi="Times New Roman"/>
          <w:sz w:val="18"/>
          <w:szCs w:val="18"/>
          <w:color w:val="auto"/>
        </w:rPr>
        <w:t>10.9</w:t>
      </w:r>
      <w:r>
        <w:rPr>
          <w:sz w:val="20"/>
          <w:szCs w:val="20"/>
          <w:color w:val="auto"/>
        </w:rPr>
        <w:tab/>
      </w:r>
      <w:r>
        <w:rPr>
          <w:rFonts w:ascii="Times New Roman" w:cs="Times New Roman" w:eastAsia="Times New Roman" w:hAnsi="Times New Roman"/>
          <w:sz w:val="18"/>
          <w:szCs w:val="18"/>
          <w:color w:val="auto"/>
        </w:rPr>
        <w:t>Indenture of Sublease between J.C. Penney Company, Inc. and BSI Business Services, Inc., dated January 11,1996 (incorporated by reference to Exhibit No. 10.12 to our Registration Statement on Form S-1 filed with the SEC on January 13, 2000, File No. 333-94623).</w:t>
      </w:r>
    </w:p>
    <w:p>
      <w:pPr>
        <w:spacing w:after="0" w:line="174" w:lineRule="exact"/>
        <w:rPr>
          <w:sz w:val="20"/>
          <w:szCs w:val="20"/>
          <w:color w:val="auto"/>
        </w:rPr>
      </w:pPr>
    </w:p>
    <w:p>
      <w:pPr>
        <w:ind w:left="820" w:right="360" w:hanging="732"/>
        <w:spacing w:after="0" w:line="262" w:lineRule="auto"/>
        <w:tabs>
          <w:tab w:leader="none" w:pos="800" w:val="left"/>
        </w:tabs>
        <w:rPr>
          <w:sz w:val="20"/>
          <w:szCs w:val="20"/>
          <w:color w:val="auto"/>
        </w:rPr>
      </w:pPr>
      <w:r>
        <w:rPr>
          <w:rFonts w:ascii="Times New Roman" w:cs="Times New Roman" w:eastAsia="Times New Roman" w:hAnsi="Times New Roman"/>
          <w:sz w:val="18"/>
          <w:szCs w:val="18"/>
          <w:color w:val="auto"/>
        </w:rPr>
        <w:t>10.10</w:t>
      </w:r>
      <w:r>
        <w:rPr>
          <w:sz w:val="20"/>
          <w:szCs w:val="20"/>
          <w:color w:val="auto"/>
        </w:rPr>
        <w:tab/>
      </w:r>
      <w:r>
        <w:rPr>
          <w:rFonts w:ascii="Times New Roman" w:cs="Times New Roman" w:eastAsia="Times New Roman" w:hAnsi="Times New Roman"/>
          <w:sz w:val="18"/>
          <w:szCs w:val="18"/>
          <w:color w:val="auto"/>
        </w:rPr>
        <w:t>Build-to-Suit Net Lease between Opus South Corporation and ADS Alliance Data Systems, Inc., dated January 29, 1998, as amended (incorporated by reference to Exhibit No. 10.10.1 to our Annual Report on Form 10-K, filed with the SEC on April 1, 2002, File No. 001-15749).</w:t>
      </w:r>
    </w:p>
    <w:p>
      <w:pPr>
        <w:spacing w:after="0" w:line="186" w:lineRule="exact"/>
        <w:rPr>
          <w:sz w:val="20"/>
          <w:szCs w:val="20"/>
          <w:color w:val="auto"/>
        </w:rPr>
      </w:pPr>
    </w:p>
    <w:p>
      <w:pPr>
        <w:ind w:left="820" w:right="60" w:hanging="725"/>
        <w:spacing w:after="0" w:line="262" w:lineRule="auto"/>
        <w:tabs>
          <w:tab w:leader="none" w:pos="800" w:val="left"/>
        </w:tabs>
        <w:rPr>
          <w:sz w:val="20"/>
          <w:szCs w:val="20"/>
          <w:color w:val="auto"/>
        </w:rPr>
      </w:pPr>
      <w:r>
        <w:rPr>
          <w:rFonts w:ascii="Times New Roman" w:cs="Times New Roman" w:eastAsia="Times New Roman" w:hAnsi="Times New Roman"/>
          <w:sz w:val="18"/>
          <w:szCs w:val="18"/>
          <w:color w:val="auto"/>
        </w:rPr>
        <w:t>10.11</w:t>
      </w:r>
      <w:r>
        <w:rPr>
          <w:sz w:val="20"/>
          <w:szCs w:val="20"/>
          <w:color w:val="auto"/>
        </w:rPr>
        <w:tab/>
      </w:r>
      <w:r>
        <w:rPr>
          <w:rFonts w:ascii="Times New Roman" w:cs="Times New Roman" w:eastAsia="Times New Roman" w:hAnsi="Times New Roman"/>
          <w:sz w:val="18"/>
          <w:szCs w:val="18"/>
          <w:color w:val="auto"/>
        </w:rPr>
        <w:t>Lease between YCC Limited and London Life Insurance Company and Loyalty Management Group Canada Inc. dated May 28, 1997 and amended June 19, 1997 and January 15, 1998 (incorporated by reference to Exhibit No. 10.15 to our Registration Statement on Form S-1 filed with the SEC on January 13, 2000, File No. 333-94623).</w:t>
      </w:r>
    </w:p>
    <w:p>
      <w:pPr>
        <w:spacing w:after="0" w:line="186" w:lineRule="exact"/>
        <w:rPr>
          <w:sz w:val="20"/>
          <w:szCs w:val="20"/>
          <w:color w:val="auto"/>
        </w:rPr>
      </w:pPr>
    </w:p>
    <w:p>
      <w:pPr>
        <w:ind w:left="820" w:hanging="819"/>
        <w:spacing w:after="0" w:line="275" w:lineRule="auto"/>
        <w:tabs>
          <w:tab w:leader="none" w:pos="800" w:val="left"/>
        </w:tabs>
        <w:rPr>
          <w:sz w:val="20"/>
          <w:szCs w:val="20"/>
          <w:color w:val="auto"/>
        </w:rPr>
      </w:pPr>
      <w:r>
        <w:rPr>
          <w:rFonts w:ascii="Times New Roman" w:cs="Times New Roman" w:eastAsia="Times New Roman" w:hAnsi="Times New Roman"/>
          <w:sz w:val="18"/>
          <w:szCs w:val="18"/>
          <w:color w:val="auto"/>
        </w:rPr>
        <w:t>*10.12</w:t>
      </w:r>
      <w:r>
        <w:rPr>
          <w:sz w:val="20"/>
          <w:szCs w:val="20"/>
          <w:color w:val="auto"/>
        </w:rPr>
        <w:tab/>
      </w:r>
      <w:r>
        <w:rPr>
          <w:rFonts w:ascii="Times New Roman" w:cs="Times New Roman" w:eastAsia="Times New Roman" w:hAnsi="Times New Roman"/>
          <w:sz w:val="18"/>
          <w:szCs w:val="18"/>
          <w:color w:val="auto"/>
        </w:rPr>
        <w:t>Amendments of April 14, 2000, January 17, 2001, and June 12, 2002 to lease between YCC Limited and London Life Insurance Company and Loyalty Management Group Canada Inc. dated May 28, 1997, as amended.</w:t>
      </w:r>
    </w:p>
    <w:p>
      <w:pPr>
        <w:spacing w:after="0" w:line="174" w:lineRule="exact"/>
        <w:rPr>
          <w:sz w:val="20"/>
          <w:szCs w:val="20"/>
          <w:color w:val="auto"/>
        </w:rPr>
      </w:pPr>
    </w:p>
    <w:p>
      <w:pPr>
        <w:ind w:left="820" w:right="240" w:hanging="732"/>
        <w:spacing w:after="0" w:line="262" w:lineRule="auto"/>
        <w:tabs>
          <w:tab w:leader="none" w:pos="800" w:val="left"/>
        </w:tabs>
        <w:rPr>
          <w:sz w:val="20"/>
          <w:szCs w:val="20"/>
          <w:color w:val="auto"/>
        </w:rPr>
      </w:pPr>
      <w:r>
        <w:rPr>
          <w:rFonts w:ascii="Times New Roman" w:cs="Times New Roman" w:eastAsia="Times New Roman" w:hAnsi="Times New Roman"/>
          <w:sz w:val="18"/>
          <w:szCs w:val="18"/>
          <w:color w:val="auto"/>
        </w:rPr>
        <w:t>10.13</w:t>
      </w:r>
      <w:r>
        <w:rPr>
          <w:sz w:val="20"/>
          <w:szCs w:val="20"/>
          <w:color w:val="auto"/>
        </w:rPr>
        <w:tab/>
      </w:r>
      <w:r>
        <w:rPr>
          <w:rFonts w:ascii="Times New Roman" w:cs="Times New Roman" w:eastAsia="Times New Roman" w:hAnsi="Times New Roman"/>
          <w:sz w:val="18"/>
          <w:szCs w:val="18"/>
          <w:color w:val="auto"/>
        </w:rPr>
        <w:t>Office Lease between Office City, Inc. and World Financial Network National Bank, dated December 24, 1986, and amended January 19, 1987, May 11, 1988, August 4, 1989 and August 18, 1999 (incorporated by reference to Exhibit No. 10.17 to our Registration Statement on Form S-1 filed with the SEC on January 13, 2000, File No. 333-94623).</w:t>
      </w:r>
    </w:p>
    <w:p>
      <w:pPr>
        <w:spacing w:after="0" w:line="186" w:lineRule="exact"/>
        <w:rPr>
          <w:sz w:val="20"/>
          <w:szCs w:val="20"/>
          <w:color w:val="auto"/>
        </w:rPr>
      </w:pPr>
    </w:p>
    <w:p>
      <w:pPr>
        <w:ind w:left="820" w:right="100" w:hanging="732"/>
        <w:spacing w:after="0" w:line="262" w:lineRule="auto"/>
        <w:tabs>
          <w:tab w:leader="none" w:pos="800" w:val="left"/>
        </w:tabs>
        <w:rPr>
          <w:sz w:val="20"/>
          <w:szCs w:val="20"/>
          <w:color w:val="auto"/>
        </w:rPr>
      </w:pPr>
      <w:r>
        <w:rPr>
          <w:rFonts w:ascii="Times New Roman" w:cs="Times New Roman" w:eastAsia="Times New Roman" w:hAnsi="Times New Roman"/>
          <w:sz w:val="18"/>
          <w:szCs w:val="18"/>
          <w:color w:val="auto"/>
        </w:rPr>
        <w:t>10.14</w:t>
      </w:r>
      <w:r>
        <w:rPr>
          <w:sz w:val="20"/>
          <w:szCs w:val="20"/>
          <w:color w:val="auto"/>
        </w:rPr>
        <w:tab/>
      </w:r>
      <w:r>
        <w:rPr>
          <w:rFonts w:ascii="Times New Roman" w:cs="Times New Roman" w:eastAsia="Times New Roman" w:hAnsi="Times New Roman"/>
          <w:sz w:val="18"/>
          <w:szCs w:val="18"/>
          <w:color w:val="auto"/>
        </w:rPr>
        <w:t>Lease Agreement by and between Continental Acquisitions, Inc. and World Financial Network National Bank, dated July 2, 1990, and amended September 11, 1990, November 16, 1990 and February 18, 1991 (incorporated by reference to Exhibit No. 10.18 to our Registration Statement on Form S-1 filed with the SEC on January 13, 2000, File No. 333-94623).</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-351790</wp:posOffset>
            </wp:positionH>
            <wp:positionV relativeFrom="paragraph">
              <wp:posOffset>149860</wp:posOffset>
            </wp:positionV>
            <wp:extent cx="7250430" cy="215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left="820" w:right="40" w:hanging="732"/>
        <w:spacing w:after="0" w:line="258" w:lineRule="auto"/>
        <w:tabs>
          <w:tab w:leader="none" w:pos="800" w:val="left"/>
        </w:tabs>
        <w:rPr>
          <w:sz w:val="20"/>
          <w:szCs w:val="20"/>
          <w:color w:val="auto"/>
        </w:rPr>
      </w:pPr>
      <w:r>
        <w:rPr>
          <w:rFonts w:ascii="Times New Roman" w:cs="Times New Roman" w:eastAsia="Times New Roman" w:hAnsi="Times New Roman"/>
          <w:sz w:val="18"/>
          <w:szCs w:val="18"/>
          <w:color w:val="auto"/>
        </w:rPr>
        <w:t>10.15</w:t>
      </w:r>
      <w:r>
        <w:rPr>
          <w:sz w:val="20"/>
          <w:szCs w:val="20"/>
          <w:color w:val="auto"/>
        </w:rPr>
        <w:tab/>
      </w:r>
      <w:r>
        <w:rPr>
          <w:rFonts w:ascii="Times New Roman" w:cs="Times New Roman" w:eastAsia="Times New Roman" w:hAnsi="Times New Roman"/>
          <w:sz w:val="18"/>
          <w:szCs w:val="18"/>
          <w:color w:val="auto"/>
        </w:rPr>
        <w:t>Stockholders Agreement dated as of June 12, 2001, among Alliance Data Systems Corporation, Limited Commerce Corp., Welsh, Carson, Anderson, and Stowe VI, L.P., Welsh, Carson, Anderson &amp; Stowe VII, L.P., Welsh, Carson, Anderson &amp; Stowe VIII, L.P., WCAS Information Partners, L.P., WCAS Capital Partners II, L.P., and WCAS Capital Partners III, L.P. (incorporated by reference to Exhibit 10.14 to our Annual Report on Form 10-K, filed with the SEC on April 1, 2002, File No. 001-15749).</w:t>
      </w:r>
    </w:p>
    <w:p>
      <w:pPr>
        <w:spacing w:after="0" w:line="190" w:lineRule="exact"/>
        <w:rPr>
          <w:sz w:val="20"/>
          <w:szCs w:val="20"/>
          <w:color w:val="auto"/>
        </w:rPr>
      </w:pPr>
    </w:p>
    <w:p>
      <w:pPr>
        <w:ind w:left="820" w:right="460" w:hanging="732"/>
        <w:spacing w:after="0" w:line="262" w:lineRule="auto"/>
        <w:tabs>
          <w:tab w:leader="none" w:pos="800" w:val="left"/>
        </w:tabs>
        <w:rPr>
          <w:sz w:val="20"/>
          <w:szCs w:val="20"/>
          <w:color w:val="auto"/>
        </w:rPr>
      </w:pPr>
      <w:r>
        <w:rPr>
          <w:rFonts w:ascii="Times New Roman" w:cs="Times New Roman" w:eastAsia="Times New Roman" w:hAnsi="Times New Roman"/>
          <w:sz w:val="18"/>
          <w:szCs w:val="18"/>
          <w:color w:val="auto"/>
        </w:rPr>
        <w:t>10.16</w:t>
      </w:r>
      <w:r>
        <w:rPr>
          <w:sz w:val="20"/>
          <w:szCs w:val="20"/>
          <w:color w:val="auto"/>
        </w:rPr>
        <w:tab/>
      </w:r>
      <w:r>
        <w:rPr>
          <w:rFonts w:ascii="Times New Roman" w:cs="Times New Roman" w:eastAsia="Times New Roman" w:hAnsi="Times New Roman"/>
          <w:sz w:val="18"/>
          <w:szCs w:val="18"/>
          <w:color w:val="auto"/>
        </w:rPr>
        <w:t>10% Subordinated Note due September 15, 2008 issued by Alliance Data Systems Corporation to WCAS Capital Partners III, L.P. dated September 15, 1998 (incorporated by reference to Exhibit No. 10.28 to our Registration Statement on Form S-1 filed with the SEC on January 13, 2000, File No. 333-94623).</w:t>
      </w:r>
    </w:p>
    <w:p>
      <w:pPr>
        <w:spacing w:after="0" w:line="186"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color w:val="auto"/>
        </w:rPr>
        <w:t>*10.17</w:t>
      </w:r>
      <w:r>
        <w:rPr>
          <w:sz w:val="20"/>
          <w:szCs w:val="20"/>
          <w:color w:val="auto"/>
        </w:rPr>
        <w:tab/>
      </w:r>
      <w:r>
        <w:rPr>
          <w:rFonts w:ascii="Times New Roman" w:cs="Times New Roman" w:eastAsia="Times New Roman" w:hAnsi="Times New Roman"/>
          <w:sz w:val="16"/>
          <w:szCs w:val="16"/>
          <w:color w:val="auto"/>
        </w:rPr>
        <w:t>ADS Alliance Data Systems, Inc. Supplemental Executive Retirement Plan, as Amended and Restated effective January 1, 2003.</w:t>
      </w:r>
    </w:p>
    <w:p>
      <w:pPr>
        <w:spacing w:after="0" w:line="225" w:lineRule="exact"/>
        <w:rPr>
          <w:sz w:val="20"/>
          <w:szCs w:val="20"/>
          <w:color w:val="auto"/>
        </w:rPr>
      </w:pPr>
    </w:p>
    <w:p>
      <w:pPr>
        <w:ind w:left="820" w:right="440" w:hanging="732"/>
        <w:spacing w:after="0" w:line="339" w:lineRule="auto"/>
        <w:tabs>
          <w:tab w:leader="none" w:pos="800" w:val="left"/>
        </w:tabs>
        <w:rPr>
          <w:sz w:val="20"/>
          <w:szCs w:val="20"/>
          <w:color w:val="auto"/>
        </w:rPr>
      </w:pPr>
      <w:r>
        <w:rPr>
          <w:rFonts w:ascii="Times New Roman" w:cs="Times New Roman" w:eastAsia="Times New Roman" w:hAnsi="Times New Roman"/>
          <w:sz w:val="18"/>
          <w:szCs w:val="18"/>
          <w:color w:val="auto"/>
        </w:rPr>
        <w:t>10.18</w:t>
      </w:r>
      <w:r>
        <w:rPr>
          <w:sz w:val="20"/>
          <w:szCs w:val="20"/>
          <w:color w:val="auto"/>
        </w:rPr>
        <w:tab/>
      </w:r>
      <w:r>
        <w:rPr>
          <w:rFonts w:ascii="Times New Roman" w:cs="Times New Roman" w:eastAsia="Times New Roman" w:hAnsi="Times New Roman"/>
          <w:sz w:val="16"/>
          <w:szCs w:val="16"/>
          <w:color w:val="auto"/>
        </w:rPr>
        <w:t>Amended and Restated Alliance Data Systems Corporation and its Subsidiaries Stock Option and Restricted Stock Plan (incorporated by reference to Exhibit No. 10.34 to our Registration Statement on Form S-1 filed with the SEC on May 4, 2001, File No. 333-94623).</w:t>
      </w:r>
    </w:p>
    <w:p>
      <w:pPr>
        <w:spacing w:after="0" w:line="128" w:lineRule="exact"/>
        <w:rPr>
          <w:sz w:val="20"/>
          <w:szCs w:val="20"/>
          <w:color w:val="auto"/>
        </w:rPr>
      </w:pPr>
    </w:p>
    <w:p>
      <w:pPr>
        <w:ind w:left="820" w:right="600" w:hanging="732"/>
        <w:spacing w:after="0" w:line="275" w:lineRule="auto"/>
        <w:tabs>
          <w:tab w:leader="none" w:pos="800" w:val="left"/>
        </w:tabs>
        <w:rPr>
          <w:sz w:val="20"/>
          <w:szCs w:val="20"/>
          <w:color w:val="auto"/>
        </w:rPr>
      </w:pPr>
      <w:r>
        <w:rPr>
          <w:rFonts w:ascii="Times New Roman" w:cs="Times New Roman" w:eastAsia="Times New Roman" w:hAnsi="Times New Roman"/>
          <w:sz w:val="18"/>
          <w:szCs w:val="18"/>
          <w:color w:val="auto"/>
        </w:rPr>
        <w:t>10.19</w:t>
      </w:r>
      <w:r>
        <w:rPr>
          <w:sz w:val="20"/>
          <w:szCs w:val="20"/>
          <w:color w:val="auto"/>
        </w:rPr>
        <w:tab/>
      </w:r>
      <w:r>
        <w:rPr>
          <w:rFonts w:ascii="Times New Roman" w:cs="Times New Roman" w:eastAsia="Times New Roman" w:hAnsi="Times New Roman"/>
          <w:sz w:val="18"/>
          <w:szCs w:val="18"/>
          <w:color w:val="auto"/>
        </w:rPr>
        <w:t>Form of Alliance Data Systems Corporation Incentive Stock Option Agreement (incorporated by reference to Exhibit No. 10.35 to our Registration Statement on Form S-1 filed with the SEC on January 13, 2000, File No. 333-94623).</w:t>
      </w:r>
    </w:p>
    <w:p>
      <w:pPr>
        <w:spacing w:after="0" w:line="174" w:lineRule="exact"/>
        <w:rPr>
          <w:sz w:val="20"/>
          <w:szCs w:val="20"/>
          <w:color w:val="auto"/>
        </w:rPr>
      </w:pPr>
    </w:p>
    <w:p>
      <w:pPr>
        <w:ind w:left="820" w:right="220" w:hanging="732"/>
        <w:spacing w:after="0" w:line="275" w:lineRule="auto"/>
        <w:tabs>
          <w:tab w:leader="none" w:pos="800" w:val="left"/>
        </w:tabs>
        <w:rPr>
          <w:sz w:val="20"/>
          <w:szCs w:val="20"/>
          <w:color w:val="auto"/>
        </w:rPr>
      </w:pPr>
      <w:r>
        <w:rPr>
          <w:rFonts w:ascii="Times New Roman" w:cs="Times New Roman" w:eastAsia="Times New Roman" w:hAnsi="Times New Roman"/>
          <w:sz w:val="18"/>
          <w:szCs w:val="18"/>
          <w:color w:val="auto"/>
        </w:rPr>
        <w:t>10.20</w:t>
      </w:r>
      <w:r>
        <w:rPr>
          <w:sz w:val="20"/>
          <w:szCs w:val="20"/>
          <w:color w:val="auto"/>
        </w:rPr>
        <w:tab/>
      </w:r>
      <w:r>
        <w:rPr>
          <w:rFonts w:ascii="Times New Roman" w:cs="Times New Roman" w:eastAsia="Times New Roman" w:hAnsi="Times New Roman"/>
          <w:sz w:val="18"/>
          <w:szCs w:val="18"/>
          <w:color w:val="auto"/>
        </w:rPr>
        <w:t>Form of Alliance Data Systems Corporation Non-Qualified Stock Option Agreement (incorporated by reference to Exhibit No. 10.36 to our Registration Statement on Form S-1 filed with the SEC on January 13, 2000, File No. 333-94623).</w:t>
      </w:r>
    </w:p>
    <w:p>
      <w:pPr>
        <w:spacing w:after="0" w:line="174" w:lineRule="exact"/>
        <w:rPr>
          <w:sz w:val="20"/>
          <w:szCs w:val="20"/>
          <w:color w:val="auto"/>
        </w:rPr>
      </w:pPr>
    </w:p>
    <w:p>
      <w:pPr>
        <w:ind w:left="820" w:right="60" w:hanging="732"/>
        <w:spacing w:after="0" w:line="275" w:lineRule="auto"/>
        <w:tabs>
          <w:tab w:leader="none" w:pos="800" w:val="left"/>
        </w:tabs>
        <w:rPr>
          <w:sz w:val="20"/>
          <w:szCs w:val="20"/>
          <w:color w:val="auto"/>
        </w:rPr>
      </w:pPr>
      <w:r>
        <w:rPr>
          <w:rFonts w:ascii="Times New Roman" w:cs="Times New Roman" w:eastAsia="Times New Roman" w:hAnsi="Times New Roman"/>
          <w:sz w:val="18"/>
          <w:szCs w:val="18"/>
          <w:color w:val="auto"/>
        </w:rPr>
        <w:t>10.21</w:t>
      </w:r>
      <w:r>
        <w:rPr>
          <w:sz w:val="20"/>
          <w:szCs w:val="20"/>
          <w:color w:val="auto"/>
        </w:rPr>
        <w:tab/>
      </w:r>
      <w:r>
        <w:rPr>
          <w:rFonts w:ascii="Times New Roman" w:cs="Times New Roman" w:eastAsia="Times New Roman" w:hAnsi="Times New Roman"/>
          <w:sz w:val="18"/>
          <w:szCs w:val="18"/>
          <w:color w:val="auto"/>
        </w:rPr>
        <w:t>Alliance Data Systems Corporation and its Subsidiaries Employee Stock Purchase Plan (incorporated by reference to Exhibit No. 10.10 to our Registration Statement on Form S-1 filed with the SEC on February 7, 2001, File No. 333-94623).</w:t>
      </w:r>
    </w:p>
    <w:p>
      <w:pPr>
        <w:spacing w:after="0" w:line="174" w:lineRule="exact"/>
        <w:rPr>
          <w:sz w:val="20"/>
          <w:szCs w:val="20"/>
          <w:color w:val="auto"/>
        </w:rPr>
      </w:pPr>
    </w:p>
    <w:p>
      <w:pPr>
        <w:ind w:left="820" w:right="60" w:hanging="732"/>
        <w:spacing w:after="0" w:line="275" w:lineRule="auto"/>
        <w:tabs>
          <w:tab w:leader="none" w:pos="800" w:val="left"/>
        </w:tabs>
        <w:rPr>
          <w:sz w:val="20"/>
          <w:szCs w:val="20"/>
          <w:color w:val="auto"/>
        </w:rPr>
      </w:pPr>
      <w:r>
        <w:rPr>
          <w:rFonts w:ascii="Times New Roman" w:cs="Times New Roman" w:eastAsia="Times New Roman" w:hAnsi="Times New Roman"/>
          <w:sz w:val="18"/>
          <w:szCs w:val="18"/>
          <w:color w:val="auto"/>
        </w:rPr>
        <w:t>10.22</w:t>
      </w:r>
      <w:r>
        <w:rPr>
          <w:sz w:val="20"/>
          <w:szCs w:val="20"/>
          <w:color w:val="auto"/>
        </w:rPr>
        <w:tab/>
      </w:r>
      <w:r>
        <w:rPr>
          <w:rFonts w:ascii="Times New Roman" w:cs="Times New Roman" w:eastAsia="Times New Roman" w:hAnsi="Times New Roman"/>
          <w:sz w:val="18"/>
          <w:szCs w:val="18"/>
          <w:color w:val="auto"/>
        </w:rPr>
        <w:t>Alliance Data Systems Corporation 2002 Incentive Compensation Plan (incorporated by reference to Exhibit No. 10.1 to our Quarterly Report on Form 10-Q, filed with the SEC on May 14, 2002, File No. 001-15749).</w:t>
      </w:r>
    </w:p>
    <w:p>
      <w:pPr>
        <w:spacing w:after="0" w:line="174"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color w:val="auto"/>
        </w:rPr>
        <w:t>*10.23</w:t>
      </w:r>
      <w:r>
        <w:rPr>
          <w:sz w:val="20"/>
          <w:szCs w:val="20"/>
          <w:color w:val="auto"/>
        </w:rPr>
        <w:tab/>
      </w:r>
      <w:r>
        <w:rPr>
          <w:rFonts w:ascii="Times New Roman" w:cs="Times New Roman" w:eastAsia="Times New Roman" w:hAnsi="Times New Roman"/>
          <w:sz w:val="16"/>
          <w:szCs w:val="16"/>
          <w:color w:val="auto"/>
        </w:rPr>
        <w:t>Alliance Data Systems 2003 Incentive Compensation Plan.</w:t>
      </w:r>
    </w:p>
    <w:p>
      <w:pPr>
        <w:spacing w:after="0" w:line="22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color w:val="auto"/>
        </w:rPr>
        <w:t>*10.24</w:t>
      </w:r>
      <w:r>
        <w:rPr>
          <w:sz w:val="20"/>
          <w:szCs w:val="20"/>
          <w:color w:val="auto"/>
        </w:rPr>
        <w:tab/>
      </w:r>
      <w:r>
        <w:rPr>
          <w:rFonts w:ascii="Times New Roman" w:cs="Times New Roman" w:eastAsia="Times New Roman" w:hAnsi="Times New Roman"/>
          <w:sz w:val="16"/>
          <w:szCs w:val="16"/>
          <w:color w:val="auto"/>
        </w:rPr>
        <w:t>Form of Alliance Data Systems Associate Confidentiality Agreement.</w:t>
      </w:r>
    </w:p>
    <w:p>
      <w:pPr>
        <w:spacing w:after="0" w:line="225" w:lineRule="exact"/>
        <w:rPr>
          <w:sz w:val="20"/>
          <w:szCs w:val="20"/>
          <w:color w:val="auto"/>
        </w:rPr>
      </w:pPr>
    </w:p>
    <w:p>
      <w:pPr>
        <w:ind w:left="820" w:right="120" w:hanging="732"/>
        <w:spacing w:after="0" w:line="275" w:lineRule="auto"/>
        <w:tabs>
          <w:tab w:leader="none" w:pos="800" w:val="left"/>
        </w:tabs>
        <w:rPr>
          <w:sz w:val="20"/>
          <w:szCs w:val="20"/>
          <w:color w:val="auto"/>
        </w:rPr>
      </w:pPr>
      <w:r>
        <w:rPr>
          <w:rFonts w:ascii="Times New Roman" w:cs="Times New Roman" w:eastAsia="Times New Roman" w:hAnsi="Times New Roman"/>
          <w:sz w:val="18"/>
          <w:szCs w:val="18"/>
          <w:color w:val="auto"/>
        </w:rPr>
        <w:t>10.25</w:t>
      </w:r>
      <w:r>
        <w:rPr>
          <w:sz w:val="20"/>
          <w:szCs w:val="20"/>
          <w:color w:val="auto"/>
        </w:rPr>
        <w:tab/>
      </w:r>
      <w:r>
        <w:rPr>
          <w:rFonts w:ascii="Times New Roman" w:cs="Times New Roman" w:eastAsia="Times New Roman" w:hAnsi="Times New Roman"/>
          <w:sz w:val="18"/>
          <w:szCs w:val="18"/>
          <w:color w:val="auto"/>
        </w:rPr>
        <w:t>Alliance Data Systems 401(k) Retirement Savings Plan (incorporated by reference to Exhibit 99.1 to our Registration Statement on Form S-8 filed with the SEC on July 20, 2001).</w:t>
      </w:r>
    </w:p>
    <w:p>
      <w:pPr>
        <w:spacing w:after="0" w:line="174" w:lineRule="exact"/>
        <w:rPr>
          <w:sz w:val="20"/>
          <w:szCs w:val="20"/>
          <w:color w:val="auto"/>
        </w:rPr>
      </w:pPr>
    </w:p>
    <w:p>
      <w:pPr>
        <w:ind w:left="80"/>
        <w:spacing w:after="0"/>
        <w:tabs>
          <w:tab w:leader="none" w:pos="800" w:val="left"/>
        </w:tabs>
        <w:rPr>
          <w:sz w:val="20"/>
          <w:szCs w:val="20"/>
          <w:color w:val="auto"/>
        </w:rPr>
      </w:pPr>
      <w:r>
        <w:rPr>
          <w:rFonts w:ascii="Times New Roman" w:cs="Times New Roman" w:eastAsia="Times New Roman" w:hAnsi="Times New Roman"/>
          <w:sz w:val="18"/>
          <w:szCs w:val="18"/>
          <w:color w:val="auto"/>
        </w:rPr>
        <w:t>10.26</w:t>
      </w:r>
      <w:r>
        <w:rPr>
          <w:sz w:val="20"/>
          <w:szCs w:val="20"/>
          <w:color w:val="auto"/>
        </w:rPr>
        <w:tab/>
      </w:r>
      <w:r>
        <w:rPr>
          <w:rFonts w:ascii="Times New Roman" w:cs="Times New Roman" w:eastAsia="Times New Roman" w:hAnsi="Times New Roman"/>
          <w:sz w:val="16"/>
          <w:szCs w:val="16"/>
          <w:color w:val="auto"/>
        </w:rPr>
        <w:t>Letter employment agreement with J. Michael Parks, dated February 19, 1997 (incorporated by reference to Exhibit 10.39 to our Registration</w:t>
      </w:r>
    </w:p>
    <w:p>
      <w:pPr>
        <w:sectPr>
          <w:pgSz w:w="11900" w:h="16838" w:orient="portrait"/>
          <w:cols w:equalWidth="0" w:num="1">
            <w:col w:w="10860"/>
          </w:cols>
          <w:pgMar w:left="800" w:top="125" w:right="239" w:bottom="0" w:gutter="0" w:footer="0" w:header="0"/>
        </w:sectPr>
      </w:pPr>
    </w:p>
    <w:bookmarkStart w:id="27" w:name="page28"/>
    <w:bookmarkEnd w:id="27"/>
    <w:p>
      <w:pPr>
        <w:spacing w:after="0" w:line="43"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Statement on Form S-1 filed with the SEC on January 13, 2000, File No. 333-94623).</w:t>
      </w:r>
    </w:p>
    <w:p>
      <w:pPr>
        <w:spacing w:after="0" w:line="225" w:lineRule="exact"/>
        <w:rPr>
          <w:sz w:val="20"/>
          <w:szCs w:val="20"/>
          <w:color w:val="auto"/>
        </w:rPr>
      </w:pPr>
    </w:p>
    <w:p>
      <w:pPr>
        <w:ind w:left="840" w:right="100" w:hanging="732"/>
        <w:spacing w:after="0" w:line="275" w:lineRule="auto"/>
        <w:tabs>
          <w:tab w:leader="none" w:pos="820" w:val="left"/>
        </w:tabs>
        <w:rPr>
          <w:sz w:val="20"/>
          <w:szCs w:val="20"/>
          <w:color w:val="auto"/>
        </w:rPr>
      </w:pPr>
      <w:r>
        <w:rPr>
          <w:rFonts w:ascii="Times New Roman" w:cs="Times New Roman" w:eastAsia="Times New Roman" w:hAnsi="Times New Roman"/>
          <w:sz w:val="18"/>
          <w:szCs w:val="18"/>
          <w:color w:val="auto"/>
        </w:rPr>
        <w:t>10.27</w:t>
      </w:r>
      <w:r>
        <w:rPr>
          <w:sz w:val="20"/>
          <w:szCs w:val="20"/>
          <w:color w:val="auto"/>
        </w:rPr>
        <w:tab/>
      </w:r>
      <w:r>
        <w:rPr>
          <w:rFonts w:ascii="Times New Roman" w:cs="Times New Roman" w:eastAsia="Times New Roman" w:hAnsi="Times New Roman"/>
          <w:sz w:val="18"/>
          <w:szCs w:val="18"/>
          <w:color w:val="auto"/>
        </w:rPr>
        <w:t>Letter employment agreement with Ivan Szeftel, dated May 4, 1998 (incorporated by reference to Exhibit 10.40 to our Registration Statement on Form S-1 filed with the SEC on January 13, 2000, File No. 333-94623).</w:t>
      </w:r>
    </w:p>
    <w:p>
      <w:pPr>
        <w:spacing w:after="0" w:line="174" w:lineRule="exact"/>
        <w:rPr>
          <w:sz w:val="20"/>
          <w:szCs w:val="20"/>
          <w:color w:val="auto"/>
        </w:rPr>
      </w:pPr>
    </w:p>
    <w:p>
      <w:pPr>
        <w:ind w:left="840" w:right="120" w:hanging="732"/>
        <w:spacing w:after="0" w:line="258" w:lineRule="auto"/>
        <w:tabs>
          <w:tab w:leader="none" w:pos="820" w:val="left"/>
        </w:tabs>
        <w:rPr>
          <w:sz w:val="20"/>
          <w:szCs w:val="20"/>
          <w:color w:val="auto"/>
        </w:rPr>
      </w:pPr>
      <w:r>
        <w:rPr>
          <w:rFonts w:ascii="Times New Roman" w:cs="Times New Roman" w:eastAsia="Times New Roman" w:hAnsi="Times New Roman"/>
          <w:sz w:val="18"/>
          <w:szCs w:val="18"/>
          <w:color w:val="auto"/>
        </w:rPr>
        <w:t>10.28</w:t>
      </w:r>
      <w:r>
        <w:rPr>
          <w:sz w:val="20"/>
          <w:szCs w:val="20"/>
          <w:color w:val="auto"/>
        </w:rPr>
        <w:tab/>
      </w:r>
      <w:r>
        <w:rPr>
          <w:rFonts w:ascii="Times New Roman" w:cs="Times New Roman" w:eastAsia="Times New Roman" w:hAnsi="Times New Roman"/>
          <w:sz w:val="18"/>
          <w:szCs w:val="18"/>
          <w:color w:val="auto"/>
        </w:rPr>
        <w:t>Amended and Restated License to Use the Air Miles Trade Marks in Canada, dated as of July 24, 1998, by and between Air Miles International Holdings N.V. and Loyalty Management Group Canada Inc. (incorporated by reference to Exhibit No. 10.43 to our Registration Statement on Form S-1 filed with the SEC on January 13, 2000, File No. 333-94623) (assigned by Air Miles International Holdings N.V. to Air Miles International Trading B.V. by a novation agreement dated as of July 18, 2001).</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149860</wp:posOffset>
            </wp:positionV>
            <wp:extent cx="7250430" cy="215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left="840" w:right="240" w:hanging="732"/>
        <w:spacing w:after="0" w:line="262" w:lineRule="auto"/>
        <w:tabs>
          <w:tab w:leader="none" w:pos="820" w:val="left"/>
        </w:tabs>
        <w:rPr>
          <w:sz w:val="20"/>
          <w:szCs w:val="20"/>
          <w:color w:val="auto"/>
        </w:rPr>
      </w:pPr>
      <w:r>
        <w:rPr>
          <w:rFonts w:ascii="Times New Roman" w:cs="Times New Roman" w:eastAsia="Times New Roman" w:hAnsi="Times New Roman"/>
          <w:sz w:val="18"/>
          <w:szCs w:val="18"/>
          <w:color w:val="auto"/>
        </w:rPr>
        <w:t>10.29</w:t>
      </w:r>
      <w:r>
        <w:rPr>
          <w:sz w:val="20"/>
          <w:szCs w:val="20"/>
          <w:color w:val="auto"/>
        </w:rPr>
        <w:tab/>
      </w:r>
      <w:r>
        <w:rPr>
          <w:rFonts w:ascii="Times New Roman" w:cs="Times New Roman" w:eastAsia="Times New Roman" w:hAnsi="Times New Roman"/>
          <w:sz w:val="18"/>
          <w:szCs w:val="18"/>
          <w:color w:val="auto"/>
        </w:rPr>
        <w:t>Amended and Restated License to Use and Exploit the Air Miles Scheme in Canada, dated July 24, 1998, by and between Air Miles International Trading B.V. and Loyalty Management Group Canada Inc. (incorporated by reference to Exhibit No. 10.44 to our Registration Statement on Form S-1 filed with the SEC on January 13, 2000, File No. 333-94623).</w:t>
      </w:r>
    </w:p>
    <w:p>
      <w:pPr>
        <w:spacing w:after="0" w:line="186" w:lineRule="exact"/>
        <w:rPr>
          <w:sz w:val="20"/>
          <w:szCs w:val="20"/>
          <w:color w:val="auto"/>
        </w:rPr>
      </w:pPr>
    </w:p>
    <w:p>
      <w:pPr>
        <w:ind w:left="840" w:right="80" w:hanging="732"/>
        <w:spacing w:after="0" w:line="258" w:lineRule="auto"/>
        <w:tabs>
          <w:tab w:leader="none" w:pos="820" w:val="left"/>
        </w:tabs>
        <w:rPr>
          <w:sz w:val="20"/>
          <w:szCs w:val="20"/>
          <w:color w:val="auto"/>
        </w:rPr>
      </w:pPr>
      <w:r>
        <w:rPr>
          <w:rFonts w:ascii="Times New Roman" w:cs="Times New Roman" w:eastAsia="Times New Roman" w:hAnsi="Times New Roman"/>
          <w:sz w:val="18"/>
          <w:szCs w:val="18"/>
          <w:color w:val="auto"/>
        </w:rPr>
        <w:t>10.30</w:t>
      </w:r>
      <w:r>
        <w:rPr>
          <w:sz w:val="20"/>
          <w:szCs w:val="20"/>
          <w:color w:val="auto"/>
        </w:rPr>
        <w:tab/>
      </w:r>
      <w:r>
        <w:rPr>
          <w:rFonts w:ascii="Times New Roman" w:cs="Times New Roman" w:eastAsia="Times New Roman" w:hAnsi="Times New Roman"/>
          <w:sz w:val="18"/>
          <w:szCs w:val="18"/>
          <w:color w:val="auto"/>
        </w:rPr>
        <w:t>Amended and Restated Credit Agreement between Alliance Data Systems Corporation, and Loyalty Management Group Canada Inc., the Guarantors party thereto, the Banks party thereto, and Morgan Guaranty Trust Company of New York, dated July 24, 1998 and amended and restated as of October 22, 1998 (incorporated by reference to Exhibit No. 10.31 to our Registration Statement on Form S-1 filed with the SEC on January 13, 2000, File No. 333-94623).</w:t>
      </w:r>
    </w:p>
    <w:p>
      <w:pPr>
        <w:spacing w:after="0" w:line="190" w:lineRule="exact"/>
        <w:rPr>
          <w:sz w:val="20"/>
          <w:szCs w:val="20"/>
          <w:color w:val="auto"/>
        </w:rPr>
      </w:pPr>
    </w:p>
    <w:p>
      <w:pPr>
        <w:jc w:val="both"/>
        <w:ind w:left="840" w:right="160" w:hanging="732"/>
        <w:spacing w:after="0" w:line="262" w:lineRule="auto"/>
        <w:tabs>
          <w:tab w:leader="none" w:pos="820" w:val="left"/>
        </w:tabs>
        <w:rPr>
          <w:sz w:val="20"/>
          <w:szCs w:val="20"/>
          <w:color w:val="auto"/>
        </w:rPr>
      </w:pPr>
      <w:r>
        <w:rPr>
          <w:rFonts w:ascii="Times New Roman" w:cs="Times New Roman" w:eastAsia="Times New Roman" w:hAnsi="Times New Roman"/>
          <w:sz w:val="18"/>
          <w:szCs w:val="18"/>
          <w:color w:val="auto"/>
        </w:rPr>
        <w:t>10.31</w:t>
      </w:r>
      <w:r>
        <w:rPr>
          <w:sz w:val="20"/>
          <w:szCs w:val="20"/>
          <w:color w:val="auto"/>
        </w:rPr>
        <w:tab/>
      </w:r>
      <w:r>
        <w:rPr>
          <w:rFonts w:ascii="Times New Roman" w:cs="Times New Roman" w:eastAsia="Times New Roman" w:hAnsi="Times New Roman"/>
          <w:sz w:val="18"/>
          <w:szCs w:val="18"/>
          <w:color w:val="auto"/>
        </w:rPr>
        <w:t>First Amendment to Amended and Restated Credit Agreement, dated as of July 6, 1999, among Alliance Data Systems Corporation, Loyalty Management Group Canada, Inc., the Banks party thereto and Morgan Guaranty Trust Company of New York (incorporated by reference to Exhibit 10.11 to our Quarterly Report on Form 10-Q filed with the SEC on November 12, 2002, File No. 001-15749).</w:t>
      </w:r>
    </w:p>
    <w:p>
      <w:pPr>
        <w:spacing w:after="0" w:line="186" w:lineRule="exact"/>
        <w:rPr>
          <w:sz w:val="20"/>
          <w:szCs w:val="20"/>
          <w:color w:val="auto"/>
        </w:rPr>
      </w:pPr>
    </w:p>
    <w:p>
      <w:pPr>
        <w:ind w:left="840" w:right="320" w:hanging="732"/>
        <w:spacing w:after="0" w:line="258" w:lineRule="auto"/>
        <w:tabs>
          <w:tab w:leader="none" w:pos="820" w:val="left"/>
        </w:tabs>
        <w:rPr>
          <w:sz w:val="20"/>
          <w:szCs w:val="20"/>
          <w:color w:val="auto"/>
        </w:rPr>
      </w:pPr>
      <w:r>
        <w:rPr>
          <w:rFonts w:ascii="Times New Roman" w:cs="Times New Roman" w:eastAsia="Times New Roman" w:hAnsi="Times New Roman"/>
          <w:sz w:val="18"/>
          <w:szCs w:val="18"/>
          <w:color w:val="auto"/>
        </w:rPr>
        <w:t>10.32</w:t>
      </w:r>
      <w:r>
        <w:rPr>
          <w:sz w:val="20"/>
          <w:szCs w:val="20"/>
          <w:color w:val="auto"/>
        </w:rPr>
        <w:tab/>
      </w:r>
      <w:r>
        <w:rPr>
          <w:rFonts w:ascii="Times New Roman" w:cs="Times New Roman" w:eastAsia="Times New Roman" w:hAnsi="Times New Roman"/>
          <w:sz w:val="18"/>
          <w:szCs w:val="18"/>
          <w:color w:val="auto"/>
        </w:rPr>
        <w:t>Second Amendment to Amended and Restated Credit Agreement, dated as of September 29, 2000, by and among Alliance Data Systems Corporation, Loyalty Management Group Canada Inc., the Banks party thereto, Morgan Guaranty Trust Company of New York and Harris Trust and Savings Bank (incorporated by reference to Exhibit No. 10.49 to our Registration Statement on Form S-1 filed with the SEC on June 9, 2000, File No. 333-94623).</w:t>
      </w:r>
    </w:p>
    <w:p>
      <w:pPr>
        <w:spacing w:after="0" w:line="190" w:lineRule="exact"/>
        <w:rPr>
          <w:sz w:val="20"/>
          <w:szCs w:val="20"/>
          <w:color w:val="auto"/>
        </w:rPr>
      </w:pPr>
    </w:p>
    <w:p>
      <w:pPr>
        <w:jc w:val="both"/>
        <w:ind w:left="840" w:right="280" w:hanging="732"/>
        <w:spacing w:after="0" w:line="310" w:lineRule="auto"/>
        <w:tabs>
          <w:tab w:leader="none" w:pos="820" w:val="left"/>
        </w:tabs>
        <w:rPr>
          <w:sz w:val="20"/>
          <w:szCs w:val="20"/>
          <w:color w:val="auto"/>
        </w:rPr>
      </w:pPr>
      <w:r>
        <w:rPr>
          <w:rFonts w:ascii="Times New Roman" w:cs="Times New Roman" w:eastAsia="Times New Roman" w:hAnsi="Times New Roman"/>
          <w:sz w:val="18"/>
          <w:szCs w:val="18"/>
          <w:color w:val="auto"/>
        </w:rPr>
        <w:t>10.33</w:t>
      </w:r>
      <w:r>
        <w:rPr>
          <w:sz w:val="20"/>
          <w:szCs w:val="20"/>
          <w:color w:val="auto"/>
        </w:rPr>
        <w:tab/>
      </w:r>
      <w:r>
        <w:rPr>
          <w:rFonts w:ascii="Times New Roman" w:cs="Times New Roman" w:eastAsia="Times New Roman" w:hAnsi="Times New Roman"/>
          <w:sz w:val="16"/>
          <w:szCs w:val="16"/>
          <w:color w:val="auto"/>
        </w:rPr>
        <w:t>Third Amendment to Amended and Restated Credit Agreement, dated as of January 10, 2001 between Alliance Data Systems Corporation, Loyalty Management Group Canada Inc., the Banks party thereto and Harris Trust and Savings Bank (incorporated by reference to Exhibit No. 10.51 to our Registration Statement on Form S-1 filed with the SEC on January 26, 2001, File No. 333-94623).</w:t>
      </w:r>
    </w:p>
    <w:p>
      <w:pPr>
        <w:spacing w:after="0" w:line="151" w:lineRule="exact"/>
        <w:rPr>
          <w:sz w:val="20"/>
          <w:szCs w:val="20"/>
          <w:color w:val="auto"/>
        </w:rPr>
      </w:pPr>
    </w:p>
    <w:p>
      <w:pPr>
        <w:ind w:left="840" w:right="100" w:hanging="732"/>
        <w:spacing w:after="0" w:line="262" w:lineRule="auto"/>
        <w:tabs>
          <w:tab w:leader="none" w:pos="820" w:val="left"/>
        </w:tabs>
        <w:rPr>
          <w:sz w:val="20"/>
          <w:szCs w:val="20"/>
          <w:color w:val="auto"/>
        </w:rPr>
      </w:pPr>
      <w:r>
        <w:rPr>
          <w:rFonts w:ascii="Times New Roman" w:cs="Times New Roman" w:eastAsia="Times New Roman" w:hAnsi="Times New Roman"/>
          <w:sz w:val="18"/>
          <w:szCs w:val="18"/>
          <w:color w:val="auto"/>
        </w:rPr>
        <w:t>10.34</w:t>
      </w:r>
      <w:r>
        <w:rPr>
          <w:sz w:val="20"/>
          <w:szCs w:val="20"/>
          <w:color w:val="auto"/>
        </w:rPr>
        <w:tab/>
      </w:r>
      <w:r>
        <w:rPr>
          <w:rFonts w:ascii="Times New Roman" w:cs="Times New Roman" w:eastAsia="Times New Roman" w:hAnsi="Times New Roman"/>
          <w:sz w:val="18"/>
          <w:szCs w:val="18"/>
          <w:color w:val="auto"/>
        </w:rPr>
        <w:t>Fourth Amendment to Amended and Restated Credit Agreement, entered into as of March 15, 2002 between Alliance Data Systems Corporation, Loyalty Management Group Canada Inc., the Banks party thereto and Harris Trust and Savings Bank (incorporated by reference to Exhibit No. 10.33 to our Annual Report on Form 10-K, filed with the SEC on April 1, 2002, File No. 001-15749).</w:t>
      </w:r>
    </w:p>
    <w:p>
      <w:pPr>
        <w:spacing w:after="0" w:line="186" w:lineRule="exact"/>
        <w:rPr>
          <w:sz w:val="20"/>
          <w:szCs w:val="20"/>
          <w:color w:val="auto"/>
        </w:rPr>
      </w:pPr>
    </w:p>
    <w:p>
      <w:pPr>
        <w:ind w:left="840" w:right="140" w:hanging="732"/>
        <w:spacing w:after="0" w:line="258" w:lineRule="auto"/>
        <w:tabs>
          <w:tab w:leader="none" w:pos="820" w:val="left"/>
        </w:tabs>
        <w:rPr>
          <w:sz w:val="20"/>
          <w:szCs w:val="20"/>
          <w:color w:val="auto"/>
        </w:rPr>
      </w:pPr>
      <w:r>
        <w:rPr>
          <w:rFonts w:ascii="Times New Roman" w:cs="Times New Roman" w:eastAsia="Times New Roman" w:hAnsi="Times New Roman"/>
          <w:sz w:val="18"/>
          <w:szCs w:val="18"/>
          <w:color w:val="auto"/>
        </w:rPr>
        <w:t>10.35</w:t>
      </w:r>
      <w:r>
        <w:rPr>
          <w:sz w:val="20"/>
          <w:szCs w:val="20"/>
          <w:color w:val="auto"/>
        </w:rPr>
        <w:tab/>
      </w:r>
      <w:r>
        <w:rPr>
          <w:rFonts w:ascii="Times New Roman" w:cs="Times New Roman" w:eastAsia="Times New Roman" w:hAnsi="Times New Roman"/>
          <w:sz w:val="18"/>
          <w:szCs w:val="18"/>
          <w:color w:val="auto"/>
        </w:rPr>
        <w:t>Fifth Amendment to Amended and Restated Credit Agreement, entered into as of May 22, 2002, among the Company, Loyalty Management Group Canada, Inc., the banks party thereto and Harris Trust and Savings Bank as a bank and in its capacity as the administrative agent and collateral agent (incorporated by reference to Exhibit 10.1 to our Quarterly Report on Form 10-Q, filed with the SEC on August 9, 2002, File No. 001-15749).</w:t>
      </w:r>
    </w:p>
    <w:p>
      <w:pPr>
        <w:spacing w:after="0" w:line="190" w:lineRule="exact"/>
        <w:rPr>
          <w:sz w:val="20"/>
          <w:szCs w:val="20"/>
          <w:color w:val="auto"/>
        </w:rPr>
      </w:pPr>
    </w:p>
    <w:p>
      <w:pPr>
        <w:ind w:left="840" w:right="340" w:hanging="732"/>
        <w:spacing w:after="0" w:line="262" w:lineRule="auto"/>
        <w:tabs>
          <w:tab w:leader="none" w:pos="820" w:val="left"/>
        </w:tabs>
        <w:rPr>
          <w:sz w:val="20"/>
          <w:szCs w:val="20"/>
          <w:color w:val="auto"/>
        </w:rPr>
      </w:pPr>
      <w:r>
        <w:rPr>
          <w:rFonts w:ascii="Times New Roman" w:cs="Times New Roman" w:eastAsia="Times New Roman" w:hAnsi="Times New Roman"/>
          <w:sz w:val="18"/>
          <w:szCs w:val="18"/>
          <w:color w:val="auto"/>
        </w:rPr>
        <w:t>10.36</w:t>
      </w:r>
      <w:r>
        <w:rPr>
          <w:sz w:val="20"/>
          <w:szCs w:val="20"/>
          <w:color w:val="auto"/>
        </w:rPr>
        <w:tab/>
      </w:r>
      <w:r>
        <w:rPr>
          <w:rFonts w:ascii="Times New Roman" w:cs="Times New Roman" w:eastAsia="Times New Roman" w:hAnsi="Times New Roman"/>
          <w:sz w:val="18"/>
          <w:szCs w:val="18"/>
          <w:color w:val="auto"/>
        </w:rPr>
        <w:t>364-Day Credit Agreement, dated as of May 22, 2002, among the Company and Loyalty Management Group Canada, Inc., the guarantors party thereto, and the banks party thereto and Harris Trust and Savings Bank, as administrative agent (incorporated by reference to Exhibit 10.2 to our Quarterly Report on Form 10-Q, filed with the SEC on August 9, 2002, File No. 001-15749).</w:t>
      </w:r>
    </w:p>
    <w:p>
      <w:pPr>
        <w:spacing w:after="0" w:line="186" w:lineRule="exact"/>
        <w:rPr>
          <w:sz w:val="20"/>
          <w:szCs w:val="20"/>
          <w:color w:val="auto"/>
        </w:rPr>
      </w:pPr>
    </w:p>
    <w:p>
      <w:pPr>
        <w:ind w:left="840" w:right="280" w:hanging="831"/>
        <w:spacing w:after="0" w:line="275" w:lineRule="auto"/>
        <w:tabs>
          <w:tab w:leader="none" w:pos="820" w:val="left"/>
        </w:tabs>
        <w:rPr>
          <w:sz w:val="20"/>
          <w:szCs w:val="20"/>
          <w:color w:val="auto"/>
        </w:rPr>
      </w:pPr>
      <w:r>
        <w:rPr>
          <w:rFonts w:ascii="Times New Roman" w:cs="Times New Roman" w:eastAsia="Times New Roman" w:hAnsi="Times New Roman"/>
          <w:sz w:val="18"/>
          <w:szCs w:val="18"/>
          <w:color w:val="auto"/>
        </w:rPr>
        <w:t>+10.37</w:t>
      </w:r>
      <w:r>
        <w:rPr>
          <w:sz w:val="20"/>
          <w:szCs w:val="20"/>
          <w:color w:val="auto"/>
        </w:rPr>
        <w:tab/>
      </w:r>
      <w:r>
        <w:rPr>
          <w:rFonts w:ascii="Times New Roman" w:cs="Times New Roman" w:eastAsia="Times New Roman" w:hAnsi="Times New Roman"/>
          <w:sz w:val="18"/>
          <w:szCs w:val="18"/>
          <w:color w:val="auto"/>
        </w:rPr>
        <w:t>Supplier Agreement between Loyalty Management Group Canada and Air Canada dated as of April 24, 2000 (incorporated by reference to Exhibit No. 10.56 to our Registration Statement on Form S-1 filed with the SEC on May 4, 2001, File No. 333-94623).</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149860</wp:posOffset>
            </wp:positionV>
            <wp:extent cx="7250430" cy="215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left="840" w:right="20" w:hanging="732"/>
        <w:spacing w:after="0" w:line="258" w:lineRule="auto"/>
        <w:tabs>
          <w:tab w:leader="none" w:pos="820" w:val="left"/>
        </w:tabs>
        <w:rPr>
          <w:sz w:val="20"/>
          <w:szCs w:val="20"/>
          <w:color w:val="auto"/>
        </w:rPr>
      </w:pPr>
      <w:r>
        <w:rPr>
          <w:rFonts w:ascii="Times New Roman" w:cs="Times New Roman" w:eastAsia="Times New Roman" w:hAnsi="Times New Roman"/>
          <w:sz w:val="18"/>
          <w:szCs w:val="18"/>
          <w:color w:val="auto"/>
        </w:rPr>
        <w:t>10.38</w:t>
      </w:r>
      <w:r>
        <w:rPr>
          <w:sz w:val="20"/>
          <w:szCs w:val="20"/>
          <w:color w:val="auto"/>
        </w:rPr>
        <w:tab/>
      </w:r>
      <w:r>
        <w:rPr>
          <w:rFonts w:ascii="Times New Roman" w:cs="Times New Roman" w:eastAsia="Times New Roman" w:hAnsi="Times New Roman"/>
          <w:sz w:val="18"/>
          <w:szCs w:val="18"/>
          <w:color w:val="auto"/>
        </w:rPr>
        <w:t>Second Amended and Restated Pooling and Servicing Agreement, dated as of January 17, 1996 amended and restated as of September 17, 1999 and July, 2001 by and among WFN Credit Company, LLC, World Financial Network National Bank, and BNY Midwest Trust Company, World Financial Network Credit Card Master Trust (incorporated by reference to Exhibit No. 4.6 to the Registration Statement on Form S-3 of World Financial Network Credit Card Master Trust filed with the SEC on July 5, 2001, File No. 333-60418).</w:t>
      </w:r>
    </w:p>
    <w:p>
      <w:pPr>
        <w:spacing w:after="0" w:line="190" w:lineRule="exact"/>
        <w:rPr>
          <w:sz w:val="20"/>
          <w:szCs w:val="20"/>
          <w:color w:val="auto"/>
        </w:rPr>
      </w:pPr>
    </w:p>
    <w:p>
      <w:pPr>
        <w:ind w:left="840" w:hanging="732"/>
        <w:spacing w:after="0" w:line="262" w:lineRule="auto"/>
        <w:tabs>
          <w:tab w:leader="none" w:pos="820" w:val="left"/>
        </w:tabs>
        <w:rPr>
          <w:sz w:val="20"/>
          <w:szCs w:val="20"/>
          <w:color w:val="auto"/>
        </w:rPr>
      </w:pPr>
      <w:r>
        <w:rPr>
          <w:rFonts w:ascii="Times New Roman" w:cs="Times New Roman" w:eastAsia="Times New Roman" w:hAnsi="Times New Roman"/>
          <w:sz w:val="18"/>
          <w:szCs w:val="18"/>
          <w:color w:val="auto"/>
        </w:rPr>
        <w:t>10.39</w:t>
      </w:r>
      <w:r>
        <w:rPr>
          <w:sz w:val="20"/>
          <w:szCs w:val="20"/>
          <w:color w:val="auto"/>
        </w:rPr>
        <w:tab/>
      </w:r>
      <w:r>
        <w:rPr>
          <w:rFonts w:ascii="Times New Roman" w:cs="Times New Roman" w:eastAsia="Times New Roman" w:hAnsi="Times New Roman"/>
          <w:sz w:val="18"/>
          <w:szCs w:val="18"/>
          <w:color w:val="auto"/>
        </w:rPr>
        <w:t>Transfer and Servicing Agreement, dated as of August 1, 2001, between WFN Credit Company, LLC, World Financial Network National Bank, and World Financial Network Credit Card Master Note Trust (incorporated by reference to Exhibit No. 4.3 to the Registration Statement on Form S-3 of World Financial Network Credit Card Master Trust filed with the SEC on July 5, 2001, File No. 333-60418).</w:t>
      </w:r>
    </w:p>
    <w:p>
      <w:pPr>
        <w:spacing w:after="0" w:line="186" w:lineRule="exact"/>
        <w:rPr>
          <w:sz w:val="20"/>
          <w:szCs w:val="20"/>
          <w:color w:val="auto"/>
        </w:rPr>
      </w:pPr>
    </w:p>
    <w:p>
      <w:pPr>
        <w:ind w:left="840" w:right="140" w:hanging="732"/>
        <w:spacing w:after="0" w:line="262" w:lineRule="auto"/>
        <w:tabs>
          <w:tab w:leader="none" w:pos="820" w:val="left"/>
        </w:tabs>
        <w:rPr>
          <w:sz w:val="20"/>
          <w:szCs w:val="20"/>
          <w:color w:val="auto"/>
        </w:rPr>
      </w:pPr>
      <w:r>
        <w:rPr>
          <w:rFonts w:ascii="Times New Roman" w:cs="Times New Roman" w:eastAsia="Times New Roman" w:hAnsi="Times New Roman"/>
          <w:sz w:val="18"/>
          <w:szCs w:val="18"/>
          <w:color w:val="auto"/>
        </w:rPr>
        <w:t>10.40</w:t>
      </w:r>
      <w:r>
        <w:rPr>
          <w:sz w:val="20"/>
          <w:szCs w:val="20"/>
          <w:color w:val="auto"/>
        </w:rPr>
        <w:tab/>
      </w:r>
      <w:r>
        <w:rPr>
          <w:rFonts w:ascii="Times New Roman" w:cs="Times New Roman" w:eastAsia="Times New Roman" w:hAnsi="Times New Roman"/>
          <w:sz w:val="18"/>
          <w:szCs w:val="18"/>
          <w:color w:val="auto"/>
        </w:rPr>
        <w:t>Receivables Purchase Agreement, dated as of August 1, 2001, between World Financial Network National Bank and WFN Credit Company, LLC (incorporated by reference to Exhibit 4.8 to the Registration Statement on Form S-3 of World Financial Network Credit Card Master Trust filed with the SEC on July 5, 2001, File No. 333-60418).</w:t>
      </w:r>
    </w:p>
    <w:p>
      <w:pPr>
        <w:spacing w:after="0" w:line="186" w:lineRule="exact"/>
        <w:rPr>
          <w:sz w:val="20"/>
          <w:szCs w:val="20"/>
          <w:color w:val="auto"/>
        </w:rPr>
      </w:pPr>
    </w:p>
    <w:p>
      <w:pPr>
        <w:ind w:left="840" w:right="200" w:hanging="732"/>
        <w:spacing w:after="0" w:line="258" w:lineRule="auto"/>
        <w:tabs>
          <w:tab w:leader="none" w:pos="820" w:val="left"/>
        </w:tabs>
        <w:rPr>
          <w:sz w:val="20"/>
          <w:szCs w:val="20"/>
          <w:color w:val="auto"/>
        </w:rPr>
      </w:pPr>
      <w:r>
        <w:rPr>
          <w:rFonts w:ascii="Times New Roman" w:cs="Times New Roman" w:eastAsia="Times New Roman" w:hAnsi="Times New Roman"/>
          <w:sz w:val="18"/>
          <w:szCs w:val="18"/>
          <w:color w:val="auto"/>
        </w:rPr>
        <w:t>10.41</w:t>
      </w:r>
      <w:r>
        <w:rPr>
          <w:sz w:val="20"/>
          <w:szCs w:val="20"/>
          <w:color w:val="auto"/>
        </w:rPr>
        <w:tab/>
      </w:r>
      <w:r>
        <w:rPr>
          <w:rFonts w:ascii="Times New Roman" w:cs="Times New Roman" w:eastAsia="Times New Roman" w:hAnsi="Times New Roman"/>
          <w:sz w:val="18"/>
          <w:szCs w:val="18"/>
          <w:color w:val="auto"/>
        </w:rPr>
        <w:t>Master Indenture, dated as of August 1, 2001, between World Financial Network Credit Card Master Note Trust and BNY Midwest Trust Company, as supplemented by the Series 2001-A Indenture Supplement, the Series 2002-A Indenture Supplement and the Series 2002-VFN Supplement (incorporated by reference to Exhibit 4.1 to the Registration Statement on Form S-3 of World Financial Network Credit Card Master Trust filed with the SEC on July 5, 2001, File No. 333-60418.</w:t>
      </w:r>
    </w:p>
    <w:p>
      <w:pPr>
        <w:sectPr>
          <w:pgSz w:w="11900" w:h="16882" w:orient="portrait"/>
          <w:cols w:equalWidth="0" w:num="1">
            <w:col w:w="10880"/>
          </w:cols>
          <w:pgMar w:left="780" w:top="125" w:right="239" w:bottom="0" w:gutter="0" w:footer="0" w:header="0"/>
        </w:sectPr>
      </w:pPr>
    </w:p>
    <w:bookmarkStart w:id="28" w:name="page29"/>
    <w:bookmarkEnd w:id="28"/>
    <w:p>
      <w:pPr>
        <w:jc w:val="both"/>
        <w:ind w:left="1380" w:right="20" w:hanging="732"/>
        <w:spacing w:after="0" w:line="262" w:lineRule="auto"/>
        <w:tabs>
          <w:tab w:leader="none" w:pos="1360" w:val="left"/>
        </w:tabs>
        <w:rPr>
          <w:sz w:val="20"/>
          <w:szCs w:val="20"/>
          <w:color w:val="auto"/>
        </w:rPr>
      </w:pPr>
      <w:r>
        <w:rPr>
          <w:rFonts w:ascii="Times New Roman" w:cs="Times New Roman" w:eastAsia="Times New Roman" w:hAnsi="Times New Roman"/>
          <w:sz w:val="18"/>
          <w:szCs w:val="18"/>
          <w:color w:val="auto"/>
        </w:rPr>
        <w:t>10.42</w:t>
      </w:r>
      <w:r>
        <w:rPr>
          <w:sz w:val="20"/>
          <w:szCs w:val="20"/>
          <w:color w:val="auto"/>
        </w:rPr>
        <w:tab/>
      </w:r>
      <w:r>
        <w:rPr>
          <w:rFonts w:ascii="Times New Roman" w:cs="Times New Roman" w:eastAsia="Times New Roman" w:hAnsi="Times New Roman"/>
          <w:sz w:val="18"/>
          <w:szCs w:val="18"/>
          <w:color w:val="auto"/>
        </w:rPr>
        <w:t>Consumer Marketing Database Services Agreement among ADS Alliance Data Systems, Inc., Intimate Brands, Inc. and Limited Brands, Inc., dated as of September 1, 2000 (incorporated by reference to Exhibit No. 10.54 to the Registration Statement on Form S-1 filed with the SEC on February 16, 2001, File No. 333-94623).</w:t>
      </w:r>
    </w:p>
    <w:p>
      <w:pPr>
        <w:spacing w:after="0" w:line="186" w:lineRule="exact"/>
        <w:rPr>
          <w:sz w:val="20"/>
          <w:szCs w:val="20"/>
          <w:color w:val="auto"/>
        </w:rPr>
      </w:pPr>
    </w:p>
    <w:p>
      <w:pPr>
        <w:ind w:left="1380" w:hanging="732"/>
        <w:spacing w:after="0" w:line="310" w:lineRule="auto"/>
        <w:tabs>
          <w:tab w:leader="none" w:pos="1360" w:val="left"/>
        </w:tabs>
        <w:rPr>
          <w:sz w:val="20"/>
          <w:szCs w:val="20"/>
          <w:color w:val="auto"/>
        </w:rPr>
      </w:pPr>
      <w:r>
        <w:rPr>
          <w:rFonts w:ascii="Times New Roman" w:cs="Times New Roman" w:eastAsia="Times New Roman" w:hAnsi="Times New Roman"/>
          <w:sz w:val="18"/>
          <w:szCs w:val="18"/>
          <w:color w:val="auto"/>
        </w:rPr>
        <w:t>10.43</w:t>
      </w:r>
      <w:r>
        <w:rPr>
          <w:sz w:val="20"/>
          <w:szCs w:val="20"/>
          <w:color w:val="auto"/>
        </w:rPr>
        <w:tab/>
      </w:r>
      <w:r>
        <w:rPr>
          <w:rFonts w:ascii="Times New Roman" w:cs="Times New Roman" w:eastAsia="Times New Roman" w:hAnsi="Times New Roman"/>
          <w:sz w:val="16"/>
          <w:szCs w:val="16"/>
          <w:color w:val="auto"/>
        </w:rPr>
        <w:t>Form of 2001 Term Promissory Note, issued to ADS Alliance Data Systems, Inc. by J. Michael Parks, Michael A. Beltz, Edward J. Heffernan, Michael D. Kubic, Ivan M. Szeftel, and Dwayne H. Tucker as participants in the performance-based restricted stock plan (incorporated by reference to Exhibit 10.12 to our Quarterly Report on Form 10-Q filed with the SEC on November 12, 2002, File No. 001-15749).</w:t>
      </w:r>
    </w:p>
    <w:p>
      <w:pPr>
        <w:spacing w:after="0" w:line="151" w:lineRule="exact"/>
        <w:rPr>
          <w:sz w:val="20"/>
          <w:szCs w:val="20"/>
          <w:color w:val="auto"/>
        </w:rPr>
      </w:pPr>
    </w:p>
    <w:p>
      <w:pPr>
        <w:ind w:left="1380" w:hanging="732"/>
        <w:spacing w:after="0" w:line="258" w:lineRule="auto"/>
        <w:tabs>
          <w:tab w:leader="none" w:pos="1360" w:val="left"/>
        </w:tabs>
        <w:rPr>
          <w:sz w:val="20"/>
          <w:szCs w:val="20"/>
          <w:color w:val="auto"/>
        </w:rPr>
      </w:pPr>
      <w:r>
        <w:rPr>
          <w:rFonts w:ascii="Times New Roman" w:cs="Times New Roman" w:eastAsia="Times New Roman" w:hAnsi="Times New Roman"/>
          <w:sz w:val="18"/>
          <w:szCs w:val="18"/>
          <w:color w:val="auto"/>
        </w:rPr>
        <w:t>10.44</w:t>
      </w:r>
      <w:r>
        <w:rPr>
          <w:sz w:val="20"/>
          <w:szCs w:val="20"/>
          <w:color w:val="auto"/>
        </w:rPr>
        <w:tab/>
      </w:r>
      <w:r>
        <w:rPr>
          <w:rFonts w:ascii="Times New Roman" w:cs="Times New Roman" w:eastAsia="Times New Roman" w:hAnsi="Times New Roman"/>
          <w:sz w:val="18"/>
          <w:szCs w:val="18"/>
          <w:color w:val="auto"/>
        </w:rPr>
        <w:t>Form of 2002 Term Promissory Note, issued to ADS Alliance Data Systems, Inc. by J. Michael Parks, Michael A. Beltz, Edward J. Heffernan, Michael D. Kubic, Ivan M. Szeftel, Dwayne H. Tucker, and Alan M. Utay as participants in the performance-based restricted stock plan (incorporated by reference to Exhibit 10.13 to our Quarterly Report on Form 10-Q filed with the SEC on November 12, 2002, File No. 001-15749).</w:t>
      </w:r>
    </w:p>
    <w:p>
      <w:pPr>
        <w:spacing w:after="0" w:line="190" w:lineRule="exact"/>
        <w:rPr>
          <w:sz w:val="20"/>
          <w:szCs w:val="20"/>
          <w:color w:val="auto"/>
        </w:rPr>
      </w:pPr>
    </w:p>
    <w:p>
      <w:pPr>
        <w:ind w:left="1380" w:right="160" w:hanging="732"/>
        <w:spacing w:after="0" w:line="262" w:lineRule="auto"/>
        <w:tabs>
          <w:tab w:leader="none" w:pos="1360" w:val="left"/>
        </w:tabs>
        <w:rPr>
          <w:sz w:val="20"/>
          <w:szCs w:val="20"/>
          <w:color w:val="auto"/>
        </w:rPr>
      </w:pPr>
      <w:r>
        <w:rPr>
          <w:rFonts w:ascii="Times New Roman" w:cs="Times New Roman" w:eastAsia="Times New Roman" w:hAnsi="Times New Roman"/>
          <w:sz w:val="18"/>
          <w:szCs w:val="18"/>
          <w:color w:val="auto"/>
        </w:rPr>
        <w:t>10.45</w:t>
      </w:r>
      <w:r>
        <w:rPr>
          <w:sz w:val="20"/>
          <w:szCs w:val="20"/>
          <w:color w:val="auto"/>
        </w:rPr>
        <w:tab/>
      </w:r>
      <w:r>
        <w:rPr>
          <w:rFonts w:ascii="Times New Roman" w:cs="Times New Roman" w:eastAsia="Times New Roman" w:hAnsi="Times New Roman"/>
          <w:sz w:val="18"/>
          <w:szCs w:val="18"/>
          <w:color w:val="auto"/>
        </w:rPr>
        <w:t>Form of Term Promissory Note issued to Loyalty Management Group Canada, Inc. by John W. Scullion as a participant in the performance-based restricted stock plan (incorporated by reference to Exhibit 10.14 to our Quarterly Report on Form 10-Q filed with the SEC on November 12, 2002, File No. 001-15749).</w:t>
      </w:r>
    </w:p>
    <w:p>
      <w:pPr>
        <w:spacing w:after="0" w:line="186" w:lineRule="exact"/>
        <w:rPr>
          <w:sz w:val="20"/>
          <w:szCs w:val="20"/>
          <w:color w:val="auto"/>
        </w:rPr>
      </w:pPr>
    </w:p>
    <w:p>
      <w:pPr>
        <w:ind w:left="780"/>
        <w:spacing w:after="0"/>
        <w:tabs>
          <w:tab w:leader="none" w:pos="136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8"/>
          <w:szCs w:val="18"/>
          <w:color w:val="auto"/>
        </w:rPr>
        <w:t>Subsidiaries of the Registrant.</w:t>
      </w:r>
    </w:p>
    <w:p>
      <w:pPr>
        <w:spacing w:after="0" w:line="225" w:lineRule="exact"/>
        <w:rPr>
          <w:sz w:val="20"/>
          <w:szCs w:val="20"/>
          <w:color w:val="auto"/>
        </w:rPr>
      </w:pPr>
    </w:p>
    <w:p>
      <w:pPr>
        <w:ind w:left="640"/>
        <w:spacing w:after="0"/>
        <w:tabs>
          <w:tab w:leader="none" w:pos="1360" w:val="left"/>
        </w:tabs>
        <w:rPr>
          <w:sz w:val="20"/>
          <w:szCs w:val="20"/>
          <w:color w:val="auto"/>
        </w:rPr>
      </w:pPr>
      <w:r>
        <w:rPr>
          <w:rFonts w:ascii="Times New Roman" w:cs="Times New Roman" w:eastAsia="Times New Roman" w:hAnsi="Times New Roman"/>
          <w:sz w:val="18"/>
          <w:szCs w:val="18"/>
          <w:color w:val="auto"/>
        </w:rPr>
        <w:t>*23.1</w:t>
      </w:r>
      <w:r>
        <w:rPr>
          <w:sz w:val="20"/>
          <w:szCs w:val="20"/>
          <w:color w:val="auto"/>
        </w:rPr>
        <w:tab/>
      </w:r>
      <w:r>
        <w:rPr>
          <w:rFonts w:ascii="Times New Roman" w:cs="Times New Roman" w:eastAsia="Times New Roman" w:hAnsi="Times New Roman"/>
          <w:sz w:val="16"/>
          <w:szCs w:val="16"/>
          <w:color w:val="auto"/>
        </w:rPr>
        <w:t>Consent of Deloitte &amp; Touche LLP.</w:t>
      </w:r>
    </w:p>
    <w:p>
      <w:pPr>
        <w:spacing w:after="0" w:line="225" w:lineRule="exact"/>
        <w:rPr>
          <w:sz w:val="20"/>
          <w:szCs w:val="20"/>
          <w:color w:val="auto"/>
        </w:rPr>
      </w:pPr>
    </w:p>
    <w:p>
      <w:pPr>
        <w:ind w:left="780"/>
        <w:spacing w:after="0"/>
        <w:tabs>
          <w:tab w:leader="none" w:pos="1360" w:val="left"/>
        </w:tabs>
        <w:rPr>
          <w:sz w:val="20"/>
          <w:szCs w:val="20"/>
          <w:color w:val="auto"/>
        </w:rPr>
      </w:pPr>
      <w:r>
        <w:rPr>
          <w:rFonts w:ascii="Times New Roman" w:cs="Times New Roman" w:eastAsia="Times New Roman" w:hAnsi="Times New Roman"/>
          <w:sz w:val="18"/>
          <w:szCs w:val="18"/>
          <w:color w:val="auto"/>
        </w:rPr>
        <w:t>*24</w:t>
      </w:r>
      <w:r>
        <w:rPr>
          <w:sz w:val="20"/>
          <w:szCs w:val="20"/>
          <w:color w:val="auto"/>
        </w:rPr>
        <w:tab/>
      </w:r>
      <w:r>
        <w:rPr>
          <w:rFonts w:ascii="Times New Roman" w:cs="Times New Roman" w:eastAsia="Times New Roman" w:hAnsi="Times New Roman"/>
          <w:sz w:val="18"/>
          <w:szCs w:val="18"/>
          <w:color w:val="auto"/>
        </w:rPr>
        <w:t>Power of Attorney (included on the signature page hereto).</w:t>
      </w:r>
    </w:p>
    <w:p>
      <w:pPr>
        <w:spacing w:after="0" w:line="225" w:lineRule="exact"/>
        <w:rPr>
          <w:sz w:val="20"/>
          <w:szCs w:val="20"/>
          <w:color w:val="auto"/>
        </w:rPr>
      </w:pPr>
    </w:p>
    <w:p>
      <w:pPr>
        <w:ind w:left="640"/>
        <w:spacing w:after="0"/>
        <w:tabs>
          <w:tab w:leader="none" w:pos="136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6"/>
          <w:szCs w:val="16"/>
          <w:color w:val="auto"/>
        </w:rPr>
        <w:t>Certification of Chief Executive Officer of Alliance Data Systems Corporation.</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left="640"/>
        <w:spacing w:after="0"/>
        <w:tabs>
          <w:tab w:leader="none" w:pos="1360" w:val="left"/>
        </w:tabs>
        <w:rPr>
          <w:sz w:val="20"/>
          <w:szCs w:val="20"/>
          <w:color w:val="auto"/>
        </w:rPr>
      </w:pPr>
      <w:r>
        <w:rPr>
          <w:rFonts w:ascii="Times New Roman" w:cs="Times New Roman" w:eastAsia="Times New Roman" w:hAnsi="Times New Roman"/>
          <w:sz w:val="18"/>
          <w:szCs w:val="18"/>
          <w:color w:val="auto"/>
        </w:rPr>
        <w:t>*99.2</w:t>
      </w:r>
      <w:r>
        <w:rPr>
          <w:sz w:val="20"/>
          <w:szCs w:val="20"/>
          <w:color w:val="auto"/>
        </w:rPr>
        <w:tab/>
      </w:r>
      <w:r>
        <w:rPr>
          <w:rFonts w:ascii="Times New Roman" w:cs="Times New Roman" w:eastAsia="Times New Roman" w:hAnsi="Times New Roman"/>
          <w:sz w:val="16"/>
          <w:szCs w:val="16"/>
          <w:color w:val="auto"/>
        </w:rPr>
        <w:t>Certification of Chief Financial Officer of Alliance Data Systems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1050290" cy="215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367" w:lineRule="exact"/>
        <w:rPr>
          <w:sz w:val="20"/>
          <w:szCs w:val="20"/>
          <w:color w:val="auto"/>
        </w:rPr>
      </w:pPr>
    </w:p>
    <w:p>
      <w:pPr>
        <w:ind w:left="540" w:hanging="532"/>
        <w:spacing w:after="0"/>
        <w:tabs>
          <w:tab w:leader="none" w:pos="5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39" w:lineRule="exact"/>
        <w:rPr>
          <w:sz w:val="20"/>
          <w:szCs w:val="20"/>
          <w:color w:val="auto"/>
        </w:rPr>
      </w:pPr>
    </w:p>
    <w:p>
      <w:pPr>
        <w:ind w:left="540" w:hanging="532"/>
        <w:spacing w:after="0"/>
        <w:tabs>
          <w:tab w:leader="none" w:pos="5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Exhibit have been omitted and filed separately with the commission pursuant to a request for confidential treatment.</w:t>
      </w:r>
    </w:p>
    <w:p>
      <w:pPr>
        <w:spacing w:after="0" w:line="200" w:lineRule="exact"/>
        <w:rPr>
          <w:rFonts w:ascii="Times New Roman" w:cs="Times New Roman" w:eastAsia="Times New Roman" w:hAnsi="Times New Roman"/>
          <w:sz w:val="18"/>
          <w:szCs w:val="18"/>
          <w:color w:val="auto"/>
        </w:rPr>
      </w:pPr>
    </w:p>
    <w:p>
      <w:pPr>
        <w:spacing w:after="0" w:line="254"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Reports on Form 8-K for the quarter ended December 31, 2002</w:t>
      </w:r>
    </w:p>
    <w:p>
      <w:pPr>
        <w:spacing w:after="0" w:line="225" w:lineRule="exact"/>
        <w:rPr>
          <w:rFonts w:ascii="Times New Roman" w:cs="Times New Roman" w:eastAsia="Times New Roman" w:hAnsi="Times New Roman"/>
          <w:sz w:val="18"/>
          <w:szCs w:val="18"/>
          <w:color w:val="auto"/>
        </w:rPr>
      </w:pPr>
    </w:p>
    <w:p>
      <w:pPr>
        <w:ind w:left="10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filed the following Current Reports on Form 8-K during the fourth quarter of 2002:</w:t>
      </w:r>
    </w:p>
    <w:p>
      <w:pPr>
        <w:spacing w:after="0" w:line="252" w:lineRule="exact"/>
        <w:rPr>
          <w:rFonts w:ascii="Times New Roman" w:cs="Times New Roman" w:eastAsia="Times New Roman" w:hAnsi="Times New Roman"/>
          <w:sz w:val="18"/>
          <w:szCs w:val="18"/>
          <w:color w:val="auto"/>
        </w:rPr>
      </w:pPr>
    </w:p>
    <w:p>
      <w:pPr>
        <w:ind w:left="1620" w:right="60" w:hanging="532"/>
        <w:spacing w:after="0" w:line="275" w:lineRule="auto"/>
        <w:tabs>
          <w:tab w:leader="none" w:pos="1620" w:val="left"/>
        </w:tabs>
        <w:numPr>
          <w:ilvl w:val="2"/>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Report on Form 8-K filed on October 17, 2002, with respect to a press release we issued announcing earnings results for the third quarter ended September 30, 2002.</w:t>
      </w:r>
    </w:p>
    <w:p>
      <w:pPr>
        <w:spacing w:after="0" w:line="187" w:lineRule="exact"/>
        <w:rPr>
          <w:rFonts w:ascii="Times New Roman" w:cs="Times New Roman" w:eastAsia="Times New Roman" w:hAnsi="Times New Roman"/>
          <w:sz w:val="18"/>
          <w:szCs w:val="18"/>
          <w:color w:val="auto"/>
        </w:rPr>
      </w:pPr>
    </w:p>
    <w:p>
      <w:pPr>
        <w:ind w:left="1620" w:right="660" w:hanging="532"/>
        <w:spacing w:after="0" w:line="275" w:lineRule="auto"/>
        <w:tabs>
          <w:tab w:leader="none" w:pos="1620" w:val="left"/>
        </w:tabs>
        <w:numPr>
          <w:ilvl w:val="2"/>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Report on Form 8-K filed on November 11, 2002, with respect to a press release we issued announcing the closing of the $600.0 million asset backed note offering.</w:t>
      </w:r>
    </w:p>
    <w:p>
      <w:pPr>
        <w:spacing w:after="0" w:line="187" w:lineRule="exact"/>
        <w:rPr>
          <w:rFonts w:ascii="Times New Roman" w:cs="Times New Roman" w:eastAsia="Times New Roman" w:hAnsi="Times New Roman"/>
          <w:sz w:val="18"/>
          <w:szCs w:val="18"/>
          <w:color w:val="auto"/>
        </w:rPr>
      </w:pPr>
    </w:p>
    <w:p>
      <w:pPr>
        <w:ind w:left="1620" w:hanging="532"/>
        <w:spacing w:after="0"/>
        <w:tabs>
          <w:tab w:leader="none" w:pos="1620" w:val="left"/>
        </w:tabs>
        <w:numPr>
          <w:ilvl w:val="2"/>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Report on Form 8-K furnished pursuant to Item 9 on December 9, 2002.</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ALLIANCE DATA SYSTEMS CORPORATION</w:t>
      </w:r>
    </w:p>
    <w:p>
      <w:pPr>
        <w:spacing w:after="0" w:line="200" w:lineRule="exact"/>
        <w:rPr>
          <w:sz w:val="20"/>
          <w:szCs w:val="20"/>
          <w:color w:val="auto"/>
        </w:rPr>
      </w:pPr>
    </w:p>
    <w:p>
      <w:pPr>
        <w:spacing w:after="0" w:line="241" w:lineRule="exact"/>
        <w:rPr>
          <w:sz w:val="20"/>
          <w:szCs w:val="20"/>
          <w:color w:val="auto"/>
        </w:rPr>
      </w:pPr>
    </w:p>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ALLIANCE DATA SYSTEMS CORPORATION AND SUBSIDIARIES</w:t>
        </w:r>
      </w:hyperlink>
    </w:p>
    <w:p>
      <w:pPr>
        <w:spacing w:after="0" w:line="227"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30">
        <w:r>
          <w:rPr>
            <w:rFonts w:ascii="Times New Roman" w:cs="Times New Roman" w:eastAsia="Times New Roman" w:hAnsi="Times New Roman"/>
            <w:sz w:val="18"/>
            <w:szCs w:val="18"/>
            <w:u w:val="single" w:color="auto"/>
            <w:color w:val="0000EE"/>
          </w:rPr>
          <w:t>Independent Auditors' Report</w:t>
        </w:r>
      </w:hyperlink>
    </w:p>
    <w:p>
      <w:pPr>
        <w:spacing w:after="0" w:line="225"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30">
        <w:r>
          <w:rPr>
            <w:rFonts w:ascii="Times New Roman" w:cs="Times New Roman" w:eastAsia="Times New Roman" w:hAnsi="Times New Roman"/>
            <w:sz w:val="18"/>
            <w:szCs w:val="18"/>
            <w:u w:val="single" w:color="auto"/>
            <w:color w:val="0000EE"/>
          </w:rPr>
          <w:t>Consolidated Statements of Operations for each of the years ended December 31, 2000, 2001 and 2002</w:t>
        </w:r>
      </w:hyperlink>
    </w:p>
    <w:p>
      <w:pPr>
        <w:spacing w:after="0" w:line="225"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31">
        <w:r>
          <w:rPr>
            <w:rFonts w:ascii="Times New Roman" w:cs="Times New Roman" w:eastAsia="Times New Roman" w:hAnsi="Times New Roman"/>
            <w:sz w:val="18"/>
            <w:szCs w:val="18"/>
            <w:u w:val="single" w:color="auto"/>
            <w:color w:val="0000EE"/>
          </w:rPr>
          <w:t>Consolidated Balance Sheets as of December 31, 2001 and 2002</w:t>
        </w:r>
      </w:hyperlink>
    </w:p>
    <w:p>
      <w:pPr>
        <w:spacing w:after="0" w:line="225"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32">
        <w:r>
          <w:rPr>
            <w:rFonts w:ascii="Times New Roman" w:cs="Times New Roman" w:eastAsia="Times New Roman" w:hAnsi="Times New Roman"/>
            <w:sz w:val="18"/>
            <w:szCs w:val="18"/>
            <w:u w:val="single" w:color="auto"/>
            <w:color w:val="0000EE"/>
          </w:rPr>
          <w:t>Consolidated Statements of Stockholders' Equity for each of the years ended December 31, 2000, 2001 and 2002</w:t>
        </w:r>
      </w:hyperlink>
    </w:p>
    <w:p>
      <w:pPr>
        <w:spacing w:after="0" w:line="225"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33">
        <w:r>
          <w:rPr>
            <w:rFonts w:ascii="Times New Roman" w:cs="Times New Roman" w:eastAsia="Times New Roman" w:hAnsi="Times New Roman"/>
            <w:sz w:val="18"/>
            <w:szCs w:val="18"/>
            <w:u w:val="single" w:color="auto"/>
            <w:color w:val="0000EE"/>
          </w:rPr>
          <w:t>Consolidated Statements of Cash Flows for each of the years ended December 31, 2000, 2001 and 2002</w:t>
        </w:r>
      </w:hyperlink>
    </w:p>
    <w:p>
      <w:pPr>
        <w:spacing w:after="0" w:line="225"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34">
        <w:r>
          <w:rPr>
            <w:rFonts w:ascii="Times New Roman" w:cs="Times New Roman" w:eastAsia="Times New Roman" w:hAnsi="Times New Roman"/>
            <w:sz w:val="18"/>
            <w:szCs w:val="18"/>
            <w:u w:val="single" w:color="auto"/>
            <w:color w:val="0000EE"/>
          </w:rPr>
          <w:t>Notes to Consolidated Financial Statements</w:t>
        </w:r>
      </w:hyperlink>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F-1</w:t>
      </w:r>
    </w:p>
    <w:p>
      <w:pPr>
        <w:sectPr>
          <w:pgSz w:w="11900" w:h="16838" w:orient="portrait"/>
          <w:cols w:equalWidth="0" w:num="1">
            <w:col w:w="11360"/>
          </w:cols>
          <w:pgMar w:left="240" w:top="341" w:right="299" w:bottom="0" w:gutter="0" w:footer="0" w:header="0"/>
        </w:sectPr>
      </w:pPr>
    </w:p>
    <w:bookmarkStart w:id="29" w:name="page30"/>
    <w:bookmarkEnd w:id="29"/>
    <w:p>
      <w:pPr>
        <w:spacing w:after="0" w:line="1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50430" cy="1905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b w:val="1"/>
          <w:bCs w:val="1"/>
          <w:color w:val="auto"/>
        </w:rPr>
        <w:t>INDEPENDENT AUDITORS' REPORT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Alliance Data Systems Corporation</w:t>
      </w:r>
    </w:p>
    <w:p>
      <w:pPr>
        <w:spacing w:after="0" w:line="213" w:lineRule="exact"/>
        <w:rPr>
          <w:sz w:val="20"/>
          <w:szCs w:val="20"/>
          <w:color w:val="auto"/>
        </w:rPr>
      </w:pPr>
    </w:p>
    <w:p>
      <w:pPr>
        <w:ind w:firstLine="348"/>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Alliance Data Systems Corporation and subsidiaries (the "Company") as of December 31, 2001 and 2002, and the related consolidated statements of operations, stockholders' equity, and cash flows for each of the three years in the period ended December 31, 2002. Our audits also include the financial statement schedule listed in the Index at Item 15. These financial statements and the financial statement schedule are the responsibility of the Company's management. Our responsibility is to express an opinion on the financial statements and the financial statement schedule based on our audits.</w:t>
      </w:r>
    </w:p>
    <w:p>
      <w:pPr>
        <w:spacing w:after="0" w:line="193" w:lineRule="exact"/>
        <w:rPr>
          <w:sz w:val="20"/>
          <w:szCs w:val="20"/>
          <w:color w:val="auto"/>
        </w:rPr>
      </w:pPr>
    </w:p>
    <w:p>
      <w:pPr>
        <w:ind w:firstLine="348"/>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auditing standards generally accepted in the United States of America.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93" w:lineRule="exact"/>
        <w:rPr>
          <w:sz w:val="20"/>
          <w:szCs w:val="20"/>
          <w:color w:val="auto"/>
        </w:rPr>
      </w:pPr>
    </w:p>
    <w:p>
      <w:pPr>
        <w:ind w:firstLine="351"/>
        <w:spacing w:after="0" w:line="256" w:lineRule="auto"/>
        <w:rPr>
          <w:sz w:val="20"/>
          <w:szCs w:val="20"/>
          <w:color w:val="auto"/>
        </w:rPr>
      </w:pPr>
      <w:r>
        <w:rPr>
          <w:rFonts w:ascii="Times New Roman" w:cs="Times New Roman" w:eastAsia="Times New Roman" w:hAnsi="Times New Roman"/>
          <w:sz w:val="18"/>
          <w:szCs w:val="18"/>
          <w:color w:val="auto"/>
        </w:rPr>
        <w:t>In our opinion, such consolidated financial statements present fairly, in all material respects, the financial position of Alliance Data Systems Corporation and subsidiaries as of December 31, 2001 and 2002, and the results of their operations and their cash flows for each of the three years in the period ended December 31, 2002, in conformity with accounting principles generally accepted in the United States of America. Also, in our opinion, such financial statement schedule, when considered in relation to the basic consolidated financial statements taken as a whole, presents fairly in all material respects the information set forth therein.</w:t>
      </w:r>
    </w:p>
    <w:p>
      <w:pPr>
        <w:spacing w:after="0" w:line="193" w:lineRule="exact"/>
        <w:rPr>
          <w:sz w:val="20"/>
          <w:szCs w:val="20"/>
          <w:color w:val="auto"/>
        </w:rPr>
      </w:pPr>
    </w:p>
    <w:p>
      <w:pPr>
        <w:ind w:right="160" w:firstLine="341"/>
        <w:spacing w:after="0" w:line="262" w:lineRule="auto"/>
        <w:rPr>
          <w:sz w:val="20"/>
          <w:szCs w:val="20"/>
          <w:color w:val="auto"/>
        </w:rPr>
      </w:pPr>
      <w:r>
        <w:rPr>
          <w:rFonts w:ascii="Times New Roman" w:cs="Times New Roman" w:eastAsia="Times New Roman" w:hAnsi="Times New Roman"/>
          <w:sz w:val="18"/>
          <w:szCs w:val="18"/>
          <w:color w:val="auto"/>
        </w:rPr>
        <w:t>As discussed in Note 2 to the consolidated financial statements, in 2001 the Company changed its method of accounting for derivative instruments and hedging activities to conform to Statement of Financial Accounting Standards No. 133, as amended. Additionally, in 2002, the Company changed its method of accounting for goodwill and other intangible assets to conform to Statement of Financial Accounting Standards No. 142.</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Deloitte &amp; Touche LLP</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Dallas, Texas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28, 2003</w:t>
      </w:r>
    </w:p>
    <w:p>
      <w:pPr>
        <w:spacing w:after="0" w:line="2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ALLIANCE DATA SYSTEMS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6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2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w w:val="94"/>
              </w:rPr>
              <w:t>Year Ended December 31,</w:t>
            </w: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2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6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2000</w:t>
            </w: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2001</w:t>
            </w:r>
          </w:p>
        </w:tc>
        <w:tc>
          <w:tcPr>
            <w:tcW w:w="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2002</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2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Transaction and marketing services</w:t>
            </w:r>
          </w:p>
        </w:tc>
        <w:tc>
          <w:tcPr>
            <w:tcW w:w="26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415,792</w:t>
            </w: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482,223</w:t>
            </w:r>
          </w:p>
        </w:tc>
        <w:tc>
          <w:tcPr>
            <w:tcW w:w="200" w:type="dxa"/>
            <w:vAlign w:val="bottom"/>
          </w:tcPr>
          <w:p>
            <w:pPr>
              <w:spacing w:after="0"/>
              <w:rPr>
                <w:sz w:val="20"/>
                <w:szCs w:val="20"/>
                <w:color w:val="auto"/>
              </w:rPr>
            </w:pP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502,427</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2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Redemption</w:t>
            </w:r>
          </w:p>
        </w:tc>
        <w:tc>
          <w:tcPr>
            <w:tcW w:w="26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87,509</w:t>
            </w:r>
          </w:p>
        </w:tc>
        <w:tc>
          <w:tcPr>
            <w:tcW w:w="2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110,199</w:t>
            </w:r>
          </w:p>
        </w:tc>
        <w:tc>
          <w:tcPr>
            <w:tcW w:w="2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139,397</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Financing charges, net</w:t>
            </w:r>
          </w:p>
        </w:tc>
        <w:tc>
          <w:tcPr>
            <w:tcW w:w="26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156,349</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164,276</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200,130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2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income</w:t>
            </w:r>
          </w:p>
        </w:tc>
        <w:tc>
          <w:tcPr>
            <w:tcW w:w="26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18,545</w:t>
            </w:r>
          </w:p>
        </w:tc>
        <w:tc>
          <w:tcPr>
            <w:tcW w:w="2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20,653</w:t>
            </w:r>
          </w:p>
        </w:tc>
        <w:tc>
          <w:tcPr>
            <w:tcW w:w="2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29,497</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2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62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Total revenue</w:t>
            </w:r>
          </w:p>
        </w:tc>
        <w:tc>
          <w:tcPr>
            <w:tcW w:w="260" w:type="dxa"/>
            <w:vAlign w:val="bottom"/>
          </w:tcPr>
          <w:p>
            <w:pPr>
              <w:spacing w:after="0"/>
              <w:rPr>
                <w:sz w:val="24"/>
                <w:szCs w:val="24"/>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678,195</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777,351</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871,451</w:t>
            </w:r>
          </w:p>
        </w:tc>
        <w:tc>
          <w:tcPr>
            <w:tcW w:w="0" w:type="dxa"/>
            <w:vAlign w:val="bottom"/>
          </w:tcPr>
          <w:p>
            <w:pPr>
              <w:spacing w:after="0"/>
              <w:rPr>
                <w:sz w:val="1"/>
                <w:szCs w:val="1"/>
                <w:color w:val="auto"/>
              </w:rPr>
            </w:pPr>
          </w:p>
        </w:tc>
      </w:tr>
      <w:tr>
        <w:trPr>
          <w:trHeight w:val="29"/>
        </w:trPr>
        <w:tc>
          <w:tcPr>
            <w:tcW w:w="62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32"/>
        </w:trPr>
        <w:tc>
          <w:tcPr>
            <w:tcW w:w="20" w:type="dxa"/>
            <w:vAlign w:val="bottom"/>
          </w:tcPr>
          <w:p>
            <w:pPr>
              <w:spacing w:after="0"/>
              <w:rPr>
                <w:sz w:val="24"/>
                <w:szCs w:val="24"/>
                <w:color w:val="auto"/>
              </w:rPr>
            </w:pPr>
          </w:p>
        </w:tc>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Cost of operations</w:t>
            </w:r>
          </w:p>
        </w:tc>
        <w:tc>
          <w:tcPr>
            <w:tcW w:w="26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547,985</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603,493</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668,231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2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32,201</w:t>
            </w:r>
          </w:p>
        </w:tc>
        <w:tc>
          <w:tcPr>
            <w:tcW w:w="2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45,431</w:t>
            </w:r>
          </w:p>
        </w:tc>
        <w:tc>
          <w:tcPr>
            <w:tcW w:w="2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56,097</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 and other amortization</w:t>
            </w:r>
          </w:p>
        </w:tc>
        <w:tc>
          <w:tcPr>
            <w:tcW w:w="26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26,265</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30,698</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41,768</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2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Amortization of purchased intangibles</w:t>
            </w:r>
          </w:p>
        </w:tc>
        <w:tc>
          <w:tcPr>
            <w:tcW w:w="26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49,879</w:t>
            </w:r>
          </w:p>
        </w:tc>
        <w:tc>
          <w:tcPr>
            <w:tcW w:w="2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43,506</w:t>
            </w:r>
          </w:p>
        </w:tc>
        <w:tc>
          <w:tcPr>
            <w:tcW w:w="2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24,707</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2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62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60" w:type="dxa"/>
            <w:vAlign w:val="bottom"/>
          </w:tcPr>
          <w:p>
            <w:pPr>
              <w:spacing w:after="0"/>
              <w:rPr>
                <w:sz w:val="24"/>
                <w:szCs w:val="24"/>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656,330</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723,128</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790,803</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220" w:type="dxa"/>
            <w:vAlign w:val="bottom"/>
          </w:tcPr>
          <w:p>
            <w:pPr>
              <w:spacing w:after="0"/>
              <w:rPr>
                <w:sz w:val="12"/>
                <w:szCs w:val="12"/>
                <w:color w:val="auto"/>
              </w:rPr>
            </w:pPr>
          </w:p>
        </w:tc>
        <w:tc>
          <w:tcPr>
            <w:tcW w:w="260" w:type="dxa"/>
            <w:vAlign w:val="bottom"/>
            <w:tcBorders>
              <w:bottom w:val="single" w:sz="8" w:color="808080"/>
            </w:tcBorders>
          </w:tcPr>
          <w:p>
            <w:pPr>
              <w:spacing w:after="0"/>
              <w:rPr>
                <w:sz w:val="12"/>
                <w:szCs w:val="12"/>
                <w:color w:val="auto"/>
              </w:rPr>
            </w:pPr>
          </w:p>
        </w:tc>
        <w:tc>
          <w:tcPr>
            <w:tcW w:w="860" w:type="dxa"/>
            <w:vAlign w:val="bottom"/>
            <w:tcBorders>
              <w:bottom w:val="single" w:sz="8" w:color="808080"/>
            </w:tcBorders>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Borders>
              <w:bottom w:val="single" w:sz="8" w:color="808080"/>
            </w:tcBorders>
          </w:tcPr>
          <w:p>
            <w:pPr>
              <w:spacing w:after="0"/>
              <w:rPr>
                <w:sz w:val="12"/>
                <w:szCs w:val="12"/>
                <w:color w:val="auto"/>
              </w:rPr>
            </w:pPr>
          </w:p>
        </w:tc>
        <w:tc>
          <w:tcPr>
            <w:tcW w:w="860" w:type="dxa"/>
            <w:vAlign w:val="bottom"/>
            <w:tcBorders>
              <w:bottom w:val="single" w:sz="8" w:color="808080"/>
            </w:tcBorders>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Borders>
              <w:bottom w:val="single" w:sz="8" w:color="808080"/>
            </w:tcBorders>
          </w:tcPr>
          <w:p>
            <w:pPr>
              <w:spacing w:after="0"/>
              <w:rPr>
                <w:sz w:val="12"/>
                <w:szCs w:val="12"/>
                <w:color w:val="auto"/>
              </w:rPr>
            </w:pPr>
          </w:p>
        </w:tc>
        <w:tc>
          <w:tcPr>
            <w:tcW w:w="880" w:type="dxa"/>
            <w:vAlign w:val="bottom"/>
            <w:tcBorders>
              <w:bottom w:val="single" w:sz="8" w:color="808080"/>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21,865</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54,223</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80,648</w:t>
            </w:r>
          </w:p>
        </w:tc>
        <w:tc>
          <w:tcPr>
            <w:tcW w:w="0" w:type="dxa"/>
            <w:vAlign w:val="bottom"/>
          </w:tcPr>
          <w:p>
            <w:pPr>
              <w:spacing w:after="0"/>
              <w:rPr>
                <w:sz w:val="1"/>
                <w:szCs w:val="1"/>
                <w:color w:val="auto"/>
              </w:rPr>
            </w:pPr>
          </w:p>
        </w:tc>
      </w:tr>
      <w:tr>
        <w:trPr>
          <w:trHeight w:val="118"/>
        </w:trPr>
        <w:tc>
          <w:tcPr>
            <w:tcW w:w="6240" w:type="dxa"/>
            <w:vAlign w:val="bottom"/>
            <w:gridSpan w:val="2"/>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260" w:type="dxa"/>
            <w:vAlign w:val="bottom"/>
          </w:tcPr>
          <w:p>
            <w:pPr>
              <w:spacing w:after="0"/>
              <w:rPr>
                <w:sz w:val="24"/>
                <w:szCs w:val="24"/>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2,477</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loss on interest rate derivative</w:t>
            </w: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15,131</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12,017</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38,870</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30,097</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21,215</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62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20" w:type="dxa"/>
            <w:vAlign w:val="bottom"/>
            <w:gridSpan w:val="2"/>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before income taxes and extraordinary item</w:t>
            </w:r>
          </w:p>
        </w:tc>
        <w:tc>
          <w:tcPr>
            <w:tcW w:w="2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82"/>
              <w:spacing w:after="0"/>
              <w:rPr>
                <w:sz w:val="20"/>
                <w:szCs w:val="20"/>
                <w:color w:val="auto"/>
              </w:rPr>
            </w:pPr>
            <w:r>
              <w:rPr>
                <w:rFonts w:ascii="Times New Roman" w:cs="Times New Roman" w:eastAsia="Times New Roman" w:hAnsi="Times New Roman"/>
                <w:sz w:val="18"/>
                <w:szCs w:val="18"/>
                <w:color w:val="auto"/>
              </w:rPr>
              <w:t>(19,482)</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3,995</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47,416</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6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1,841</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11,612</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20,671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6374765</wp:posOffset>
            </wp:positionH>
            <wp:positionV relativeFrom="paragraph">
              <wp:posOffset>-3887470</wp:posOffset>
            </wp:positionV>
            <wp:extent cx="12700"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-3887470</wp:posOffset>
            </wp:positionV>
            <wp:extent cx="12700"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-3639185</wp:posOffset>
            </wp:positionV>
            <wp:extent cx="12700"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-3639185</wp:posOffset>
            </wp:positionV>
            <wp:extent cx="12700"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-3639185</wp:posOffset>
            </wp:positionV>
            <wp:extent cx="12700"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-3639185</wp:posOffset>
            </wp:positionV>
            <wp:extent cx="12700"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-3639185</wp:posOffset>
            </wp:positionV>
            <wp:extent cx="12700"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-3639185</wp:posOffset>
            </wp:positionV>
            <wp:extent cx="12700"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-2729865</wp:posOffset>
            </wp:positionV>
            <wp:extent cx="12700"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-2729865</wp:posOffset>
            </wp:positionV>
            <wp:extent cx="1270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-2729865</wp:posOffset>
            </wp:positionV>
            <wp:extent cx="12700"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-2729865</wp:posOffset>
            </wp:positionV>
            <wp:extent cx="12700"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-2729865</wp:posOffset>
            </wp:positionV>
            <wp:extent cx="12700"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-2729865</wp:posOffset>
            </wp:positionV>
            <wp:extent cx="12700"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-1529715</wp:posOffset>
            </wp:positionV>
            <wp:extent cx="12700"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-1529715</wp:posOffset>
            </wp:positionV>
            <wp:extent cx="12700"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-1529715</wp:posOffset>
            </wp:positionV>
            <wp:extent cx="12700"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-1529715</wp:posOffset>
            </wp:positionV>
            <wp:extent cx="12700"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-1529715</wp:posOffset>
            </wp:positionV>
            <wp:extent cx="12700"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-1529715</wp:posOffset>
            </wp:positionV>
            <wp:extent cx="12700"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-1220470</wp:posOffset>
            </wp:positionV>
            <wp:extent cx="12700"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-1220470</wp:posOffset>
            </wp:positionV>
            <wp:extent cx="12700"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-1220470</wp:posOffset>
            </wp:positionV>
            <wp:extent cx="12700"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-1220470</wp:posOffset>
            </wp:positionV>
            <wp:extent cx="12700"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-1220470</wp:posOffset>
            </wp:positionV>
            <wp:extent cx="12700"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-1220470</wp:posOffset>
            </wp:positionV>
            <wp:extent cx="12700"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-929005</wp:posOffset>
            </wp:positionV>
            <wp:extent cx="12700"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-929005</wp:posOffset>
            </wp:positionV>
            <wp:extent cx="12700"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-929005</wp:posOffset>
            </wp:positionV>
            <wp:extent cx="12700"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-929005</wp:posOffset>
            </wp:positionV>
            <wp:extent cx="12700"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-929005</wp:posOffset>
            </wp:positionV>
            <wp:extent cx="12700"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-929005</wp:posOffset>
            </wp:positionV>
            <wp:extent cx="12700"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-363220</wp:posOffset>
            </wp:positionV>
            <wp:extent cx="12700"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-363220</wp:posOffset>
            </wp:positionV>
            <wp:extent cx="12700"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-363220</wp:posOffset>
            </wp:positionV>
            <wp:extent cx="12700"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-363220</wp:posOffset>
            </wp:positionV>
            <wp:extent cx="12700"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-363220</wp:posOffset>
            </wp:positionV>
            <wp:extent cx="12700"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-363220</wp:posOffset>
            </wp:positionV>
            <wp:extent cx="12700"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56" w:orient="portrait"/>
          <w:cols w:equalWidth="0" w:num="1">
            <w:col w:w="11380"/>
          </w:cols>
          <w:pgMar w:left="240" w:top="582" w:right="279" w:bottom="0" w:gutter="0" w:footer="0" w:header="0"/>
        </w:sectPr>
      </w:pPr>
    </w:p>
    <w:bookmarkStart w:id="30" w:name="page31"/>
    <w:bookmarkEnd w:id="30"/>
    <w:p>
      <w:pPr>
        <w:spacing w:after="0" w:line="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4109085</wp:posOffset>
            </wp:positionH>
            <wp:positionV relativeFrom="page">
              <wp:posOffset>88900</wp:posOffset>
            </wp:positionV>
            <wp:extent cx="2430780" cy="1905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2430780" cy="1905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before extraordinary item</w:t>
            </w:r>
          </w:p>
        </w:tc>
        <w:tc>
          <w:tcPr>
            <w:tcW w:w="3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(21,323)</w:t>
            </w:r>
          </w:p>
        </w:tc>
        <w:tc>
          <w:tcPr>
            <w:tcW w:w="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(7,617)</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26,745</w:t>
            </w:r>
          </w:p>
        </w:tc>
        <w:tc>
          <w:tcPr>
            <w:tcW w:w="120" w:type="dxa"/>
            <w:vAlign w:val="bottom"/>
            <w:tcBorders>
              <w:left w:val="single" w:sz="8" w:color="CCEEFF"/>
            </w:tcBorders>
            <w:shd w:val="clear" w:color="auto" w:fill="CCEEFF"/>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Loss from extinguishment of debt, net</w:t>
            </w:r>
          </w:p>
        </w:tc>
        <w:tc>
          <w:tcPr>
            <w:tcW w:w="3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w w:val="92"/>
              </w:rPr>
              <w:t>(615)</w:t>
            </w:r>
          </w:p>
        </w:tc>
        <w:tc>
          <w:tcPr>
            <w:tcW w:w="160" w:type="dxa"/>
            <w:vAlign w:val="bottom"/>
          </w:tcPr>
          <w:p>
            <w:pPr>
              <w:spacing w:after="0"/>
              <w:rPr>
                <w:sz w:val="19"/>
                <w:szCs w:val="19"/>
                <w:color w:val="auto"/>
              </w:rPr>
            </w:pPr>
          </w:p>
        </w:tc>
        <w:tc>
          <w:tcPr>
            <w:tcW w:w="11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(542)</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920" w:type="dxa"/>
            <w:vAlign w:val="bottom"/>
          </w:tcPr>
          <w:p>
            <w:pPr>
              <w:spacing w:after="0"/>
              <w:rPr>
                <w:sz w:val="9"/>
                <w:szCs w:val="9"/>
                <w:color w:val="auto"/>
              </w:rPr>
            </w:pPr>
          </w:p>
        </w:tc>
        <w:tc>
          <w:tcPr>
            <w:tcW w:w="3300" w:type="dxa"/>
            <w:vAlign w:val="bottom"/>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920" w:type="dxa"/>
            <w:vAlign w:val="bottom"/>
          </w:tcPr>
          <w:p>
            <w:pPr>
              <w:spacing w:after="0"/>
              <w:rPr>
                <w:sz w:val="9"/>
                <w:szCs w:val="9"/>
                <w:color w:val="auto"/>
              </w:rPr>
            </w:pPr>
          </w:p>
        </w:tc>
        <w:tc>
          <w:tcPr>
            <w:tcW w:w="330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37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(21,323)</w:t>
            </w:r>
          </w:p>
        </w:tc>
        <w:tc>
          <w:tcPr>
            <w:tcW w:w="1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(8,232)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26,203</w:t>
            </w:r>
          </w:p>
        </w:tc>
        <w:tc>
          <w:tcPr>
            <w:tcW w:w="120" w:type="dxa"/>
            <w:vAlign w:val="bottom"/>
            <w:tcBorders>
              <w:left w:val="single" w:sz="8" w:color="CCEEFF"/>
            </w:tcBorders>
            <w:shd w:val="clear" w:color="auto" w:fill="CCEEFF"/>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6240" w:type="dxa"/>
            <w:vAlign w:val="bottom"/>
            <w:gridSpan w:val="3"/>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6240" w:type="dxa"/>
            <w:vAlign w:val="bottom"/>
            <w:gridSpan w:val="3"/>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360" w:type="dxa"/>
            <w:vAlign w:val="bottom"/>
            <w:tcBorders>
              <w:right w:val="single" w:sz="8" w:color="808080"/>
            </w:tcBorders>
            <w:shd w:val="clear" w:color="auto" w:fill="808080"/>
          </w:tcPr>
          <w:p>
            <w:pPr>
              <w:spacing w:after="0"/>
              <w:rPr>
                <w:sz w:val="5"/>
                <w:szCs w:val="5"/>
                <w:color w:val="auto"/>
              </w:rPr>
            </w:pPr>
          </w:p>
        </w:tc>
        <w:tc>
          <w:tcPr>
            <w:tcW w:w="340" w:type="dxa"/>
            <w:vAlign w:val="bottom"/>
            <w:tcBorders>
              <w:right w:val="single" w:sz="8" w:color="808080"/>
            </w:tcBorders>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Borders>
              <w:right w:val="single" w:sz="8" w:color="808080"/>
            </w:tcBorders>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720" w:type="dxa"/>
            <w:vAlign w:val="bottom"/>
            <w:tcBorders>
              <w:right w:val="single" w:sz="8" w:color="808080"/>
            </w:tcBorders>
            <w:shd w:val="clear" w:color="auto" w:fill="808080"/>
          </w:tcPr>
          <w:p>
            <w:pPr>
              <w:spacing w:after="0"/>
              <w:rPr>
                <w:sz w:val="5"/>
                <w:szCs w:val="5"/>
                <w:color w:val="auto"/>
              </w:rPr>
            </w:pPr>
          </w:p>
        </w:tc>
        <w:tc>
          <w:tcPr>
            <w:tcW w:w="200" w:type="dxa"/>
            <w:vAlign w:val="bottom"/>
            <w:tcBorders>
              <w:right w:val="single" w:sz="8" w:color="808080"/>
            </w:tcBorders>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20" w:type="dxa"/>
            <w:vAlign w:val="bottom"/>
            <w:tcBorders>
              <w:left w:val="single" w:sz="8" w:color="808080"/>
            </w:tcBorders>
          </w:tcPr>
          <w:p>
            <w:pPr>
              <w:spacing w:after="0"/>
              <w:rPr>
                <w:sz w:val="5"/>
                <w:szCs w:val="5"/>
                <w:color w:val="auto"/>
              </w:rPr>
            </w:pPr>
          </w:p>
        </w:tc>
        <w:tc>
          <w:tcPr>
            <w:tcW w:w="1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0"/>
        </w:trPr>
        <w:tc>
          <w:tcPr>
            <w:tcW w:w="6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Income (loss) per share before extraordinary item:</w:t>
            </w: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9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37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(0.60)</w:t>
            </w:r>
          </w:p>
        </w:tc>
        <w:tc>
          <w:tcPr>
            <w:tcW w:w="1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(0.17)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120" w:type="dxa"/>
            <w:vAlign w:val="bottom"/>
            <w:tcBorders>
              <w:left w:val="single" w:sz="8" w:color="CCEEFF"/>
            </w:tcBorders>
            <w:shd w:val="clear" w:color="auto" w:fill="CCEEFF"/>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920" w:type="dxa"/>
            <w:vAlign w:val="bottom"/>
          </w:tcPr>
          <w:p>
            <w:pPr>
              <w:spacing w:after="0"/>
              <w:rPr>
                <w:sz w:val="9"/>
                <w:szCs w:val="9"/>
                <w:color w:val="auto"/>
              </w:rPr>
            </w:pPr>
          </w:p>
        </w:tc>
        <w:tc>
          <w:tcPr>
            <w:tcW w:w="3740" w:type="dxa"/>
            <w:vAlign w:val="bottom"/>
            <w:gridSpan w:val="2"/>
          </w:tcPr>
          <w:p>
            <w:pPr>
              <w:spacing w:after="0"/>
              <w:rPr>
                <w:sz w:val="9"/>
                <w:szCs w:val="9"/>
                <w:color w:val="auto"/>
              </w:rPr>
            </w:pPr>
          </w:p>
        </w:tc>
        <w:tc>
          <w:tcPr>
            <w:tcW w:w="360" w:type="dxa"/>
            <w:vAlign w:val="bottom"/>
          </w:tcPr>
          <w:p>
            <w:pPr>
              <w:spacing w:after="0"/>
              <w:rPr>
                <w:sz w:val="9"/>
                <w:szCs w:val="9"/>
                <w:color w:val="auto"/>
              </w:rPr>
            </w:pPr>
          </w:p>
        </w:tc>
        <w:tc>
          <w:tcPr>
            <w:tcW w:w="500" w:type="dxa"/>
            <w:vAlign w:val="bottom"/>
            <w:gridSpan w:val="2"/>
          </w:tcPr>
          <w:p>
            <w:pPr>
              <w:spacing w:after="0"/>
              <w:rPr>
                <w:sz w:val="9"/>
                <w:szCs w:val="9"/>
                <w:color w:val="auto"/>
              </w:rPr>
            </w:pPr>
          </w:p>
        </w:tc>
        <w:tc>
          <w:tcPr>
            <w:tcW w:w="120" w:type="dxa"/>
            <w:vAlign w:val="bottom"/>
            <w:gridSpan w:val="2"/>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gridSpan w:val="2"/>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920" w:type="dxa"/>
            <w:vAlign w:val="bottom"/>
          </w:tcPr>
          <w:p>
            <w:pPr>
              <w:spacing w:after="0"/>
              <w:rPr>
                <w:sz w:val="5"/>
                <w:szCs w:val="5"/>
                <w:color w:val="auto"/>
              </w:rPr>
            </w:pPr>
          </w:p>
        </w:tc>
        <w:tc>
          <w:tcPr>
            <w:tcW w:w="3300" w:type="dxa"/>
            <w:vAlign w:val="bottom"/>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360" w:type="dxa"/>
            <w:vAlign w:val="bottom"/>
            <w:tcBorders>
              <w:right w:val="single" w:sz="8" w:color="808080"/>
            </w:tcBorders>
            <w:shd w:val="clear" w:color="auto" w:fill="808080"/>
          </w:tcPr>
          <w:p>
            <w:pPr>
              <w:spacing w:after="0"/>
              <w:rPr>
                <w:sz w:val="5"/>
                <w:szCs w:val="5"/>
                <w:color w:val="auto"/>
              </w:rPr>
            </w:pPr>
          </w:p>
        </w:tc>
        <w:tc>
          <w:tcPr>
            <w:tcW w:w="340" w:type="dxa"/>
            <w:vAlign w:val="bottom"/>
            <w:tcBorders>
              <w:right w:val="single" w:sz="8" w:color="808080"/>
            </w:tcBorders>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Borders>
              <w:right w:val="single" w:sz="8" w:color="808080"/>
            </w:tcBorders>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720" w:type="dxa"/>
            <w:vAlign w:val="bottom"/>
            <w:tcBorders>
              <w:right w:val="single" w:sz="8" w:color="808080"/>
            </w:tcBorders>
            <w:shd w:val="clear" w:color="auto" w:fill="808080"/>
          </w:tcPr>
          <w:p>
            <w:pPr>
              <w:spacing w:after="0"/>
              <w:rPr>
                <w:sz w:val="5"/>
                <w:szCs w:val="5"/>
                <w:color w:val="auto"/>
              </w:rPr>
            </w:pPr>
          </w:p>
        </w:tc>
        <w:tc>
          <w:tcPr>
            <w:tcW w:w="200" w:type="dxa"/>
            <w:vAlign w:val="bottom"/>
            <w:tcBorders>
              <w:right w:val="single" w:sz="8" w:color="808080"/>
            </w:tcBorders>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20" w:type="dxa"/>
            <w:vAlign w:val="bottom"/>
            <w:tcBorders>
              <w:left w:val="single" w:sz="8" w:color="808080"/>
            </w:tcBorders>
          </w:tcPr>
          <w:p>
            <w:pPr>
              <w:spacing w:after="0"/>
              <w:rPr>
                <w:sz w:val="5"/>
                <w:szCs w:val="5"/>
                <w:color w:val="auto"/>
              </w:rPr>
            </w:pPr>
          </w:p>
        </w:tc>
        <w:tc>
          <w:tcPr>
            <w:tcW w:w="1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2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37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(0.60)</w:t>
            </w:r>
          </w:p>
        </w:tc>
        <w:tc>
          <w:tcPr>
            <w:tcW w:w="1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(0.17)</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3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920" w:type="dxa"/>
            <w:vAlign w:val="bottom"/>
          </w:tcPr>
          <w:p>
            <w:pPr>
              <w:spacing w:after="0"/>
              <w:rPr>
                <w:sz w:val="5"/>
                <w:szCs w:val="5"/>
                <w:color w:val="auto"/>
              </w:rPr>
            </w:pPr>
          </w:p>
        </w:tc>
        <w:tc>
          <w:tcPr>
            <w:tcW w:w="3300" w:type="dxa"/>
            <w:vAlign w:val="bottom"/>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360" w:type="dxa"/>
            <w:vAlign w:val="bottom"/>
            <w:tcBorders>
              <w:right w:val="single" w:sz="8" w:color="808080"/>
            </w:tcBorders>
            <w:shd w:val="clear" w:color="auto" w:fill="808080"/>
          </w:tcPr>
          <w:p>
            <w:pPr>
              <w:spacing w:after="0"/>
              <w:rPr>
                <w:sz w:val="5"/>
                <w:szCs w:val="5"/>
                <w:color w:val="auto"/>
              </w:rPr>
            </w:pPr>
          </w:p>
        </w:tc>
        <w:tc>
          <w:tcPr>
            <w:tcW w:w="340" w:type="dxa"/>
            <w:vAlign w:val="bottom"/>
            <w:tcBorders>
              <w:right w:val="single" w:sz="8" w:color="808080"/>
            </w:tcBorders>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Borders>
              <w:right w:val="single" w:sz="8" w:color="808080"/>
            </w:tcBorders>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720" w:type="dxa"/>
            <w:vAlign w:val="bottom"/>
            <w:tcBorders>
              <w:right w:val="single" w:sz="8" w:color="808080"/>
            </w:tcBorders>
            <w:shd w:val="clear" w:color="auto" w:fill="808080"/>
          </w:tcPr>
          <w:p>
            <w:pPr>
              <w:spacing w:after="0"/>
              <w:rPr>
                <w:sz w:val="5"/>
                <w:szCs w:val="5"/>
                <w:color w:val="auto"/>
              </w:rPr>
            </w:pPr>
          </w:p>
        </w:tc>
        <w:tc>
          <w:tcPr>
            <w:tcW w:w="200" w:type="dxa"/>
            <w:vAlign w:val="bottom"/>
            <w:tcBorders>
              <w:right w:val="single" w:sz="8" w:color="808080"/>
            </w:tcBorders>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20" w:type="dxa"/>
            <w:vAlign w:val="bottom"/>
            <w:tcBorders>
              <w:left w:val="single" w:sz="8" w:color="808080"/>
            </w:tcBorders>
          </w:tcPr>
          <w:p>
            <w:pPr>
              <w:spacing w:after="0"/>
              <w:rPr>
                <w:sz w:val="5"/>
                <w:szCs w:val="5"/>
                <w:color w:val="auto"/>
              </w:rPr>
            </w:pPr>
          </w:p>
        </w:tc>
        <w:tc>
          <w:tcPr>
            <w:tcW w:w="1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920" w:type="dxa"/>
            <w:vAlign w:val="bottom"/>
          </w:tcPr>
          <w:p>
            <w:pPr>
              <w:spacing w:after="0"/>
              <w:rPr>
                <w:sz w:val="9"/>
                <w:szCs w:val="9"/>
                <w:color w:val="auto"/>
              </w:rPr>
            </w:pPr>
          </w:p>
        </w:tc>
        <w:tc>
          <w:tcPr>
            <w:tcW w:w="330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per share:</w:t>
            </w:r>
          </w:p>
        </w:tc>
        <w:tc>
          <w:tcPr>
            <w:tcW w:w="3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37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(0.60)</w:t>
            </w:r>
          </w:p>
        </w:tc>
        <w:tc>
          <w:tcPr>
            <w:tcW w:w="1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(0.18)</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920" w:type="dxa"/>
            <w:vAlign w:val="bottom"/>
          </w:tcPr>
          <w:p>
            <w:pPr>
              <w:spacing w:after="0"/>
              <w:rPr>
                <w:sz w:val="10"/>
                <w:szCs w:val="10"/>
                <w:color w:val="auto"/>
              </w:rPr>
            </w:pPr>
          </w:p>
        </w:tc>
        <w:tc>
          <w:tcPr>
            <w:tcW w:w="33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920" w:type="dxa"/>
            <w:vAlign w:val="bottom"/>
          </w:tcPr>
          <w:p>
            <w:pPr>
              <w:spacing w:after="0"/>
              <w:rPr>
                <w:sz w:val="5"/>
                <w:szCs w:val="5"/>
                <w:color w:val="auto"/>
              </w:rPr>
            </w:pPr>
          </w:p>
        </w:tc>
        <w:tc>
          <w:tcPr>
            <w:tcW w:w="3300" w:type="dxa"/>
            <w:vAlign w:val="bottom"/>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360" w:type="dxa"/>
            <w:vAlign w:val="bottom"/>
            <w:tcBorders>
              <w:right w:val="single" w:sz="8" w:color="808080"/>
            </w:tcBorders>
            <w:shd w:val="clear" w:color="auto" w:fill="808080"/>
          </w:tcPr>
          <w:p>
            <w:pPr>
              <w:spacing w:after="0"/>
              <w:rPr>
                <w:sz w:val="5"/>
                <w:szCs w:val="5"/>
                <w:color w:val="auto"/>
              </w:rPr>
            </w:pPr>
          </w:p>
        </w:tc>
        <w:tc>
          <w:tcPr>
            <w:tcW w:w="340" w:type="dxa"/>
            <w:vAlign w:val="bottom"/>
            <w:tcBorders>
              <w:right w:val="single" w:sz="8" w:color="808080"/>
            </w:tcBorders>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Borders>
              <w:right w:val="single" w:sz="8" w:color="808080"/>
            </w:tcBorders>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720" w:type="dxa"/>
            <w:vAlign w:val="bottom"/>
            <w:tcBorders>
              <w:right w:val="single" w:sz="8" w:color="808080"/>
            </w:tcBorders>
            <w:shd w:val="clear" w:color="auto" w:fill="808080"/>
          </w:tcPr>
          <w:p>
            <w:pPr>
              <w:spacing w:after="0"/>
              <w:rPr>
                <w:sz w:val="5"/>
                <w:szCs w:val="5"/>
                <w:color w:val="auto"/>
              </w:rPr>
            </w:pPr>
          </w:p>
        </w:tc>
        <w:tc>
          <w:tcPr>
            <w:tcW w:w="200" w:type="dxa"/>
            <w:vAlign w:val="bottom"/>
            <w:tcBorders>
              <w:right w:val="single" w:sz="8" w:color="808080"/>
            </w:tcBorders>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20" w:type="dxa"/>
            <w:vAlign w:val="bottom"/>
            <w:tcBorders>
              <w:left w:val="single" w:sz="8" w:color="808080"/>
            </w:tcBorders>
          </w:tcPr>
          <w:p>
            <w:pPr>
              <w:spacing w:after="0"/>
              <w:rPr>
                <w:sz w:val="5"/>
                <w:szCs w:val="5"/>
                <w:color w:val="auto"/>
              </w:rPr>
            </w:pPr>
          </w:p>
        </w:tc>
        <w:tc>
          <w:tcPr>
            <w:tcW w:w="1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920" w:type="dxa"/>
            <w:vAlign w:val="bottom"/>
          </w:tcPr>
          <w:p>
            <w:pPr>
              <w:spacing w:after="0"/>
              <w:rPr>
                <w:sz w:val="9"/>
                <w:szCs w:val="9"/>
                <w:color w:val="auto"/>
              </w:rPr>
            </w:pPr>
          </w:p>
        </w:tc>
        <w:tc>
          <w:tcPr>
            <w:tcW w:w="330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9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37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(0.60)</w:t>
            </w:r>
          </w:p>
        </w:tc>
        <w:tc>
          <w:tcPr>
            <w:tcW w:w="1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(0.18)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120" w:type="dxa"/>
            <w:vAlign w:val="bottom"/>
            <w:tcBorders>
              <w:left w:val="single" w:sz="8" w:color="CCEEFF"/>
            </w:tcBorders>
            <w:shd w:val="clear" w:color="auto" w:fill="CCEEFF"/>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5"/>
        </w:trPr>
        <w:tc>
          <w:tcPr>
            <w:tcW w:w="29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Weighted average shares:</w:t>
            </w:r>
          </w:p>
        </w:tc>
        <w:tc>
          <w:tcPr>
            <w:tcW w:w="330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940" w:type="dxa"/>
            <w:vAlign w:val="bottom"/>
            <w:gridSpan w:val="2"/>
            <w:vMerge w:val="continue"/>
          </w:tcPr>
          <w:p>
            <w:pPr>
              <w:spacing w:after="0"/>
              <w:rPr>
                <w:sz w:val="5"/>
                <w:szCs w:val="5"/>
                <w:color w:val="auto"/>
              </w:rPr>
            </w:pPr>
          </w:p>
        </w:tc>
        <w:tc>
          <w:tcPr>
            <w:tcW w:w="3300" w:type="dxa"/>
            <w:vAlign w:val="bottom"/>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360" w:type="dxa"/>
            <w:vAlign w:val="bottom"/>
            <w:tcBorders>
              <w:right w:val="single" w:sz="8" w:color="808080"/>
            </w:tcBorders>
            <w:shd w:val="clear" w:color="auto" w:fill="808080"/>
          </w:tcPr>
          <w:p>
            <w:pPr>
              <w:spacing w:after="0"/>
              <w:rPr>
                <w:sz w:val="5"/>
                <w:szCs w:val="5"/>
                <w:color w:val="auto"/>
              </w:rPr>
            </w:pPr>
          </w:p>
        </w:tc>
        <w:tc>
          <w:tcPr>
            <w:tcW w:w="340" w:type="dxa"/>
            <w:vAlign w:val="bottom"/>
            <w:tcBorders>
              <w:right w:val="single" w:sz="8" w:color="808080"/>
            </w:tcBorders>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Borders>
              <w:right w:val="single" w:sz="8" w:color="808080"/>
            </w:tcBorders>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720" w:type="dxa"/>
            <w:vAlign w:val="bottom"/>
            <w:tcBorders>
              <w:right w:val="single" w:sz="8" w:color="808080"/>
            </w:tcBorders>
            <w:shd w:val="clear" w:color="auto" w:fill="808080"/>
          </w:tcPr>
          <w:p>
            <w:pPr>
              <w:spacing w:after="0"/>
              <w:rPr>
                <w:sz w:val="5"/>
                <w:szCs w:val="5"/>
                <w:color w:val="auto"/>
              </w:rPr>
            </w:pPr>
          </w:p>
        </w:tc>
        <w:tc>
          <w:tcPr>
            <w:tcW w:w="200" w:type="dxa"/>
            <w:vAlign w:val="bottom"/>
            <w:tcBorders>
              <w:right w:val="single" w:sz="8" w:color="808080"/>
            </w:tcBorders>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20" w:type="dxa"/>
            <w:vAlign w:val="bottom"/>
            <w:tcBorders>
              <w:left w:val="single" w:sz="8" w:color="808080"/>
            </w:tcBorders>
          </w:tcPr>
          <w:p>
            <w:pPr>
              <w:spacing w:after="0"/>
              <w:rPr>
                <w:sz w:val="5"/>
                <w:szCs w:val="5"/>
                <w:color w:val="auto"/>
              </w:rPr>
            </w:pPr>
          </w:p>
        </w:tc>
        <w:tc>
          <w:tcPr>
            <w:tcW w:w="1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0"/>
        </w:trPr>
        <w:tc>
          <w:tcPr>
            <w:tcW w:w="2940" w:type="dxa"/>
            <w:vAlign w:val="bottom"/>
            <w:gridSpan w:val="2"/>
            <w:vMerge w:val="continue"/>
          </w:tcPr>
          <w:p>
            <w:pPr>
              <w:spacing w:after="0"/>
              <w:rPr>
                <w:sz w:val="24"/>
                <w:szCs w:val="24"/>
                <w:color w:val="auto"/>
              </w:rPr>
            </w:pPr>
          </w:p>
        </w:tc>
        <w:tc>
          <w:tcPr>
            <w:tcW w:w="3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9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33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7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47,538</w:t>
            </w:r>
          </w:p>
        </w:tc>
        <w:tc>
          <w:tcPr>
            <w:tcW w:w="160" w:type="dxa"/>
            <w:vAlign w:val="bottom"/>
            <w:shd w:val="clear" w:color="auto" w:fill="CCEEFF"/>
          </w:tcPr>
          <w:p>
            <w:pPr>
              <w:spacing w:after="0"/>
              <w:rPr>
                <w:sz w:val="21"/>
                <w:szCs w:val="21"/>
                <w:color w:val="auto"/>
              </w:rPr>
            </w:pPr>
          </w:p>
        </w:tc>
        <w:tc>
          <w:tcPr>
            <w:tcW w:w="4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64,555</w:t>
            </w: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74,422</w:t>
            </w:r>
          </w:p>
        </w:tc>
        <w:tc>
          <w:tcPr>
            <w:tcW w:w="120" w:type="dxa"/>
            <w:vAlign w:val="bottom"/>
            <w:tcBorders>
              <w:left w:val="single" w:sz="8" w:color="CCEEFF"/>
            </w:tcBorders>
            <w:shd w:val="clear" w:color="auto" w:fill="CCEEFF"/>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920" w:type="dxa"/>
            <w:vAlign w:val="bottom"/>
          </w:tcPr>
          <w:p>
            <w:pPr>
              <w:spacing w:after="0"/>
              <w:rPr>
                <w:sz w:val="9"/>
                <w:szCs w:val="9"/>
                <w:color w:val="auto"/>
              </w:rPr>
            </w:pPr>
          </w:p>
        </w:tc>
        <w:tc>
          <w:tcPr>
            <w:tcW w:w="330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920" w:type="dxa"/>
            <w:vAlign w:val="bottom"/>
          </w:tcPr>
          <w:p>
            <w:pPr>
              <w:spacing w:after="0"/>
              <w:rPr>
                <w:sz w:val="5"/>
                <w:szCs w:val="5"/>
                <w:color w:val="auto"/>
              </w:rPr>
            </w:pPr>
          </w:p>
        </w:tc>
        <w:tc>
          <w:tcPr>
            <w:tcW w:w="3300" w:type="dxa"/>
            <w:vAlign w:val="bottom"/>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360" w:type="dxa"/>
            <w:vAlign w:val="bottom"/>
            <w:tcBorders>
              <w:right w:val="single" w:sz="8" w:color="808080"/>
            </w:tcBorders>
            <w:shd w:val="clear" w:color="auto" w:fill="808080"/>
          </w:tcPr>
          <w:p>
            <w:pPr>
              <w:spacing w:after="0"/>
              <w:rPr>
                <w:sz w:val="5"/>
                <w:szCs w:val="5"/>
                <w:color w:val="auto"/>
              </w:rPr>
            </w:pPr>
          </w:p>
        </w:tc>
        <w:tc>
          <w:tcPr>
            <w:tcW w:w="340" w:type="dxa"/>
            <w:vAlign w:val="bottom"/>
            <w:tcBorders>
              <w:right w:val="single" w:sz="8" w:color="808080"/>
            </w:tcBorders>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Borders>
              <w:right w:val="single" w:sz="8" w:color="808080"/>
            </w:tcBorders>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720" w:type="dxa"/>
            <w:vAlign w:val="bottom"/>
            <w:tcBorders>
              <w:right w:val="single" w:sz="8" w:color="808080"/>
            </w:tcBorders>
            <w:shd w:val="clear" w:color="auto" w:fill="808080"/>
          </w:tcPr>
          <w:p>
            <w:pPr>
              <w:spacing w:after="0"/>
              <w:rPr>
                <w:sz w:val="5"/>
                <w:szCs w:val="5"/>
                <w:color w:val="auto"/>
              </w:rPr>
            </w:pPr>
          </w:p>
        </w:tc>
        <w:tc>
          <w:tcPr>
            <w:tcW w:w="200" w:type="dxa"/>
            <w:vAlign w:val="bottom"/>
            <w:tcBorders>
              <w:right w:val="single" w:sz="8" w:color="808080"/>
            </w:tcBorders>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20" w:type="dxa"/>
            <w:vAlign w:val="bottom"/>
            <w:tcBorders>
              <w:left w:val="single" w:sz="8" w:color="808080"/>
            </w:tcBorders>
          </w:tcPr>
          <w:p>
            <w:pPr>
              <w:spacing w:after="0"/>
              <w:rPr>
                <w:sz w:val="5"/>
                <w:szCs w:val="5"/>
                <w:color w:val="auto"/>
              </w:rPr>
            </w:pPr>
          </w:p>
        </w:tc>
        <w:tc>
          <w:tcPr>
            <w:tcW w:w="1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2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3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47,538</w:t>
            </w: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64,555</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76,696</w:t>
            </w: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4100" w:type="dxa"/>
            <w:vAlign w:val="bottom"/>
            <w:gridSpan w:val="3"/>
          </w:tcPr>
          <w:p>
            <w:pPr>
              <w:spacing w:after="0"/>
              <w:rPr>
                <w:sz w:val="11"/>
                <w:szCs w:val="11"/>
                <w:color w:val="auto"/>
              </w:rPr>
            </w:pPr>
          </w:p>
        </w:tc>
        <w:tc>
          <w:tcPr>
            <w:tcW w:w="1340" w:type="dxa"/>
            <w:vAlign w:val="bottom"/>
            <w:gridSpan w:val="5"/>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920" w:type="dxa"/>
            <w:vAlign w:val="bottom"/>
          </w:tcPr>
          <w:p>
            <w:pPr>
              <w:spacing w:after="0"/>
              <w:rPr>
                <w:sz w:val="5"/>
                <w:szCs w:val="5"/>
                <w:color w:val="auto"/>
              </w:rPr>
            </w:pPr>
          </w:p>
        </w:tc>
        <w:tc>
          <w:tcPr>
            <w:tcW w:w="3300" w:type="dxa"/>
            <w:vAlign w:val="bottom"/>
          </w:tcPr>
          <w:p>
            <w:pPr>
              <w:spacing w:after="0"/>
              <w:rPr>
                <w:sz w:val="5"/>
                <w:szCs w:val="5"/>
                <w:color w:val="auto"/>
              </w:rPr>
            </w:pPr>
          </w:p>
        </w:tc>
        <w:tc>
          <w:tcPr>
            <w:tcW w:w="800" w:type="dxa"/>
            <w:vAlign w:val="bottom"/>
            <w:tcBorders>
              <w:right w:val="single" w:sz="8" w:color="808080"/>
            </w:tcBorders>
            <w:gridSpan w:val="2"/>
            <w:shd w:val="clear" w:color="auto" w:fill="808080"/>
          </w:tcPr>
          <w:p>
            <w:pPr>
              <w:spacing w:after="0"/>
              <w:rPr>
                <w:sz w:val="5"/>
                <w:szCs w:val="5"/>
                <w:color w:val="auto"/>
              </w:rPr>
            </w:pPr>
          </w:p>
        </w:tc>
        <w:tc>
          <w:tcPr>
            <w:tcW w:w="340" w:type="dxa"/>
            <w:vAlign w:val="bottom"/>
            <w:tcBorders>
              <w:right w:val="single" w:sz="8" w:color="808080"/>
            </w:tcBorders>
            <w:shd w:val="clear" w:color="auto" w:fill="808080"/>
          </w:tcPr>
          <w:p>
            <w:pPr>
              <w:spacing w:after="0"/>
              <w:rPr>
                <w:sz w:val="5"/>
                <w:szCs w:val="5"/>
                <w:color w:val="auto"/>
              </w:rPr>
            </w:pPr>
          </w:p>
        </w:tc>
        <w:tc>
          <w:tcPr>
            <w:tcW w:w="200" w:type="dxa"/>
            <w:vAlign w:val="bottom"/>
            <w:tcBorders>
              <w:right w:val="single" w:sz="8" w:color="808080"/>
            </w:tcBorders>
            <w:gridSpan w:val="2"/>
          </w:tcPr>
          <w:p>
            <w:pPr>
              <w:spacing w:after="0"/>
              <w:rPr>
                <w:sz w:val="5"/>
                <w:szCs w:val="5"/>
                <w:color w:val="auto"/>
              </w:rPr>
            </w:pPr>
          </w:p>
        </w:tc>
        <w:tc>
          <w:tcPr>
            <w:tcW w:w="800" w:type="dxa"/>
            <w:vAlign w:val="bottom"/>
            <w:tcBorders>
              <w:right w:val="single" w:sz="8" w:color="808080"/>
            </w:tcBorders>
            <w:gridSpan w:val="2"/>
            <w:shd w:val="clear" w:color="auto" w:fill="808080"/>
          </w:tcPr>
          <w:p>
            <w:pPr>
              <w:spacing w:after="0"/>
              <w:rPr>
                <w:sz w:val="5"/>
                <w:szCs w:val="5"/>
                <w:color w:val="auto"/>
              </w:rPr>
            </w:pPr>
          </w:p>
        </w:tc>
        <w:tc>
          <w:tcPr>
            <w:tcW w:w="200" w:type="dxa"/>
            <w:vAlign w:val="bottom"/>
            <w:tcBorders>
              <w:right w:val="single" w:sz="8" w:color="808080"/>
            </w:tcBorders>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20" w:type="dxa"/>
            <w:vAlign w:val="bottom"/>
            <w:tcBorders>
              <w:left w:val="single" w:sz="8" w:color="808080"/>
            </w:tcBorders>
          </w:tcPr>
          <w:p>
            <w:pPr>
              <w:spacing w:after="0"/>
              <w:rPr>
                <w:sz w:val="5"/>
                <w:szCs w:val="5"/>
                <w:color w:val="auto"/>
              </w:rPr>
            </w:pPr>
          </w:p>
        </w:tc>
        <w:tc>
          <w:tcPr>
            <w:tcW w:w="1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5440" w:type="dxa"/>
            <w:vAlign w:val="bottom"/>
            <w:gridSpan w:val="8"/>
          </w:tcPr>
          <w:p>
            <w:pPr>
              <w:jc w:val="right"/>
              <w:ind w:right="413"/>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3740" w:type="dxa"/>
            <w:vAlign w:val="bottom"/>
            <w:gridSpan w:val="2"/>
          </w:tcPr>
          <w:p>
            <w:pPr>
              <w:jc w:val="center"/>
              <w:ind w:left="1732"/>
              <w:spacing w:after="0"/>
              <w:rPr>
                <w:sz w:val="20"/>
                <w:szCs w:val="20"/>
                <w:color w:val="auto"/>
              </w:rPr>
            </w:pPr>
            <w:r>
              <w:rPr>
                <w:rFonts w:ascii="Times New Roman" w:cs="Times New Roman" w:eastAsia="Times New Roman" w:hAnsi="Times New Roman"/>
                <w:sz w:val="18"/>
                <w:szCs w:val="18"/>
                <w:color w:val="auto"/>
                <w:w w:val="95"/>
              </w:rPr>
              <w:t>F-3</w:t>
            </w: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920" w:type="dxa"/>
            <w:vAlign w:val="bottom"/>
            <w:tcBorders>
              <w:bottom w:val="single" w:sz="8" w:color="808080"/>
            </w:tcBorders>
          </w:tcPr>
          <w:p>
            <w:pPr>
              <w:spacing w:after="0"/>
              <w:rPr>
                <w:sz w:val="19"/>
                <w:szCs w:val="19"/>
                <w:color w:val="auto"/>
              </w:rPr>
            </w:pPr>
          </w:p>
        </w:tc>
        <w:tc>
          <w:tcPr>
            <w:tcW w:w="4100" w:type="dxa"/>
            <w:vAlign w:val="bottom"/>
            <w:tcBorders>
              <w:bottom w:val="single" w:sz="8" w:color="808080"/>
            </w:tcBorders>
            <w:gridSpan w:val="3"/>
          </w:tcPr>
          <w:p>
            <w:pPr>
              <w:spacing w:after="0"/>
              <w:rPr>
                <w:sz w:val="19"/>
                <w:szCs w:val="19"/>
                <w:color w:val="auto"/>
              </w:rPr>
            </w:pPr>
          </w:p>
        </w:tc>
        <w:tc>
          <w:tcPr>
            <w:tcW w:w="500" w:type="dxa"/>
            <w:vAlign w:val="bottom"/>
            <w:tcBorders>
              <w:bottom w:val="single" w:sz="8" w:color="808080"/>
            </w:tcBorders>
            <w:gridSpan w:val="2"/>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2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643"/>
        </w:trPr>
        <w:tc>
          <w:tcPr>
            <w:tcW w:w="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4600" w:type="dxa"/>
            <w:vAlign w:val="bottom"/>
            <w:gridSpan w:val="5"/>
          </w:tcPr>
          <w:p>
            <w:pPr>
              <w:jc w:val="center"/>
              <w:ind w:left="812"/>
              <w:spacing w:after="0"/>
              <w:rPr>
                <w:sz w:val="20"/>
                <w:szCs w:val="20"/>
                <w:color w:val="auto"/>
              </w:rPr>
            </w:pPr>
            <w:r>
              <w:rPr>
                <w:rFonts w:ascii="Times New Roman" w:cs="Times New Roman" w:eastAsia="Times New Roman" w:hAnsi="Times New Roman"/>
                <w:sz w:val="18"/>
                <w:szCs w:val="18"/>
                <w:b w:val="1"/>
                <w:bCs w:val="1"/>
                <w:color w:val="auto"/>
                <w:w w:val="96"/>
              </w:rPr>
              <w:t>ALLIANCE DATA SYSTEMS CORPORATION</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4600" w:type="dxa"/>
            <w:vAlign w:val="bottom"/>
            <w:gridSpan w:val="5"/>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4600" w:type="dxa"/>
            <w:vAlign w:val="bottom"/>
            <w:gridSpan w:val="5"/>
          </w:tcPr>
          <w:p>
            <w:pPr>
              <w:jc w:val="center"/>
              <w:ind w:left="812"/>
              <w:spacing w:after="0"/>
              <w:rPr>
                <w:sz w:val="20"/>
                <w:szCs w:val="20"/>
                <w:color w:val="auto"/>
              </w:rPr>
            </w:pPr>
            <w:r>
              <w:rPr>
                <w:rFonts w:ascii="Times New Roman" w:cs="Times New Roman" w:eastAsia="Times New Roman" w:hAnsi="Times New Roman"/>
                <w:sz w:val="18"/>
                <w:szCs w:val="18"/>
                <w:b w:val="1"/>
                <w:bCs w:val="1"/>
                <w:color w:val="auto"/>
                <w:w w:val="97"/>
              </w:rPr>
              <w:t>(in thousands, except per share amounts)</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920" w:type="dxa"/>
            <w:vAlign w:val="bottom"/>
          </w:tcPr>
          <w:p>
            <w:pPr>
              <w:spacing w:after="0"/>
              <w:rPr>
                <w:sz w:val="9"/>
                <w:szCs w:val="9"/>
                <w:color w:val="auto"/>
              </w:rPr>
            </w:pPr>
          </w:p>
        </w:tc>
        <w:tc>
          <w:tcPr>
            <w:tcW w:w="330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gridSpan w:val="3"/>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2920" w:type="dxa"/>
            <w:vAlign w:val="bottom"/>
          </w:tcPr>
          <w:p>
            <w:pPr>
              <w:spacing w:after="0"/>
              <w:rPr>
                <w:sz w:val="23"/>
                <w:szCs w:val="23"/>
                <w:color w:val="auto"/>
              </w:rPr>
            </w:pPr>
          </w:p>
        </w:tc>
        <w:tc>
          <w:tcPr>
            <w:tcW w:w="33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2001</w:t>
            </w: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2002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920" w:type="dxa"/>
            <w:vAlign w:val="bottom"/>
          </w:tcPr>
          <w:p>
            <w:pPr>
              <w:spacing w:after="0"/>
              <w:rPr>
                <w:sz w:val="9"/>
                <w:szCs w:val="9"/>
                <w:color w:val="auto"/>
              </w:rPr>
            </w:pPr>
          </w:p>
        </w:tc>
        <w:tc>
          <w:tcPr>
            <w:tcW w:w="3740" w:type="dxa"/>
            <w:vAlign w:val="bottom"/>
            <w:gridSpan w:val="2"/>
          </w:tcPr>
          <w:p>
            <w:pPr>
              <w:spacing w:after="0"/>
              <w:rPr>
                <w:sz w:val="9"/>
                <w:szCs w:val="9"/>
                <w:color w:val="auto"/>
              </w:rPr>
            </w:pPr>
          </w:p>
        </w:tc>
        <w:tc>
          <w:tcPr>
            <w:tcW w:w="36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920" w:type="dxa"/>
            <w:vAlign w:val="bottom"/>
          </w:tcPr>
          <w:p>
            <w:pPr>
              <w:spacing w:after="0"/>
              <w:rPr>
                <w:sz w:val="9"/>
                <w:szCs w:val="9"/>
                <w:color w:val="auto"/>
              </w:rPr>
            </w:pPr>
          </w:p>
        </w:tc>
        <w:tc>
          <w:tcPr>
            <w:tcW w:w="330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3740" w:type="dxa"/>
            <w:vAlign w:val="bottom"/>
            <w:gridSpan w:val="2"/>
            <w:shd w:val="clear" w:color="auto" w:fill="CCEEFF"/>
          </w:tcPr>
          <w:p>
            <w:pPr>
              <w:jc w:val="right"/>
              <w:ind w:right="138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60" w:type="dxa"/>
            <w:vAlign w:val="bottom"/>
            <w:tcBorders>
              <w:right w:val="single" w:sz="8" w:color="CCEEFF"/>
            </w:tcBorders>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gridSpan w:val="2"/>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117,535</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30,439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from card associations</w:t>
            </w:r>
          </w:p>
        </w:tc>
        <w:tc>
          <w:tcPr>
            <w:tcW w:w="3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46,554</w:t>
            </w: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27,294</w:t>
            </w:r>
          </w:p>
        </w:tc>
        <w:tc>
          <w:tcPr>
            <w:tcW w:w="100" w:type="dxa"/>
            <w:vAlign w:val="bottom"/>
            <w:shd w:val="clear" w:color="auto" w:fill="CCEEFF"/>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60" w:type="dxa"/>
            <w:vAlign w:val="bottom"/>
            <w:gridSpan w:val="3"/>
          </w:tcPr>
          <w:p>
            <w:pPr>
              <w:spacing w:after="0" w:line="201" w:lineRule="exact"/>
              <w:rPr>
                <w:sz w:val="20"/>
                <w:szCs w:val="20"/>
                <w:color w:val="auto"/>
              </w:rPr>
            </w:pPr>
            <w:r>
              <w:rPr>
                <w:rFonts w:ascii="Times New Roman" w:cs="Times New Roman" w:eastAsia="Times New Roman" w:hAnsi="Times New Roman"/>
                <w:sz w:val="18"/>
                <w:szCs w:val="18"/>
                <w:color w:val="auto"/>
                <w:w w:val="99"/>
              </w:rPr>
              <w:t>Trade receivables, less allowance for doubtful accounts ($1,423 and $2,255 at December 31,</w:t>
            </w: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2001 and 2002, respectively)</w:t>
            </w:r>
          </w:p>
        </w:tc>
        <w:tc>
          <w:tcPr>
            <w:tcW w:w="3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88,444</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89,097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660" w:type="dxa"/>
            <w:vAlign w:val="bottom"/>
            <w:gridSpan w:val="3"/>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w w:val="99"/>
              </w:rPr>
              <w:t>Seller's interest and credit card receivables, less allowance for doubtful accounts ($4,766 and</w:t>
            </w:r>
          </w:p>
        </w:tc>
        <w:tc>
          <w:tcPr>
            <w:tcW w:w="360" w:type="dxa"/>
            <w:vAlign w:val="bottom"/>
            <w:tcBorders>
              <w:right w:val="single" w:sz="8" w:color="CCEEFF"/>
            </w:tcBorders>
            <w:shd w:val="clear" w:color="auto" w:fill="CCEEFF"/>
          </w:tcPr>
          <w:p>
            <w:pPr>
              <w:spacing w:after="0"/>
              <w:rPr>
                <w:sz w:val="17"/>
                <w:szCs w:val="17"/>
                <w:color w:val="auto"/>
              </w:rPr>
            </w:pPr>
          </w:p>
        </w:tc>
        <w:tc>
          <w:tcPr>
            <w:tcW w:w="34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tcBorders>
              <w:right w:val="single" w:sz="8" w:color="CCEEFF"/>
            </w:tcBorders>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$5,912 at December 31, 2001 and 2002, respectively)</w:t>
            </w:r>
          </w:p>
        </w:tc>
        <w:tc>
          <w:tcPr>
            <w:tcW w:w="360" w:type="dxa"/>
            <w:vAlign w:val="bottom"/>
            <w:tcBorders>
              <w:right w:val="single" w:sz="8" w:color="CCEEFF"/>
            </w:tcBorders>
            <w:shd w:val="clear" w:color="auto" w:fill="CCEEFF"/>
          </w:tcPr>
          <w:p>
            <w:pPr>
              <w:spacing w:after="0"/>
              <w:rPr>
                <w:sz w:val="20"/>
                <w:szCs w:val="20"/>
                <w:color w:val="auto"/>
              </w:rPr>
            </w:pPr>
          </w:p>
        </w:tc>
        <w:tc>
          <w:tcPr>
            <w:tcW w:w="34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128,793</w:t>
            </w:r>
          </w:p>
        </w:tc>
        <w:tc>
          <w:tcPr>
            <w:tcW w:w="20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147,899</w:t>
            </w:r>
          </w:p>
        </w:tc>
        <w:tc>
          <w:tcPr>
            <w:tcW w:w="100" w:type="dxa"/>
            <w:vAlign w:val="bottom"/>
            <w:shd w:val="clear" w:color="auto" w:fill="CCEEFF"/>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 net</w:t>
            </w:r>
          </w:p>
        </w:tc>
        <w:tc>
          <w:tcPr>
            <w:tcW w:w="3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37,163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37,367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3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45,014</w:t>
            </w: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56,844</w:t>
            </w:r>
          </w:p>
        </w:tc>
        <w:tc>
          <w:tcPr>
            <w:tcW w:w="100" w:type="dxa"/>
            <w:vAlign w:val="bottom"/>
            <w:shd w:val="clear" w:color="auto" w:fill="CCEEFF"/>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920" w:type="dxa"/>
            <w:vAlign w:val="bottom"/>
          </w:tcPr>
          <w:p>
            <w:pPr>
              <w:spacing w:after="0"/>
              <w:rPr>
                <w:sz w:val="10"/>
                <w:szCs w:val="10"/>
                <w:color w:val="auto"/>
              </w:rPr>
            </w:pPr>
          </w:p>
        </w:tc>
        <w:tc>
          <w:tcPr>
            <w:tcW w:w="33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7"/>
        </w:trPr>
        <w:tc>
          <w:tcPr>
            <w:tcW w:w="20" w:type="dxa"/>
            <w:vAlign w:val="bottom"/>
          </w:tcPr>
          <w:p>
            <w:pPr>
              <w:spacing w:after="0"/>
              <w:rPr>
                <w:sz w:val="24"/>
                <w:szCs w:val="24"/>
                <w:color w:val="auto"/>
              </w:rPr>
            </w:pPr>
          </w:p>
        </w:tc>
        <w:tc>
          <w:tcPr>
            <w:tcW w:w="2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current assets</w:t>
            </w:r>
          </w:p>
        </w:tc>
        <w:tc>
          <w:tcPr>
            <w:tcW w:w="3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463,503</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388,940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Redemption settlement assets, restricted</w:t>
            </w:r>
          </w:p>
        </w:tc>
        <w:tc>
          <w:tcPr>
            <w:tcW w:w="33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360" w:type="dxa"/>
            <w:vAlign w:val="bottom"/>
            <w:tcBorders>
              <w:right w:val="single" w:sz="8" w:color="CCEEFF"/>
            </w:tcBorders>
            <w:shd w:val="clear" w:color="auto" w:fill="CCEEFF"/>
          </w:tcPr>
          <w:p>
            <w:pPr>
              <w:spacing w:after="0"/>
              <w:rPr>
                <w:sz w:val="24"/>
                <w:szCs w:val="24"/>
                <w:color w:val="auto"/>
              </w:rPr>
            </w:pPr>
          </w:p>
        </w:tc>
        <w:tc>
          <w:tcPr>
            <w:tcW w:w="340" w:type="dxa"/>
            <w:vAlign w:val="bottom"/>
            <w:tcBorders>
              <w:right w:val="single" w:sz="8" w:color="CCEEFF"/>
            </w:tcBorders>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40" w:type="dxa"/>
            <w:vAlign w:val="bottom"/>
            <w:tcBorders>
              <w:right w:val="single" w:sz="8" w:color="CCEEFF"/>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150,330</w:t>
            </w:r>
          </w:p>
        </w:tc>
        <w:tc>
          <w:tcPr>
            <w:tcW w:w="200" w:type="dxa"/>
            <w:vAlign w:val="bottom"/>
            <w:tcBorders>
              <w:right w:val="single" w:sz="8" w:color="CCEEFF"/>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166,293</w:t>
            </w:r>
          </w:p>
        </w:tc>
        <w:tc>
          <w:tcPr>
            <w:tcW w:w="100" w:type="dxa"/>
            <w:vAlign w:val="bottom"/>
            <w:shd w:val="clear" w:color="auto" w:fill="CCEEFF"/>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112,190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119,638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 net</w:t>
            </w:r>
          </w:p>
        </w:tc>
        <w:tc>
          <w:tcPr>
            <w:tcW w:w="3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26,068</w:t>
            </w: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10,144</w:t>
            </w:r>
          </w:p>
        </w:tc>
        <w:tc>
          <w:tcPr>
            <w:tcW w:w="100" w:type="dxa"/>
            <w:vAlign w:val="bottom"/>
            <w:shd w:val="clear" w:color="auto" w:fill="CCEEFF"/>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3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16,990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17,131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from securitizations</w:t>
            </w:r>
          </w:p>
        </w:tc>
        <w:tc>
          <w:tcPr>
            <w:tcW w:w="3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216,140</w:t>
            </w: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235,890</w:t>
            </w:r>
          </w:p>
        </w:tc>
        <w:tc>
          <w:tcPr>
            <w:tcW w:w="100" w:type="dxa"/>
            <w:vAlign w:val="bottom"/>
            <w:shd w:val="clear" w:color="auto" w:fill="CCEEFF"/>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3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76,886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76,774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 net</w:t>
            </w:r>
          </w:p>
        </w:tc>
        <w:tc>
          <w:tcPr>
            <w:tcW w:w="3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415,111</w:t>
            </w: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438,608</w:t>
            </w:r>
          </w:p>
        </w:tc>
        <w:tc>
          <w:tcPr>
            <w:tcW w:w="100" w:type="dxa"/>
            <w:vAlign w:val="bottom"/>
            <w:shd w:val="clear" w:color="auto" w:fill="CCEEFF"/>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920" w:type="dxa"/>
            <w:vAlign w:val="bottom"/>
          </w:tcPr>
          <w:p>
            <w:pPr>
              <w:spacing w:after="0"/>
              <w:rPr>
                <w:sz w:val="10"/>
                <w:szCs w:val="10"/>
                <w:color w:val="auto"/>
              </w:rPr>
            </w:pPr>
          </w:p>
        </w:tc>
        <w:tc>
          <w:tcPr>
            <w:tcW w:w="33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2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assets</w:t>
            </w:r>
          </w:p>
        </w:tc>
        <w:tc>
          <w:tcPr>
            <w:tcW w:w="3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gridSpan w:val="2"/>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1,477,218</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1,453,418</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920" w:type="dxa"/>
            <w:vAlign w:val="bottom"/>
          </w:tcPr>
          <w:p>
            <w:pPr>
              <w:spacing w:after="0"/>
              <w:rPr>
                <w:sz w:val="9"/>
                <w:szCs w:val="9"/>
                <w:color w:val="auto"/>
              </w:rPr>
            </w:pPr>
          </w:p>
        </w:tc>
        <w:tc>
          <w:tcPr>
            <w:tcW w:w="4100" w:type="dxa"/>
            <w:vAlign w:val="bottom"/>
            <w:gridSpan w:val="3"/>
          </w:tcPr>
          <w:p>
            <w:pPr>
              <w:spacing w:after="0"/>
              <w:rPr>
                <w:sz w:val="9"/>
                <w:szCs w:val="9"/>
                <w:color w:val="auto"/>
              </w:rPr>
            </w:pPr>
          </w:p>
        </w:tc>
        <w:tc>
          <w:tcPr>
            <w:tcW w:w="500" w:type="dxa"/>
            <w:vAlign w:val="bottom"/>
            <w:gridSpan w:val="2"/>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920" w:type="dxa"/>
            <w:vAlign w:val="bottom"/>
          </w:tcPr>
          <w:p>
            <w:pPr>
              <w:spacing w:after="0"/>
              <w:rPr>
                <w:sz w:val="5"/>
                <w:szCs w:val="5"/>
                <w:color w:val="auto"/>
              </w:rPr>
            </w:pPr>
          </w:p>
        </w:tc>
        <w:tc>
          <w:tcPr>
            <w:tcW w:w="3300" w:type="dxa"/>
            <w:vAlign w:val="bottom"/>
          </w:tcPr>
          <w:p>
            <w:pPr>
              <w:spacing w:after="0"/>
              <w:rPr>
                <w:sz w:val="5"/>
                <w:szCs w:val="5"/>
                <w:color w:val="auto"/>
              </w:rPr>
            </w:pPr>
          </w:p>
        </w:tc>
        <w:tc>
          <w:tcPr>
            <w:tcW w:w="440" w:type="dxa"/>
            <w:vAlign w:val="bottom"/>
          </w:tcPr>
          <w:p>
            <w:pPr>
              <w:spacing w:after="0"/>
              <w:rPr>
                <w:sz w:val="5"/>
                <w:szCs w:val="5"/>
                <w:color w:val="auto"/>
              </w:rPr>
            </w:pPr>
          </w:p>
        </w:tc>
        <w:tc>
          <w:tcPr>
            <w:tcW w:w="360" w:type="dxa"/>
            <w:vAlign w:val="bottom"/>
            <w:tcBorders>
              <w:right w:val="single" w:sz="8" w:color="808080"/>
            </w:tcBorders>
          </w:tcPr>
          <w:p>
            <w:pPr>
              <w:spacing w:after="0"/>
              <w:rPr>
                <w:sz w:val="5"/>
                <w:szCs w:val="5"/>
                <w:color w:val="auto"/>
              </w:rPr>
            </w:pPr>
          </w:p>
        </w:tc>
        <w:tc>
          <w:tcPr>
            <w:tcW w:w="340" w:type="dxa"/>
            <w:vAlign w:val="bottom"/>
            <w:tcBorders>
              <w:right w:val="single" w:sz="8" w:color="808080"/>
            </w:tcBorders>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40" w:type="dxa"/>
            <w:vAlign w:val="bottom"/>
            <w:tcBorders>
              <w:right w:val="single" w:sz="8" w:color="808080"/>
            </w:tcBorders>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720" w:type="dxa"/>
            <w:vAlign w:val="bottom"/>
            <w:tcBorders>
              <w:right w:val="single" w:sz="8" w:color="808080"/>
            </w:tcBorders>
            <w:shd w:val="clear" w:color="auto" w:fill="808080"/>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920" w:type="dxa"/>
            <w:vAlign w:val="bottom"/>
          </w:tcPr>
          <w:p>
            <w:pPr>
              <w:spacing w:after="0"/>
              <w:rPr>
                <w:sz w:val="9"/>
                <w:szCs w:val="9"/>
                <w:color w:val="auto"/>
              </w:rPr>
            </w:pPr>
          </w:p>
        </w:tc>
        <w:tc>
          <w:tcPr>
            <w:tcW w:w="330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2920" w:type="dxa"/>
            <w:vAlign w:val="bottom"/>
            <w:shd w:val="clear" w:color="auto" w:fill="CCEEFF"/>
          </w:tcPr>
          <w:p>
            <w:pPr>
              <w:spacing w:after="0"/>
              <w:rPr>
                <w:sz w:val="24"/>
                <w:szCs w:val="24"/>
                <w:color w:val="auto"/>
              </w:rPr>
            </w:pPr>
          </w:p>
        </w:tc>
        <w:tc>
          <w:tcPr>
            <w:tcW w:w="4600" w:type="dxa"/>
            <w:vAlign w:val="bottom"/>
            <w:gridSpan w:val="5"/>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40" w:type="dxa"/>
            <w:vAlign w:val="bottom"/>
            <w:tcBorders>
              <w:right w:val="single" w:sz="8" w:color="CCEEFF"/>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20" w:type="dxa"/>
            <w:vAlign w:val="bottom"/>
            <w:tcBorders>
              <w:right w:val="single" w:sz="8" w:color="CCEEFF"/>
            </w:tcBorders>
            <w:shd w:val="clear" w:color="auto" w:fill="CCEEFF"/>
          </w:tcPr>
          <w:p>
            <w:pPr>
              <w:spacing w:after="0"/>
              <w:rPr>
                <w:sz w:val="24"/>
                <w:szCs w:val="24"/>
                <w:color w:val="auto"/>
              </w:rPr>
            </w:pPr>
          </w:p>
        </w:tc>
        <w:tc>
          <w:tcPr>
            <w:tcW w:w="200" w:type="dxa"/>
            <w:vAlign w:val="bottom"/>
            <w:tcBorders>
              <w:right w:val="single" w:sz="8" w:color="CCEEFF"/>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3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gridSpan w:val="2"/>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82,290</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72,586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3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73,135</w:t>
            </w: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87,568</w:t>
            </w:r>
          </w:p>
        </w:tc>
        <w:tc>
          <w:tcPr>
            <w:tcW w:w="100" w:type="dxa"/>
            <w:vAlign w:val="bottom"/>
            <w:shd w:val="clear" w:color="auto" w:fill="CCEEFF"/>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Merchant settlement obligations</w:t>
            </w:r>
          </w:p>
        </w:tc>
        <w:tc>
          <w:tcPr>
            <w:tcW w:w="3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137,711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49,063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3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25,268</w:t>
            </w: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33,220</w:t>
            </w:r>
          </w:p>
        </w:tc>
        <w:tc>
          <w:tcPr>
            <w:tcW w:w="100" w:type="dxa"/>
            <w:vAlign w:val="bottom"/>
            <w:shd w:val="clear" w:color="auto" w:fill="CCEEFF"/>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Debt, current portion</w:t>
            </w:r>
          </w:p>
        </w:tc>
        <w:tc>
          <w:tcPr>
            <w:tcW w:w="3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111,325</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184,993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920" w:type="dxa"/>
            <w:vAlign w:val="bottom"/>
          </w:tcPr>
          <w:p>
            <w:pPr>
              <w:spacing w:after="0"/>
              <w:rPr>
                <w:sz w:val="9"/>
                <w:szCs w:val="9"/>
                <w:color w:val="auto"/>
              </w:rPr>
            </w:pPr>
          </w:p>
        </w:tc>
        <w:tc>
          <w:tcPr>
            <w:tcW w:w="330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920" w:type="dxa"/>
            <w:vAlign w:val="bottom"/>
          </w:tcPr>
          <w:p>
            <w:pPr>
              <w:spacing w:after="0"/>
              <w:rPr>
                <w:sz w:val="9"/>
                <w:szCs w:val="9"/>
                <w:color w:val="auto"/>
              </w:rPr>
            </w:pPr>
          </w:p>
        </w:tc>
        <w:tc>
          <w:tcPr>
            <w:tcW w:w="330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3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360" w:type="dxa"/>
            <w:vAlign w:val="bottom"/>
            <w:tcBorders>
              <w:right w:val="single" w:sz="8" w:color="CCEEFF"/>
            </w:tcBorders>
            <w:shd w:val="clear" w:color="auto" w:fill="CCEEFF"/>
          </w:tcPr>
          <w:p>
            <w:pPr>
              <w:spacing w:after="0"/>
              <w:rPr>
                <w:sz w:val="21"/>
                <w:szCs w:val="21"/>
                <w:color w:val="auto"/>
              </w:rPr>
            </w:pPr>
          </w:p>
        </w:tc>
        <w:tc>
          <w:tcPr>
            <w:tcW w:w="34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4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429,729</w:t>
            </w:r>
          </w:p>
        </w:tc>
        <w:tc>
          <w:tcPr>
            <w:tcW w:w="20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427,430</w:t>
            </w:r>
          </w:p>
        </w:tc>
        <w:tc>
          <w:tcPr>
            <w:tcW w:w="100" w:type="dxa"/>
            <w:vAlign w:val="bottom"/>
            <w:shd w:val="clear" w:color="auto" w:fill="CCEEFF"/>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0"/>
        </w:trPr>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3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13,112</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15,268</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revenue—service</w:t>
            </w:r>
          </w:p>
        </w:tc>
        <w:tc>
          <w:tcPr>
            <w:tcW w:w="3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98,077</w:t>
            </w: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106,504</w:t>
            </w:r>
          </w:p>
        </w:tc>
        <w:tc>
          <w:tcPr>
            <w:tcW w:w="100" w:type="dxa"/>
            <w:vAlign w:val="bottom"/>
            <w:shd w:val="clear" w:color="auto" w:fill="CCEEFF"/>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Borders>
              <w:bottom w:val="single" w:sz="8" w:color="CCEEFF"/>
            </w:tcBorders>
          </w:tcPr>
          <w:p>
            <w:pPr>
              <w:spacing w:after="0"/>
              <w:rPr>
                <w:sz w:val="19"/>
                <w:szCs w:val="19"/>
                <w:color w:val="auto"/>
              </w:rPr>
            </w:pPr>
          </w:p>
        </w:tc>
        <w:tc>
          <w:tcPr>
            <w:tcW w:w="2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Deferred revenue—redemption</w:t>
            </w:r>
          </w:p>
        </w:tc>
        <w:tc>
          <w:tcPr>
            <w:tcW w:w="330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7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231,472</w:t>
            </w: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253,560</w:t>
            </w:r>
          </w:p>
        </w:tc>
        <w:tc>
          <w:tcPr>
            <w:tcW w:w="100" w:type="dxa"/>
            <w:vAlign w:val="bottom"/>
            <w:tcBorders>
              <w:bottom w:val="single" w:sz="8" w:color="CCEEFF"/>
            </w:tcBorders>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4668520</wp:posOffset>
            </wp:positionH>
            <wp:positionV relativeFrom="paragraph">
              <wp:posOffset>-10030460</wp:posOffset>
            </wp:positionV>
            <wp:extent cx="12700"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-10030460</wp:posOffset>
            </wp:positionV>
            <wp:extent cx="12700"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-10030460</wp:posOffset>
            </wp:positionV>
            <wp:extent cx="12700"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-10030460</wp:posOffset>
            </wp:positionV>
            <wp:extent cx="12700"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-10030460</wp:posOffset>
            </wp:positionV>
            <wp:extent cx="12700"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-10030460</wp:posOffset>
            </wp:positionV>
            <wp:extent cx="12700"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-6583045</wp:posOffset>
            </wp:positionV>
            <wp:extent cx="12700"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-6583045</wp:posOffset>
            </wp:positionV>
            <wp:extent cx="12700"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-5305425</wp:posOffset>
            </wp:positionV>
            <wp:extent cx="12700"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-5305425</wp:posOffset>
            </wp:positionV>
            <wp:extent cx="12700"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-5056505</wp:posOffset>
            </wp:positionV>
            <wp:extent cx="12700"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-5056505</wp:posOffset>
            </wp:positionV>
            <wp:extent cx="12700"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-5056505</wp:posOffset>
            </wp:positionV>
            <wp:extent cx="12700"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-5056505</wp:posOffset>
            </wp:positionV>
            <wp:extent cx="12700"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-3667125</wp:posOffset>
            </wp:positionV>
            <wp:extent cx="12700"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-3667125</wp:posOffset>
            </wp:positionV>
            <wp:extent cx="12700"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-3667125</wp:posOffset>
            </wp:positionV>
            <wp:extent cx="12700"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-3667125</wp:posOffset>
            </wp:positionV>
            <wp:extent cx="12700"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-2260600</wp:posOffset>
            </wp:positionV>
            <wp:extent cx="12700"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-2260600</wp:posOffset>
            </wp:positionV>
            <wp:extent cx="12700"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-2260600</wp:posOffset>
            </wp:positionV>
            <wp:extent cx="12700"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-2260600</wp:posOffset>
            </wp:positionV>
            <wp:extent cx="12700"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-802640</wp:posOffset>
            </wp:positionV>
            <wp:extent cx="12700"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-802640</wp:posOffset>
            </wp:positionV>
            <wp:extent cx="12700"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-802640</wp:posOffset>
            </wp:positionV>
            <wp:extent cx="12700"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-802640</wp:posOffset>
            </wp:positionV>
            <wp:extent cx="12700"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00" w:orient="portrait"/>
          <w:cols w:equalWidth="0" w:num="1">
            <w:col w:w="11420"/>
          </w:cols>
          <w:pgMar w:left="240" w:top="356" w:right="239" w:bottom="0" w:gutter="0" w:footer="0" w:header="0"/>
        </w:sectPr>
      </w:pPr>
    </w:p>
    <w:bookmarkStart w:id="31" w:name="page32"/>
    <w:bookmarkEnd w:id="31"/>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and subordinated debt</w:t>
            </w:r>
          </w:p>
        </w:tc>
        <w:tc>
          <w:tcPr>
            <w:tcW w:w="3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199,100</w:t>
            </w:r>
          </w:p>
        </w:tc>
        <w:tc>
          <w:tcPr>
            <w:tcW w:w="20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107,918</w:t>
            </w:r>
          </w:p>
        </w:tc>
        <w:tc>
          <w:tcPr>
            <w:tcW w:w="100" w:type="dxa"/>
            <w:vAlign w:val="bottom"/>
            <w:shd w:val="clear" w:color="auto" w:fill="CCEEFF"/>
          </w:tcPr>
          <w:p>
            <w:pPr>
              <w:spacing w:after="0"/>
              <w:rPr>
                <w:sz w:val="18"/>
                <w:szCs w:val="18"/>
                <w:color w:val="auto"/>
              </w:rPr>
            </w:pPr>
          </w:p>
        </w:tc>
      </w:tr>
      <w:tr>
        <w:trPr>
          <w:trHeight w:val="118"/>
        </w:trPr>
        <w:tc>
          <w:tcPr>
            <w:tcW w:w="704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r>
      <w:tr>
        <w:trPr>
          <w:trHeight w:val="320"/>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3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971,490</w:t>
            </w: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910,680</w:t>
            </w:r>
          </w:p>
        </w:tc>
        <w:tc>
          <w:tcPr>
            <w:tcW w:w="100" w:type="dxa"/>
            <w:vAlign w:val="bottom"/>
          </w:tcPr>
          <w:p>
            <w:pPr>
              <w:spacing w:after="0"/>
              <w:rPr>
                <w:sz w:val="24"/>
                <w:szCs w:val="24"/>
                <w:color w:val="auto"/>
              </w:rPr>
            </w:pPr>
          </w:p>
        </w:tc>
      </w:tr>
      <w:tr>
        <w:trPr>
          <w:trHeight w:val="433"/>
        </w:trPr>
        <w:tc>
          <w:tcPr>
            <w:tcW w:w="70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360" w:type="dxa"/>
            <w:vAlign w:val="bottom"/>
            <w:shd w:val="clear" w:color="auto" w:fill="CCEEFF"/>
          </w:tcPr>
          <w:p>
            <w:pPr>
              <w:spacing w:after="0"/>
              <w:rPr>
                <w:sz w:val="24"/>
                <w:szCs w:val="24"/>
                <w:color w:val="auto"/>
              </w:rPr>
            </w:pPr>
          </w:p>
        </w:tc>
        <w:tc>
          <w:tcPr>
            <w:tcW w:w="980" w:type="dxa"/>
            <w:vAlign w:val="bottom"/>
            <w:tcBorders>
              <w:right w:val="single" w:sz="8" w:color="CCEEFF"/>
            </w:tcBorders>
            <w:shd w:val="clear" w:color="auto" w:fill="CCEEFF"/>
          </w:tcPr>
          <w:p>
            <w:pPr>
              <w:spacing w:after="0"/>
              <w:rPr>
                <w:sz w:val="24"/>
                <w:szCs w:val="24"/>
                <w:color w:val="auto"/>
              </w:rPr>
            </w:pPr>
          </w:p>
        </w:tc>
        <w:tc>
          <w:tcPr>
            <w:tcW w:w="200" w:type="dxa"/>
            <w:vAlign w:val="bottom"/>
            <w:tcBorders>
              <w:right w:val="single" w:sz="8" w:color="CCEEFF"/>
            </w:tcBorders>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r>
      <w:tr>
        <w:trPr>
          <w:trHeight w:val="430"/>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4"/>
        </w:trPr>
        <w:tc>
          <w:tcPr>
            <w:tcW w:w="7040" w:type="dxa"/>
            <w:vAlign w:val="bottom"/>
            <w:tcBorders>
              <w:right w:val="single" w:sz="8" w:color="CCEEFF"/>
            </w:tcBorders>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rPr>
              <w:t>Common stock, $0.01 par value; authorized, 200,000 shares; issued and outstanding,</w:t>
            </w:r>
          </w:p>
        </w:tc>
        <w:tc>
          <w:tcPr>
            <w:tcW w:w="360" w:type="dxa"/>
            <w:vAlign w:val="bottom"/>
            <w:shd w:val="clear" w:color="auto" w:fill="CCEEFF"/>
          </w:tcPr>
          <w:p>
            <w:pPr>
              <w:spacing w:after="0"/>
              <w:rPr>
                <w:sz w:val="17"/>
                <w:szCs w:val="17"/>
                <w:color w:val="auto"/>
              </w:rPr>
            </w:pPr>
          </w:p>
        </w:tc>
        <w:tc>
          <w:tcPr>
            <w:tcW w:w="980" w:type="dxa"/>
            <w:vAlign w:val="bottom"/>
            <w:tcBorders>
              <w:right w:val="single" w:sz="8" w:color="CCEEFF"/>
            </w:tcBorders>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70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73,987 shares (December 31, 2001) and 74,938 shares (December 31, 2002)</w:t>
            </w:r>
          </w:p>
        </w:tc>
        <w:tc>
          <w:tcPr>
            <w:tcW w:w="360" w:type="dxa"/>
            <w:vAlign w:val="bottom"/>
            <w:shd w:val="clear" w:color="auto" w:fill="CCEEFF"/>
          </w:tcPr>
          <w:p>
            <w:pPr>
              <w:spacing w:after="0"/>
              <w:rPr>
                <w:sz w:val="20"/>
                <w:szCs w:val="20"/>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200" w:type="dxa"/>
            <w:vAlign w:val="bottom"/>
            <w:tcBorders>
              <w:right w:val="single" w:sz="8" w:color="CCEEFF"/>
            </w:tcBorders>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100" w:type="dxa"/>
            <w:vAlign w:val="bottom"/>
            <w:shd w:val="clear" w:color="auto" w:fill="CCEEFF"/>
          </w:tcPr>
          <w:p>
            <w:pPr>
              <w:spacing w:after="0"/>
              <w:rPr>
                <w:sz w:val="20"/>
                <w:szCs w:val="20"/>
                <w:color w:val="auto"/>
              </w:rPr>
            </w:pP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509,741</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522,209</w:t>
            </w:r>
          </w:p>
        </w:tc>
        <w:tc>
          <w:tcPr>
            <w:tcW w:w="100" w:type="dxa"/>
            <w:vAlign w:val="bottom"/>
          </w:tcPr>
          <w:p>
            <w:pPr>
              <w:spacing w:after="0"/>
              <w:rPr>
                <w:sz w:val="18"/>
                <w:szCs w:val="18"/>
                <w:color w:val="auto"/>
              </w:rPr>
            </w:pPr>
          </w:p>
        </w:tc>
      </w:tr>
      <w:tr>
        <w:trPr>
          <w:trHeight w:val="216"/>
        </w:trPr>
        <w:tc>
          <w:tcPr>
            <w:tcW w:w="70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Treasury stock</w:t>
            </w:r>
          </w:p>
        </w:tc>
        <w:tc>
          <w:tcPr>
            <w:tcW w:w="36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(6,151)</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(6,151)</w:t>
            </w: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3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8,138</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34,341</w:t>
            </w:r>
          </w:p>
        </w:tc>
        <w:tc>
          <w:tcPr>
            <w:tcW w:w="100" w:type="dxa"/>
            <w:vAlign w:val="bottom"/>
          </w:tcPr>
          <w:p>
            <w:pPr>
              <w:spacing w:after="0"/>
              <w:rPr>
                <w:sz w:val="18"/>
                <w:szCs w:val="18"/>
                <w:color w:val="auto"/>
              </w:rPr>
            </w:pPr>
          </w:p>
        </w:tc>
      </w:tr>
      <w:tr>
        <w:trPr>
          <w:trHeight w:val="216"/>
        </w:trPr>
        <w:tc>
          <w:tcPr>
            <w:tcW w:w="70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36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(6,740)</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(8,410)</w:t>
            </w:r>
          </w:p>
        </w:tc>
      </w:tr>
      <w:tr>
        <w:trPr>
          <w:trHeight w:val="118"/>
        </w:trPr>
        <w:tc>
          <w:tcPr>
            <w:tcW w:w="704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r>
      <w:tr>
        <w:trPr>
          <w:trHeight w:val="346"/>
        </w:trPr>
        <w:tc>
          <w:tcPr>
            <w:tcW w:w="7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505,728</w:t>
            </w: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542,738</w:t>
            </w:r>
          </w:p>
        </w:tc>
        <w:tc>
          <w:tcPr>
            <w:tcW w:w="100" w:type="dxa"/>
            <w:vAlign w:val="bottom"/>
          </w:tcPr>
          <w:p>
            <w:pPr>
              <w:spacing w:after="0"/>
              <w:rPr>
                <w:sz w:val="24"/>
                <w:szCs w:val="24"/>
                <w:color w:val="auto"/>
              </w:rPr>
            </w:pPr>
          </w:p>
        </w:tc>
      </w:tr>
      <w:tr>
        <w:trPr>
          <w:trHeight w:val="120"/>
        </w:trPr>
        <w:tc>
          <w:tcPr>
            <w:tcW w:w="704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r>
      <w:tr>
        <w:trPr>
          <w:trHeight w:val="105"/>
        </w:trPr>
        <w:tc>
          <w:tcPr>
            <w:tcW w:w="7040" w:type="dxa"/>
            <w:vAlign w:val="bottom"/>
          </w:tcPr>
          <w:p>
            <w:pPr>
              <w:spacing w:after="0"/>
              <w:rPr>
                <w:sz w:val="9"/>
                <w:szCs w:val="9"/>
                <w:color w:val="auto"/>
              </w:rPr>
            </w:pPr>
          </w:p>
        </w:tc>
        <w:tc>
          <w:tcPr>
            <w:tcW w:w="36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243"/>
        </w:trPr>
        <w:tc>
          <w:tcPr>
            <w:tcW w:w="7040" w:type="dxa"/>
            <w:vAlign w:val="bottom"/>
            <w:tcBorders>
              <w:right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60" w:type="dxa"/>
            <w:vAlign w:val="bottom"/>
            <w:shd w:val="clear" w:color="auto" w:fill="CCEEFF"/>
          </w:tcPr>
          <w:p>
            <w:pPr>
              <w:jc w:val="right"/>
              <w:ind w:right="198"/>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1,477,218</w:t>
            </w:r>
          </w:p>
        </w:tc>
        <w:tc>
          <w:tcPr>
            <w:tcW w:w="200" w:type="dxa"/>
            <w:vAlign w:val="bottom"/>
            <w:tcBorders>
              <w:right w:val="single" w:sz="8" w:color="CCEEFF"/>
            </w:tcBorders>
            <w:shd w:val="clear" w:color="auto" w:fill="CCEEFF"/>
          </w:tcPr>
          <w:p>
            <w:pPr>
              <w:spacing w:after="0"/>
              <w:rPr>
                <w:sz w:val="21"/>
                <w:szCs w:val="21"/>
                <w:color w:val="auto"/>
              </w:rPr>
            </w:pPr>
          </w:p>
        </w:tc>
        <w:tc>
          <w:tcPr>
            <w:tcW w:w="360" w:type="dxa"/>
            <w:vAlign w:val="bottom"/>
            <w:shd w:val="clear" w:color="auto" w:fill="CCEEFF"/>
          </w:tcPr>
          <w:p>
            <w:pPr>
              <w:jc w:val="right"/>
              <w:ind w:right="198"/>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1,453,418</w:t>
            </w:r>
          </w:p>
        </w:tc>
        <w:tc>
          <w:tcPr>
            <w:tcW w:w="100" w:type="dxa"/>
            <w:vAlign w:val="bottom"/>
            <w:shd w:val="clear" w:color="auto" w:fill="CCEEFF"/>
          </w:tcPr>
          <w:p>
            <w:pPr>
              <w:spacing w:after="0"/>
              <w:rPr>
                <w:sz w:val="21"/>
                <w:szCs w:val="21"/>
                <w:color w:val="auto"/>
              </w:rPr>
            </w:pPr>
          </w:p>
        </w:tc>
      </w:tr>
      <w:tr>
        <w:trPr>
          <w:trHeight w:val="105"/>
        </w:trPr>
        <w:tc>
          <w:tcPr>
            <w:tcW w:w="7040" w:type="dxa"/>
            <w:vAlign w:val="bottom"/>
          </w:tcPr>
          <w:p>
            <w:pPr>
              <w:spacing w:after="0"/>
              <w:rPr>
                <w:sz w:val="9"/>
                <w:szCs w:val="9"/>
                <w:color w:val="auto"/>
              </w:rPr>
            </w:pPr>
          </w:p>
        </w:tc>
        <w:tc>
          <w:tcPr>
            <w:tcW w:w="36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61"/>
        </w:trPr>
        <w:tc>
          <w:tcPr>
            <w:tcW w:w="7040" w:type="dxa"/>
            <w:vAlign w:val="bottom"/>
            <w:tcBorders>
              <w:right w:val="single" w:sz="8" w:color="808080"/>
            </w:tcBorders>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980" w:type="dxa"/>
            <w:vAlign w:val="bottom"/>
            <w:tcBorders>
              <w:right w:val="single" w:sz="8" w:color="808080"/>
            </w:tcBorders>
            <w:shd w:val="clear" w:color="auto" w:fill="808080"/>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5302885</wp:posOffset>
            </wp:positionH>
            <wp:positionV relativeFrom="paragraph">
              <wp:posOffset>-2312670</wp:posOffset>
            </wp:positionV>
            <wp:extent cx="12700"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-2312670</wp:posOffset>
            </wp:positionV>
            <wp:extent cx="12700"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-2312670</wp:posOffset>
            </wp:positionV>
            <wp:extent cx="12700" cy="88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-2312670</wp:posOffset>
            </wp:positionV>
            <wp:extent cx="12700" cy="88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-648970</wp:posOffset>
            </wp:positionV>
            <wp:extent cx="12700"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-648970</wp:posOffset>
            </wp:positionV>
            <wp:extent cx="12700" cy="88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-648970</wp:posOffset>
            </wp:positionV>
            <wp:extent cx="12700"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-648970</wp:posOffset>
            </wp:positionV>
            <wp:extent cx="12700"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-340360</wp:posOffset>
            </wp:positionV>
            <wp:extent cx="12700" cy="88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-340360</wp:posOffset>
            </wp:positionV>
            <wp:extent cx="12700" cy="88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-340360</wp:posOffset>
            </wp:positionV>
            <wp:extent cx="12700" cy="88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-340360</wp:posOffset>
            </wp:positionV>
            <wp:extent cx="12700" cy="88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ALLIANCE DATA SYSTEMS CORPORATION</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1740" w:type="dxa"/>
            <w:vAlign w:val="bottom"/>
            <w:gridSpan w:val="6"/>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gridSpan w:val="3"/>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w w:val="95"/>
              </w:rPr>
              <w:t>Accumulated</w:t>
            </w: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2620" w:type="dxa"/>
            <w:vAlign w:val="bottom"/>
          </w:tcPr>
          <w:p>
            <w:pPr>
              <w:spacing w:after="0"/>
              <w:rPr>
                <w:sz w:val="7"/>
                <w:szCs w:val="7"/>
                <w:color w:val="auto"/>
              </w:rPr>
            </w:pPr>
          </w:p>
        </w:tc>
        <w:tc>
          <w:tcPr>
            <w:tcW w:w="700" w:type="dxa"/>
            <w:vAlign w:val="bottom"/>
            <w:tcBorders>
              <w:bottom w:val="single" w:sz="8" w:color="808080"/>
            </w:tcBorders>
          </w:tcPr>
          <w:p>
            <w:pPr>
              <w:spacing w:after="0"/>
              <w:rPr>
                <w:sz w:val="7"/>
                <w:szCs w:val="7"/>
                <w:color w:val="auto"/>
              </w:rPr>
            </w:pPr>
          </w:p>
        </w:tc>
        <w:tc>
          <w:tcPr>
            <w:tcW w:w="60" w:type="dxa"/>
            <w:vAlign w:val="bottom"/>
            <w:tcBorders>
              <w:bottom w:val="single" w:sz="8" w:color="808080"/>
            </w:tcBorders>
          </w:tcPr>
          <w:p>
            <w:pPr>
              <w:spacing w:after="0"/>
              <w:rPr>
                <w:sz w:val="7"/>
                <w:szCs w:val="7"/>
                <w:color w:val="auto"/>
              </w:rPr>
            </w:pPr>
          </w:p>
        </w:tc>
        <w:tc>
          <w:tcPr>
            <w:tcW w:w="60" w:type="dxa"/>
            <w:vAlign w:val="bottom"/>
            <w:tcBorders>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680" w:type="dxa"/>
            <w:vAlign w:val="bottom"/>
            <w:tcBorders>
              <w:bottom w:val="single" w:sz="8" w:color="808080"/>
            </w:tcBorders>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80" w:type="dxa"/>
            <w:vAlign w:val="bottom"/>
            <w:vMerge w:val="restart"/>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w w:val="97"/>
              </w:rPr>
              <w:t>Additional</w:t>
            </w: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60" w:type="dxa"/>
            <w:vAlign w:val="bottom"/>
            <w:gridSpan w:val="3"/>
            <w:vMerge w:val="restart"/>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w w:val="93"/>
              </w:rPr>
              <w:t>other</w:t>
            </w:r>
          </w:p>
        </w:tc>
        <w:tc>
          <w:tcPr>
            <w:tcW w:w="1280" w:type="dxa"/>
            <w:vAlign w:val="bottom"/>
            <w:gridSpan w:val="2"/>
            <w:vMerge w:val="restart"/>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6"/>
              </w:rPr>
              <w:t>comprehensive</w:t>
            </w:r>
          </w:p>
        </w:tc>
        <w:tc>
          <w:tcPr>
            <w:tcW w:w="180" w:type="dxa"/>
            <w:vAlign w:val="bottom"/>
          </w:tcPr>
          <w:p>
            <w:pPr>
              <w:spacing w:after="0"/>
              <w:rPr>
                <w:sz w:val="7"/>
                <w:szCs w:val="7"/>
                <w:color w:val="auto"/>
              </w:rPr>
            </w:pPr>
          </w:p>
        </w:tc>
        <w:tc>
          <w:tcPr>
            <w:tcW w:w="800" w:type="dxa"/>
            <w:vAlign w:val="bottom"/>
            <w:gridSpan w:val="2"/>
            <w:vMerge w:val="restart"/>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87"/>
              </w:rPr>
              <w:t>Total</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620" w:type="dxa"/>
            <w:vAlign w:val="bottom"/>
          </w:tcPr>
          <w:p>
            <w:pPr>
              <w:spacing w:after="0"/>
              <w:rPr>
                <w:sz w:val="4"/>
                <w:szCs w:val="4"/>
                <w:color w:val="auto"/>
              </w:rPr>
            </w:pPr>
          </w:p>
        </w:tc>
        <w:tc>
          <w:tcPr>
            <w:tcW w:w="70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60" w:type="dxa"/>
            <w:vAlign w:val="bottom"/>
            <w:gridSpan w:val="3"/>
            <w:vMerge w:val="continue"/>
          </w:tcPr>
          <w:p>
            <w:pPr>
              <w:spacing w:after="0"/>
              <w:rPr>
                <w:sz w:val="4"/>
                <w:szCs w:val="4"/>
                <w:color w:val="auto"/>
              </w:rPr>
            </w:pPr>
          </w:p>
        </w:tc>
        <w:tc>
          <w:tcPr>
            <w:tcW w:w="128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paid-in</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3"/>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w w:val="94"/>
              </w:rPr>
              <w:t>Treasury</w:t>
            </w:r>
          </w:p>
        </w:tc>
        <w:tc>
          <w:tcPr>
            <w:tcW w:w="84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3"/>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w w:val="96"/>
              </w:rPr>
              <w:t>comprehensive</w:t>
            </w:r>
          </w:p>
        </w:tc>
        <w:tc>
          <w:tcPr>
            <w:tcW w:w="12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income</w:t>
            </w:r>
          </w:p>
        </w:tc>
        <w:tc>
          <w:tcPr>
            <w:tcW w:w="98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w w:val="95"/>
              </w:rPr>
              <w:t>stockholders'</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7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5"/>
                <w:szCs w:val="15"/>
                <w:color w:val="auto"/>
              </w:rPr>
            </w:pPr>
          </w:p>
        </w:tc>
        <w:tc>
          <w:tcPr>
            <w:tcW w:w="880" w:type="dxa"/>
            <w:vAlign w:val="bottom"/>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capital</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5"/>
              </w:rPr>
              <w:t>Stock</w:t>
            </w: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gridSpan w:val="3"/>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5"/>
              </w:rPr>
              <w:t>income (loss)</w:t>
            </w: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6"/>
              </w:rPr>
              <w:t>(loss)</w:t>
            </w:r>
          </w:p>
        </w:tc>
        <w:tc>
          <w:tcPr>
            <w:tcW w:w="180" w:type="dxa"/>
            <w:vAlign w:val="bottom"/>
          </w:tcPr>
          <w:p>
            <w:pPr>
              <w:spacing w:after="0"/>
              <w:rPr>
                <w:sz w:val="15"/>
                <w:szCs w:val="15"/>
                <w:color w:val="auto"/>
              </w:rPr>
            </w:pPr>
          </w:p>
        </w:tc>
        <w:tc>
          <w:tcPr>
            <w:tcW w:w="8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6"/>
              </w:rPr>
              <w:t>equity</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62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December 31, 1999</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47,529</w:t>
            </w:r>
          </w:p>
        </w:tc>
        <w:tc>
          <w:tcPr>
            <w:tcW w:w="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475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226,174</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37,693</w:t>
            </w: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(4,270)</w:t>
            </w:r>
          </w:p>
        </w:tc>
        <w:tc>
          <w:tcPr>
            <w:tcW w:w="160" w:type="dxa"/>
            <w:vAlign w:val="bottom"/>
            <w:shd w:val="clear" w:color="auto" w:fill="CCEEFF"/>
          </w:tcPr>
          <w:p>
            <w:pPr>
              <w:spacing w:after="0"/>
              <w:rPr>
                <w:sz w:val="18"/>
                <w:szCs w:val="18"/>
                <w:color w:val="auto"/>
              </w:rPr>
            </w:pPr>
          </w:p>
        </w:tc>
        <w:tc>
          <w:tcPr>
            <w:tcW w:w="1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260,072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(21,323)</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(21,323)</w:t>
            </w:r>
          </w:p>
        </w:tc>
        <w:tc>
          <w:tcPr>
            <w:tcW w:w="1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(21,323)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2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Other comprehensive income</w:t>
            </w: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net of tax:</w:t>
            </w:r>
          </w:p>
        </w:tc>
        <w:tc>
          <w:tcPr>
            <w:tcW w:w="7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2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20" w:type="dxa"/>
            <w:vAlign w:val="bottom"/>
          </w:tcPr>
          <w:p>
            <w:pPr>
              <w:ind w:left="220"/>
              <w:spacing w:after="0" w:line="201" w:lineRule="exact"/>
              <w:rPr>
                <w:sz w:val="20"/>
                <w:szCs w:val="20"/>
                <w:color w:val="auto"/>
              </w:rPr>
            </w:pPr>
            <w:r>
              <w:rPr>
                <w:rFonts w:ascii="Times New Roman" w:cs="Times New Roman" w:eastAsia="Times New Roman" w:hAnsi="Times New Roman"/>
                <w:sz w:val="18"/>
                <w:szCs w:val="18"/>
                <w:color w:val="auto"/>
              </w:rPr>
              <w:t>Net unrealized gain on</w:t>
            </w: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securities available-for-sale</w:t>
            </w: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3,774</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20" w:type="dxa"/>
            <w:vAlign w:val="bottom"/>
            <w:shd w:val="clear" w:color="auto" w:fill="CCEEFF"/>
          </w:tcPr>
          <w:p>
            <w:pPr>
              <w:ind w:left="220"/>
              <w:spacing w:after="0" w:line="203" w:lineRule="exact"/>
              <w:rPr>
                <w:sz w:val="20"/>
                <w:szCs w:val="20"/>
                <w:color w:val="auto"/>
              </w:rPr>
            </w:pPr>
            <w:r>
              <w:rPr>
                <w:rFonts w:ascii="Times New Roman" w:cs="Times New Roman" w:eastAsia="Times New Roman" w:hAnsi="Times New Roman"/>
                <w:sz w:val="18"/>
                <w:szCs w:val="18"/>
                <w:color w:val="auto"/>
              </w:rPr>
              <w:t>Foreign currency translation</w:t>
            </w: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adjustments</w:t>
            </w:r>
          </w:p>
        </w:tc>
        <w:tc>
          <w:tcPr>
            <w:tcW w:w="7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319</w:t>
            </w:r>
          </w:p>
        </w:tc>
        <w:tc>
          <w:tcPr>
            <w:tcW w:w="160" w:type="dxa"/>
            <w:vAlign w:val="bottom"/>
            <w:shd w:val="clear" w:color="auto" w:fill="CCEEFF"/>
          </w:tcPr>
          <w:p>
            <w:pPr>
              <w:spacing w:after="0"/>
              <w:rPr>
                <w:sz w:val="20"/>
                <w:szCs w:val="20"/>
                <w:color w:val="auto"/>
              </w:rPr>
            </w:pPr>
          </w:p>
        </w:tc>
        <w:tc>
          <w:tcPr>
            <w:tcW w:w="12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18"/>
        </w:trPr>
        <w:tc>
          <w:tcPr>
            <w:tcW w:w="2640" w:type="dxa"/>
            <w:vAlign w:val="bottom"/>
            <w:gridSpan w:val="2"/>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4,093</w:t>
            </w: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comprehensive loss</w:t>
            </w: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(17,230)</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6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Common stock issued</w:t>
            </w:r>
          </w:p>
        </w:tc>
        <w:tc>
          <w:tcPr>
            <w:tcW w:w="7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16</w:t>
            </w: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9"/>
                <w:szCs w:val="9"/>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640" w:type="dxa"/>
            <w:vAlign w:val="bottom"/>
            <w:gridSpan w:val="2"/>
            <w:vMerge w:val="continue"/>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200" w:type="dxa"/>
            <w:vAlign w:val="bottom"/>
            <w:tcBorders>
              <w:right w:val="single" w:sz="8" w:color="808080"/>
            </w:tcBorders>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2640" w:type="dxa"/>
            <w:vAlign w:val="bottom"/>
            <w:gridSpan w:val="2"/>
            <w:vMerge w:val="continue"/>
          </w:tcPr>
          <w:p>
            <w:pPr>
              <w:spacing w:after="0"/>
              <w:rPr>
                <w:sz w:val="24"/>
                <w:szCs w:val="24"/>
                <w:color w:val="auto"/>
              </w:rPr>
            </w:pPr>
          </w:p>
        </w:tc>
        <w:tc>
          <w:tcPr>
            <w:tcW w:w="760" w:type="dxa"/>
            <w:vAlign w:val="bottom"/>
            <w:gridSpan w:val="2"/>
            <w:vMerge w:val="continue"/>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December 31, 2000</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47,545</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475</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226,323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16,370</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(177)</w:t>
            </w:r>
          </w:p>
        </w:tc>
        <w:tc>
          <w:tcPr>
            <w:tcW w:w="160" w:type="dxa"/>
            <w:vAlign w:val="bottom"/>
            <w:shd w:val="clear" w:color="auto" w:fill="CCEEFF"/>
          </w:tcPr>
          <w:p>
            <w:pPr>
              <w:spacing w:after="0"/>
              <w:rPr>
                <w:sz w:val="18"/>
                <w:szCs w:val="18"/>
                <w:color w:val="auto"/>
              </w:rPr>
            </w:pPr>
          </w:p>
        </w:tc>
        <w:tc>
          <w:tcPr>
            <w:tcW w:w="1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242,991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(8,232)</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(8,232)</w:t>
            </w:r>
          </w:p>
        </w:tc>
        <w:tc>
          <w:tcPr>
            <w:tcW w:w="1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(8,232)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2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Other comprehensive income</w:t>
            </w: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net of tax:</w:t>
            </w:r>
          </w:p>
        </w:tc>
        <w:tc>
          <w:tcPr>
            <w:tcW w:w="7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2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20" w:type="dxa"/>
            <w:vAlign w:val="bottom"/>
          </w:tcPr>
          <w:p>
            <w:pPr>
              <w:ind w:left="220"/>
              <w:spacing w:after="0" w:line="201" w:lineRule="exact"/>
              <w:rPr>
                <w:sz w:val="20"/>
                <w:szCs w:val="20"/>
                <w:color w:val="auto"/>
              </w:rPr>
            </w:pPr>
            <w:r>
              <w:rPr>
                <w:rFonts w:ascii="Times New Roman" w:cs="Times New Roman" w:eastAsia="Times New Roman" w:hAnsi="Times New Roman"/>
                <w:sz w:val="18"/>
                <w:szCs w:val="18"/>
                <w:color w:val="auto"/>
              </w:rPr>
              <w:t>Cumulative effect of change in</w:t>
            </w: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accounting for derivatives</w:t>
            </w: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323</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20" w:type="dxa"/>
            <w:vAlign w:val="bottom"/>
            <w:shd w:val="clear" w:color="auto" w:fill="CCEEFF"/>
          </w:tcPr>
          <w:p>
            <w:pPr>
              <w:ind w:left="220"/>
              <w:spacing w:after="0" w:line="203" w:lineRule="exact"/>
              <w:rPr>
                <w:sz w:val="20"/>
                <w:szCs w:val="20"/>
                <w:color w:val="auto"/>
              </w:rPr>
            </w:pPr>
            <w:r>
              <w:rPr>
                <w:rFonts w:ascii="Times New Roman" w:cs="Times New Roman" w:eastAsia="Times New Roman" w:hAnsi="Times New Roman"/>
                <w:sz w:val="18"/>
                <w:szCs w:val="18"/>
                <w:color w:val="auto"/>
              </w:rPr>
              <w:t>Change in fair value of</w:t>
            </w: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derivatives</w:t>
            </w:r>
          </w:p>
        </w:tc>
        <w:tc>
          <w:tcPr>
            <w:tcW w:w="7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342</w:t>
            </w:r>
          </w:p>
        </w:tc>
        <w:tc>
          <w:tcPr>
            <w:tcW w:w="160" w:type="dxa"/>
            <w:vAlign w:val="bottom"/>
            <w:shd w:val="clear" w:color="auto" w:fill="CCEEFF"/>
          </w:tcPr>
          <w:p>
            <w:pPr>
              <w:spacing w:after="0"/>
              <w:rPr>
                <w:sz w:val="20"/>
                <w:szCs w:val="20"/>
                <w:color w:val="auto"/>
              </w:rPr>
            </w:pPr>
          </w:p>
        </w:tc>
        <w:tc>
          <w:tcPr>
            <w:tcW w:w="12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Reclassifications into earnings</w:t>
            </w:r>
          </w:p>
        </w:tc>
        <w:tc>
          <w:tcPr>
            <w:tcW w:w="7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(3,151)</w:t>
            </w:r>
          </w:p>
        </w:tc>
        <w:tc>
          <w:tcPr>
            <w:tcW w:w="160" w:type="dxa"/>
            <w:vAlign w:val="bottom"/>
          </w:tcPr>
          <w:p>
            <w:pPr>
              <w:spacing w:after="0"/>
              <w:rPr>
                <w:sz w:val="21"/>
                <w:szCs w:val="21"/>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(3,151)</w:t>
            </w:r>
          </w:p>
        </w:tc>
        <w:tc>
          <w:tcPr>
            <w:tcW w:w="180" w:type="dxa"/>
            <w:vAlign w:val="bottom"/>
          </w:tcPr>
          <w:p>
            <w:pPr>
              <w:spacing w:after="0"/>
              <w:rPr>
                <w:sz w:val="21"/>
                <w:szCs w:val="21"/>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(3,151)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20" w:type="dxa"/>
            <w:vAlign w:val="bottom"/>
            <w:shd w:val="clear" w:color="auto" w:fill="CCEEFF"/>
          </w:tcPr>
          <w:p>
            <w:pPr>
              <w:ind w:left="220"/>
              <w:spacing w:after="0" w:line="203" w:lineRule="exact"/>
              <w:rPr>
                <w:sz w:val="20"/>
                <w:szCs w:val="20"/>
                <w:color w:val="auto"/>
              </w:rPr>
            </w:pPr>
            <w:r>
              <w:rPr>
                <w:rFonts w:ascii="Times New Roman" w:cs="Times New Roman" w:eastAsia="Times New Roman" w:hAnsi="Times New Roman"/>
                <w:sz w:val="18"/>
                <w:szCs w:val="18"/>
                <w:color w:val="auto"/>
              </w:rPr>
              <w:t>Net unrealized gain on</w:t>
            </w: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securities available-for-sale</w:t>
            </w:r>
          </w:p>
        </w:tc>
        <w:tc>
          <w:tcPr>
            <w:tcW w:w="7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833</w:t>
            </w:r>
          </w:p>
        </w:tc>
        <w:tc>
          <w:tcPr>
            <w:tcW w:w="160" w:type="dxa"/>
            <w:vAlign w:val="bottom"/>
            <w:shd w:val="clear" w:color="auto" w:fill="CCEEFF"/>
          </w:tcPr>
          <w:p>
            <w:pPr>
              <w:spacing w:after="0"/>
              <w:rPr>
                <w:sz w:val="20"/>
                <w:szCs w:val="20"/>
                <w:color w:val="auto"/>
              </w:rPr>
            </w:pPr>
          </w:p>
        </w:tc>
        <w:tc>
          <w:tcPr>
            <w:tcW w:w="12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2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Foreign currency translation</w:t>
            </w: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adjustments</w:t>
            </w: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(4,910)</w:t>
            </w:r>
          </w:p>
        </w:tc>
        <w:tc>
          <w:tcPr>
            <w:tcW w:w="16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(4,910)</w:t>
            </w:r>
          </w:p>
        </w:tc>
        <w:tc>
          <w:tcPr>
            <w:tcW w:w="18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(4,910)</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62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Other comprehensive income</w:t>
            </w: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w:t>
            </w:r>
          </w:p>
        </w:tc>
        <w:tc>
          <w:tcPr>
            <w:tcW w:w="7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0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(6,563)</w:t>
            </w:r>
          </w:p>
        </w:tc>
        <w:tc>
          <w:tcPr>
            <w:tcW w:w="160" w:type="dxa"/>
            <w:vAlign w:val="bottom"/>
            <w:shd w:val="clear" w:color="auto" w:fill="CCEEFF"/>
          </w:tcPr>
          <w:p>
            <w:pPr>
              <w:spacing w:after="0"/>
              <w:rPr>
                <w:sz w:val="20"/>
                <w:szCs w:val="20"/>
                <w:color w:val="auto"/>
              </w:rPr>
            </w:pPr>
          </w:p>
        </w:tc>
        <w:tc>
          <w:tcPr>
            <w:tcW w:w="120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18"/>
        </w:trPr>
        <w:tc>
          <w:tcPr>
            <w:tcW w:w="2640" w:type="dxa"/>
            <w:vAlign w:val="bottom"/>
            <w:gridSpan w:val="2"/>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comprehensive loss</w:t>
            </w: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(14,795)</w:t>
            </w: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62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Conversion of series A preferred</w:t>
            </w: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11,199</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112</w:t>
            </w: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119,288</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2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119,400</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(6,151)</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(6,151)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2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Common stock issued in</w:t>
            </w:r>
          </w:p>
        </w:tc>
        <w:tc>
          <w:tcPr>
            <w:tcW w:w="760" w:type="dxa"/>
            <w:vAlign w:val="bottom"/>
            <w:gridSpan w:val="2"/>
            <w:shd w:val="clear" w:color="auto" w:fill="CCEEFF"/>
          </w:tcPr>
          <w:p>
            <w:pPr>
              <w:jc w:val="right"/>
              <w:ind w:right="60"/>
              <w:spacing w:after="0" w:line="201" w:lineRule="exact"/>
              <w:rPr>
                <w:sz w:val="20"/>
                <w:szCs w:val="20"/>
                <w:color w:val="auto"/>
              </w:rPr>
            </w:pPr>
            <w:r>
              <w:rPr>
                <w:rFonts w:ascii="Times New Roman" w:cs="Times New Roman" w:eastAsia="Times New Roman" w:hAnsi="Times New Roman"/>
                <w:sz w:val="18"/>
                <w:szCs w:val="18"/>
                <w:color w:val="auto"/>
              </w:rPr>
              <w:t>14,950</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20"/>
              <w:spacing w:after="0" w:line="201" w:lineRule="exact"/>
              <w:rPr>
                <w:sz w:val="20"/>
                <w:szCs w:val="20"/>
                <w:color w:val="auto"/>
              </w:rPr>
            </w:pPr>
            <w:r>
              <w:rPr>
                <w:rFonts w:ascii="Times New Roman" w:cs="Times New Roman" w:eastAsia="Times New Roman" w:hAnsi="Times New Roman"/>
                <w:sz w:val="18"/>
                <w:szCs w:val="18"/>
                <w:color w:val="auto"/>
              </w:rPr>
              <w:t>150</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160,622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160,772</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conjunction with initial public</w:t>
            </w:r>
          </w:p>
        </w:tc>
        <w:tc>
          <w:tcPr>
            <w:tcW w:w="7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62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180" w:type="dxa"/>
            <w:vAlign w:val="bottom"/>
            <w:shd w:val="clear" w:color="auto" w:fill="CCEEFF"/>
          </w:tcPr>
          <w:p>
            <w:pPr>
              <w:spacing w:after="0"/>
              <w:rPr>
                <w:sz w:val="5"/>
                <w:szCs w:val="5"/>
                <w:color w:val="auto"/>
              </w:rPr>
            </w:pPr>
          </w:p>
        </w:tc>
        <w:tc>
          <w:tcPr>
            <w:tcW w:w="120" w:type="dxa"/>
            <w:vAlign w:val="bottom"/>
            <w:tcBorders>
              <w:right w:val="single" w:sz="8" w:color="CCEEFF"/>
            </w:tcBorders>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200" w:type="dxa"/>
            <w:vAlign w:val="bottom"/>
            <w:tcBorders>
              <w:right w:val="single" w:sz="8" w:color="CCEEFF"/>
            </w:tcBorders>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2695575</wp:posOffset>
            </wp:positionH>
            <wp:positionV relativeFrom="paragraph">
              <wp:posOffset>-5939790</wp:posOffset>
            </wp:positionV>
            <wp:extent cx="12700" cy="88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1675130</wp:posOffset>
            </wp:positionH>
            <wp:positionV relativeFrom="paragraph">
              <wp:posOffset>-5939790</wp:posOffset>
            </wp:positionV>
            <wp:extent cx="12700" cy="88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-5622290</wp:posOffset>
            </wp:positionV>
            <wp:extent cx="12700" cy="88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-5622290</wp:posOffset>
            </wp:positionV>
            <wp:extent cx="12700" cy="88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-5622290</wp:posOffset>
            </wp:positionV>
            <wp:extent cx="12700" cy="88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-5622290</wp:posOffset>
            </wp:positionV>
            <wp:extent cx="12700" cy="88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3433445</wp:posOffset>
            </wp:positionH>
            <wp:positionV relativeFrom="paragraph">
              <wp:posOffset>-5622290</wp:posOffset>
            </wp:positionV>
            <wp:extent cx="12700" cy="88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2781300</wp:posOffset>
            </wp:positionH>
            <wp:positionV relativeFrom="paragraph">
              <wp:posOffset>-5622290</wp:posOffset>
            </wp:positionV>
            <wp:extent cx="12700" cy="88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4067810</wp:posOffset>
            </wp:positionH>
            <wp:positionV relativeFrom="paragraph">
              <wp:posOffset>-5622290</wp:posOffset>
            </wp:positionV>
            <wp:extent cx="12700" cy="88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3510280</wp:posOffset>
            </wp:positionH>
            <wp:positionV relativeFrom="paragraph">
              <wp:posOffset>-5622290</wp:posOffset>
            </wp:positionV>
            <wp:extent cx="12700" cy="88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-5622290</wp:posOffset>
            </wp:positionV>
            <wp:extent cx="12700" cy="88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-5622290</wp:posOffset>
            </wp:positionV>
            <wp:extent cx="12700" cy="88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-5622290</wp:posOffset>
            </wp:positionV>
            <wp:extent cx="12700" cy="88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-5622290</wp:posOffset>
            </wp:positionV>
            <wp:extent cx="12700" cy="88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2104390</wp:posOffset>
            </wp:positionH>
            <wp:positionV relativeFrom="paragraph">
              <wp:posOffset>-5622290</wp:posOffset>
            </wp:positionV>
            <wp:extent cx="12700" cy="88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1675130</wp:posOffset>
            </wp:positionH>
            <wp:positionV relativeFrom="paragraph">
              <wp:posOffset>-5622290</wp:posOffset>
            </wp:positionV>
            <wp:extent cx="12700" cy="88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2695575</wp:posOffset>
            </wp:positionH>
            <wp:positionV relativeFrom="paragraph">
              <wp:posOffset>-5622290</wp:posOffset>
            </wp:positionV>
            <wp:extent cx="12700" cy="88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2190115</wp:posOffset>
            </wp:positionH>
            <wp:positionV relativeFrom="paragraph">
              <wp:posOffset>-5622290</wp:posOffset>
            </wp:positionV>
            <wp:extent cx="12700" cy="88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-4370705</wp:posOffset>
            </wp:positionV>
            <wp:extent cx="12700" cy="88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-4370705</wp:posOffset>
            </wp:positionV>
            <wp:extent cx="12700" cy="88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-4078605</wp:posOffset>
            </wp:positionV>
            <wp:extent cx="12700" cy="88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-4078605</wp:posOffset>
            </wp:positionV>
            <wp:extent cx="12700" cy="88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-4078605</wp:posOffset>
            </wp:positionV>
            <wp:extent cx="12700" cy="88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-4078605</wp:posOffset>
            </wp:positionV>
            <wp:extent cx="12700" cy="88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2104390</wp:posOffset>
            </wp:positionH>
            <wp:positionV relativeFrom="paragraph">
              <wp:posOffset>-3478530</wp:posOffset>
            </wp:positionV>
            <wp:extent cx="12700" cy="88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1675130</wp:posOffset>
            </wp:positionH>
            <wp:positionV relativeFrom="paragraph">
              <wp:posOffset>-3478530</wp:posOffset>
            </wp:positionV>
            <wp:extent cx="12700" cy="88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2695575</wp:posOffset>
            </wp:positionH>
            <wp:positionV relativeFrom="paragraph">
              <wp:posOffset>-3478530</wp:posOffset>
            </wp:positionV>
            <wp:extent cx="12700" cy="889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2190115</wp:posOffset>
            </wp:positionH>
            <wp:positionV relativeFrom="paragraph">
              <wp:posOffset>-3478530</wp:posOffset>
            </wp:positionV>
            <wp:extent cx="12700" cy="88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3433445</wp:posOffset>
            </wp:positionH>
            <wp:positionV relativeFrom="paragraph">
              <wp:posOffset>-3478530</wp:posOffset>
            </wp:positionV>
            <wp:extent cx="12700" cy="88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2781300</wp:posOffset>
            </wp:positionH>
            <wp:positionV relativeFrom="paragraph">
              <wp:posOffset>-3478530</wp:posOffset>
            </wp:positionV>
            <wp:extent cx="12700" cy="88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4067810</wp:posOffset>
            </wp:positionH>
            <wp:positionV relativeFrom="paragraph">
              <wp:posOffset>-3478530</wp:posOffset>
            </wp:positionV>
            <wp:extent cx="12700" cy="88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3510280</wp:posOffset>
            </wp:positionH>
            <wp:positionV relativeFrom="paragraph">
              <wp:posOffset>-3478530</wp:posOffset>
            </wp:positionV>
            <wp:extent cx="12700" cy="88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-3478530</wp:posOffset>
            </wp:positionV>
            <wp:extent cx="12700" cy="88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-3478530</wp:posOffset>
            </wp:positionV>
            <wp:extent cx="12700" cy="88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-3478530</wp:posOffset>
            </wp:positionV>
            <wp:extent cx="12700" cy="88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-3478530</wp:posOffset>
            </wp:positionV>
            <wp:extent cx="12700" cy="88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-3478530</wp:posOffset>
            </wp:positionV>
            <wp:extent cx="12700" cy="88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-3478530</wp:posOffset>
            </wp:positionV>
            <wp:extent cx="12700" cy="88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-1523365</wp:posOffset>
            </wp:positionV>
            <wp:extent cx="12700" cy="88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-1523365</wp:posOffset>
            </wp:positionV>
            <wp:extent cx="12700" cy="88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-1094740</wp:posOffset>
            </wp:positionV>
            <wp:extent cx="12700" cy="88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-1094740</wp:posOffset>
            </wp:positionV>
            <wp:extent cx="12700" cy="88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-1094740</wp:posOffset>
            </wp:positionV>
            <wp:extent cx="12700" cy="889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-1094740</wp:posOffset>
            </wp:positionV>
            <wp:extent cx="12700" cy="889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-802640</wp:posOffset>
            </wp:positionV>
            <wp:extent cx="12700" cy="889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-802640</wp:posOffset>
            </wp:positionV>
            <wp:extent cx="12700" cy="88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00" w:orient="portrait"/>
          <w:cols w:equalWidth="0" w:num="1">
            <w:col w:w="11420"/>
          </w:cols>
          <w:pgMar w:left="240" w:top="140" w:right="239" w:bottom="0" w:gutter="0" w:footer="0" w:header="0"/>
        </w:sectPr>
      </w:pPr>
    </w:p>
    <w:bookmarkStart w:id="32" w:name="page33"/>
    <w:bookmarkEnd w:id="32"/>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offering</w:t>
            </w:r>
          </w:p>
        </w:tc>
        <w:tc>
          <w:tcPr>
            <w:tcW w:w="70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tcBorders>
              <w:right w:val="single" w:sz="8" w:color="CCEEFF"/>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Other common stock issued</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62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December 31, 2001</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73,987</w:t>
            </w:r>
          </w:p>
        </w:tc>
        <w:tc>
          <w:tcPr>
            <w:tcW w:w="120" w:type="dxa"/>
            <w:vAlign w:val="bottom"/>
            <w:tcBorders>
              <w:right w:val="single" w:sz="8" w:color="CCEEFF"/>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740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509,741</w:t>
            </w:r>
          </w:p>
        </w:tc>
        <w:tc>
          <w:tcPr>
            <w:tcW w:w="12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tcBorders>
              <w:right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(6,151)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8,138</w:t>
            </w:r>
          </w:p>
        </w:tc>
        <w:tc>
          <w:tcPr>
            <w:tcW w:w="120" w:type="dxa"/>
            <w:vAlign w:val="bottom"/>
            <w:tcBorders>
              <w:right w:val="single" w:sz="8" w:color="CCEEFF"/>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(6,740)</w:t>
            </w: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505,728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26,203</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center"/>
              <w:ind w:right="572"/>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26,203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26,203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2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Other comprehensive income</w:t>
            </w:r>
          </w:p>
        </w:tc>
        <w:tc>
          <w:tcPr>
            <w:tcW w:w="70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net of tax:</w:t>
            </w:r>
          </w:p>
        </w:tc>
        <w:tc>
          <w:tcPr>
            <w:tcW w:w="700" w:type="dxa"/>
            <w:vAlign w:val="bottom"/>
            <w:shd w:val="clear" w:color="auto" w:fill="CCEEFF"/>
          </w:tcPr>
          <w:p>
            <w:pPr>
              <w:spacing w:after="0"/>
              <w:rPr>
                <w:sz w:val="20"/>
                <w:szCs w:val="20"/>
                <w:color w:val="auto"/>
              </w:rPr>
            </w:pPr>
          </w:p>
        </w:tc>
        <w:tc>
          <w:tcPr>
            <w:tcW w:w="120" w:type="dxa"/>
            <w:vAlign w:val="bottom"/>
            <w:tcBorders>
              <w:right w:val="single" w:sz="8" w:color="CCEEFF"/>
            </w:tcBorders>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20" w:type="dxa"/>
            <w:vAlign w:val="bottom"/>
            <w:tcBorders>
              <w:right w:val="single" w:sz="8" w:color="CCEEFF"/>
            </w:tcBorders>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20" w:type="dxa"/>
            <w:vAlign w:val="bottom"/>
            <w:tcBorders>
              <w:right w:val="single" w:sz="8" w:color="CCEEFF"/>
            </w:tcBorders>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20" w:type="dxa"/>
            <w:vAlign w:val="bottom"/>
            <w:tcBorders>
              <w:right w:val="single" w:sz="8" w:color="CCEEFF"/>
            </w:tcBorders>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tcBorders>
              <w:right w:val="single" w:sz="8" w:color="CCEEFF"/>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20" w:type="dxa"/>
            <w:vAlign w:val="bottom"/>
          </w:tcPr>
          <w:p>
            <w:pPr>
              <w:ind w:left="220"/>
              <w:spacing w:after="0" w:line="201" w:lineRule="exact"/>
              <w:rPr>
                <w:sz w:val="20"/>
                <w:szCs w:val="20"/>
                <w:color w:val="auto"/>
              </w:rPr>
            </w:pPr>
            <w:r>
              <w:rPr>
                <w:rFonts w:ascii="Times New Roman" w:cs="Times New Roman" w:eastAsia="Times New Roman" w:hAnsi="Times New Roman"/>
                <w:sz w:val="18"/>
                <w:szCs w:val="18"/>
                <w:color w:val="auto"/>
              </w:rPr>
              <w:t>Change in fair value of</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derivatives</w:t>
            </w: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(317)</w:t>
            </w: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(317)</w:t>
            </w:r>
          </w:p>
        </w:tc>
        <w:tc>
          <w:tcPr>
            <w:tcW w:w="16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Reclassifications into earnings</w:t>
            </w:r>
          </w:p>
        </w:tc>
        <w:tc>
          <w:tcPr>
            <w:tcW w:w="700" w:type="dxa"/>
            <w:vAlign w:val="bottom"/>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20" w:type="dxa"/>
            <w:vAlign w:val="bottom"/>
          </w:tcPr>
          <w:p>
            <w:pPr>
              <w:ind w:left="220"/>
              <w:spacing w:after="0" w:line="201" w:lineRule="exact"/>
              <w:rPr>
                <w:sz w:val="20"/>
                <w:szCs w:val="20"/>
                <w:color w:val="auto"/>
              </w:rPr>
            </w:pPr>
            <w:r>
              <w:rPr>
                <w:rFonts w:ascii="Times New Roman" w:cs="Times New Roman" w:eastAsia="Times New Roman" w:hAnsi="Times New Roman"/>
                <w:sz w:val="18"/>
                <w:szCs w:val="18"/>
                <w:color w:val="auto"/>
              </w:rPr>
              <w:t>Net unrealized gain on</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securities available-for-sale</w:t>
            </w: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1,635</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1,635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20" w:type="dxa"/>
            <w:vAlign w:val="bottom"/>
            <w:shd w:val="clear" w:color="auto" w:fill="CCEEFF"/>
          </w:tcPr>
          <w:p>
            <w:pPr>
              <w:ind w:left="220"/>
              <w:spacing w:after="0" w:line="203" w:lineRule="exact"/>
              <w:rPr>
                <w:sz w:val="20"/>
                <w:szCs w:val="20"/>
                <w:color w:val="auto"/>
              </w:rPr>
            </w:pPr>
            <w:r>
              <w:rPr>
                <w:rFonts w:ascii="Times New Roman" w:cs="Times New Roman" w:eastAsia="Times New Roman" w:hAnsi="Times New Roman"/>
                <w:sz w:val="18"/>
                <w:szCs w:val="18"/>
                <w:color w:val="auto"/>
              </w:rPr>
              <w:t>Foreign currency translation</w:t>
            </w:r>
          </w:p>
        </w:tc>
        <w:tc>
          <w:tcPr>
            <w:tcW w:w="70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adjustments</w:t>
            </w:r>
          </w:p>
        </w:tc>
        <w:tc>
          <w:tcPr>
            <w:tcW w:w="700" w:type="dxa"/>
            <w:vAlign w:val="bottom"/>
            <w:shd w:val="clear" w:color="auto" w:fill="CCEEFF"/>
          </w:tcPr>
          <w:p>
            <w:pPr>
              <w:spacing w:after="0"/>
              <w:rPr>
                <w:sz w:val="20"/>
                <w:szCs w:val="20"/>
                <w:color w:val="auto"/>
              </w:rPr>
            </w:pPr>
          </w:p>
        </w:tc>
        <w:tc>
          <w:tcPr>
            <w:tcW w:w="120" w:type="dxa"/>
            <w:vAlign w:val="bottom"/>
            <w:tcBorders>
              <w:right w:val="single" w:sz="8" w:color="CCEEFF"/>
            </w:tcBorders>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20" w:type="dxa"/>
            <w:vAlign w:val="bottom"/>
            <w:tcBorders>
              <w:right w:val="single" w:sz="8" w:color="CCEEFF"/>
            </w:tcBorders>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20" w:type="dxa"/>
            <w:vAlign w:val="bottom"/>
            <w:tcBorders>
              <w:right w:val="single" w:sz="8" w:color="CCEEFF"/>
            </w:tcBorders>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20" w:type="dxa"/>
            <w:vAlign w:val="bottom"/>
            <w:tcBorders>
              <w:right w:val="single" w:sz="8" w:color="CCEEFF"/>
            </w:tcBorders>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(3,081)</w:t>
            </w:r>
          </w:p>
        </w:tc>
        <w:tc>
          <w:tcPr>
            <w:tcW w:w="7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(3,081)</w:t>
            </w:r>
          </w:p>
        </w:tc>
        <w:tc>
          <w:tcPr>
            <w:tcW w:w="1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(3,081)</w:t>
            </w:r>
          </w:p>
        </w:tc>
        <w:tc>
          <w:tcPr>
            <w:tcW w:w="0" w:type="dxa"/>
            <w:vAlign w:val="bottom"/>
          </w:tcPr>
          <w:p>
            <w:pPr>
              <w:spacing w:after="0"/>
              <w:rPr>
                <w:sz w:val="1"/>
                <w:szCs w:val="1"/>
                <w:color w:val="auto"/>
              </w:rPr>
            </w:pPr>
          </w:p>
        </w:tc>
      </w:tr>
      <w:tr>
        <w:trPr>
          <w:trHeight w:val="118"/>
        </w:trPr>
        <w:tc>
          <w:tcPr>
            <w:tcW w:w="26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7"/>
        </w:trPr>
        <w:tc>
          <w:tcPr>
            <w:tcW w:w="2640" w:type="dxa"/>
            <w:vAlign w:val="bottom"/>
            <w:gridSpan w:val="2"/>
            <w:vMerge w:val="continue"/>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w:t>
            </w: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(1,670)</w:t>
            </w: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comprehensive income</w:t>
            </w:r>
          </w:p>
        </w:tc>
        <w:tc>
          <w:tcPr>
            <w:tcW w:w="7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center"/>
              <w:ind w:right="572"/>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24,533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6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Other common stock issued</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951</w:t>
            </w: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12,468</w:t>
            </w: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12,477</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64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2640" w:type="dxa"/>
            <w:vAlign w:val="bottom"/>
            <w:gridSpan w:val="2"/>
            <w:vMerge w:val="continue"/>
          </w:tcPr>
          <w:p>
            <w:pPr>
              <w:spacing w:after="0"/>
              <w:rPr>
                <w:sz w:val="24"/>
                <w:szCs w:val="24"/>
                <w:color w:val="auto"/>
              </w:rPr>
            </w:pPr>
          </w:p>
        </w:tc>
        <w:tc>
          <w:tcPr>
            <w:tcW w:w="7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December 31, 2002</w:t>
            </w:r>
          </w:p>
        </w:tc>
        <w:tc>
          <w:tcPr>
            <w:tcW w:w="1360" w:type="dxa"/>
            <w:vAlign w:val="bottom"/>
            <w:gridSpan w:val="3"/>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rPr>
              <w:t>74,938  $</w:t>
            </w:r>
          </w:p>
        </w:tc>
        <w:tc>
          <w:tcPr>
            <w:tcW w:w="7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749  $</w:t>
            </w:r>
          </w:p>
        </w:tc>
        <w:tc>
          <w:tcPr>
            <w:tcW w:w="1200" w:type="dxa"/>
            <w:vAlign w:val="bottom"/>
            <w:gridSpan w:val="3"/>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522,209 $</w:t>
            </w:r>
          </w:p>
        </w:tc>
        <w:tc>
          <w:tcPr>
            <w:tcW w:w="84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(6,151) $</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34,341</w:t>
            </w:r>
          </w:p>
        </w:tc>
        <w:tc>
          <w:tcPr>
            <w:tcW w:w="120" w:type="dxa"/>
            <w:vAlign w:val="bottom"/>
            <w:tcBorders>
              <w:right w:val="single" w:sz="8" w:color="CCEEFF"/>
            </w:tcBorders>
            <w:shd w:val="clear" w:color="auto" w:fill="CCEEFF"/>
          </w:tcPr>
          <w:p>
            <w:pPr>
              <w:spacing w:after="0"/>
              <w:rPr>
                <w:sz w:val="18"/>
                <w:szCs w:val="18"/>
                <w:color w:val="auto"/>
              </w:rPr>
            </w:pPr>
          </w:p>
        </w:tc>
        <w:tc>
          <w:tcPr>
            <w:tcW w:w="580" w:type="dxa"/>
            <w:vAlign w:val="bottom"/>
            <w:shd w:val="clear" w:color="auto" w:fill="CCEEFF"/>
          </w:tcPr>
          <w:p>
            <w:pPr>
              <w:jc w:val="right"/>
              <w:ind w:right="412"/>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(8,410)</w:t>
            </w: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542,738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20" w:type="dxa"/>
            <w:vAlign w:val="bottom"/>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760" w:type="dxa"/>
            <w:vAlign w:val="bottom"/>
            <w:tcBorders>
              <w:right w:val="single" w:sz="8" w:color="808080"/>
            </w:tcBorders>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780" w:type="dxa"/>
            <w:vAlign w:val="bottom"/>
            <w:gridSpan w:val="15"/>
          </w:tcPr>
          <w:p>
            <w:pPr>
              <w:jc w:val="center"/>
              <w:ind w:right="280"/>
              <w:spacing w:after="0"/>
              <w:rPr>
                <w:sz w:val="20"/>
                <w:szCs w:val="20"/>
                <w:color w:val="auto"/>
              </w:rPr>
            </w:pPr>
            <w:r>
              <w:rPr>
                <w:rFonts w:ascii="Times New Roman" w:cs="Times New Roman" w:eastAsia="Times New Roman" w:hAnsi="Times New Roman"/>
                <w:sz w:val="18"/>
                <w:szCs w:val="18"/>
                <w:color w:val="auto"/>
                <w:w w:val="97"/>
              </w:rPr>
              <w:t>See accompanying notes to consolidated financial statements.</w:t>
            </w: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F-5</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62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3280" w:type="dxa"/>
            <w:vAlign w:val="bottom"/>
            <w:tcBorders>
              <w:bottom w:val="single" w:sz="8" w:color="808080"/>
            </w:tcBorders>
            <w:gridSpan w:val="10"/>
          </w:tcPr>
          <w:p>
            <w:pPr>
              <w:spacing w:after="0"/>
              <w:rPr>
                <w:sz w:val="19"/>
                <w:szCs w:val="19"/>
                <w:color w:val="auto"/>
              </w:rPr>
            </w:pPr>
          </w:p>
        </w:tc>
        <w:tc>
          <w:tcPr>
            <w:tcW w:w="800" w:type="dxa"/>
            <w:vAlign w:val="bottom"/>
            <w:tcBorders>
              <w:bottom w:val="single" w:sz="8" w:color="808080"/>
            </w:tcBorders>
            <w:gridSpan w:val="3"/>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643"/>
        </w:trPr>
        <w:tc>
          <w:tcPr>
            <w:tcW w:w="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80" w:type="dxa"/>
            <w:vAlign w:val="bottom"/>
            <w:gridSpan w:val="13"/>
          </w:tcPr>
          <w:p>
            <w:pPr>
              <w:jc w:val="center"/>
              <w:ind w:left="292"/>
              <w:spacing w:after="0"/>
              <w:rPr>
                <w:sz w:val="20"/>
                <w:szCs w:val="20"/>
                <w:color w:val="auto"/>
              </w:rPr>
            </w:pPr>
            <w:r>
              <w:rPr>
                <w:rFonts w:ascii="Times New Roman" w:cs="Times New Roman" w:eastAsia="Times New Roman" w:hAnsi="Times New Roman"/>
                <w:sz w:val="18"/>
                <w:szCs w:val="18"/>
                <w:b w:val="1"/>
                <w:bCs w:val="1"/>
                <w:color w:val="auto"/>
                <w:w w:val="96"/>
              </w:rPr>
              <w:t>ALLIANCE DATA SYSTEMS CORPORATION</w:t>
            </w: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780" w:type="dxa"/>
            <w:vAlign w:val="bottom"/>
            <w:gridSpan w:val="1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6"/>
              </w:rPr>
              <w:t>CONSOLIDATED STATEMENTS OF CASH FLOWS</w:t>
            </w: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180" w:type="dxa"/>
            <w:vAlign w:val="bottom"/>
            <w:gridSpan w:val="7"/>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6"/>
              </w:rPr>
              <w:t>(in thousands)</w:t>
            </w: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Year Ended December 31,</w:t>
            </w: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gridSpan w:val="3"/>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gridSpan w:val="3"/>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400" w:type="dxa"/>
            <w:vAlign w:val="bottom"/>
            <w:tcBorders>
              <w:bottom w:val="single" w:sz="8" w:color="808080"/>
            </w:tcBorders>
            <w:gridSpan w:val="4"/>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26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40" w:type="dxa"/>
            <w:vAlign w:val="bottom"/>
            <w:gridSpan w:val="3"/>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2000</w:t>
            </w:r>
          </w:p>
        </w:tc>
        <w:tc>
          <w:tcPr>
            <w:tcW w:w="120" w:type="dxa"/>
            <w:vAlign w:val="bottom"/>
          </w:tcPr>
          <w:p>
            <w:pPr>
              <w:spacing w:after="0"/>
              <w:rPr>
                <w:sz w:val="23"/>
                <w:szCs w:val="23"/>
                <w:color w:val="auto"/>
              </w:rPr>
            </w:pPr>
          </w:p>
        </w:tc>
        <w:tc>
          <w:tcPr>
            <w:tcW w:w="1500" w:type="dxa"/>
            <w:vAlign w:val="bottom"/>
            <w:gridSpan w:val="4"/>
          </w:tcPr>
          <w:p>
            <w:pPr>
              <w:jc w:val="center"/>
              <w:ind w:left="16"/>
              <w:spacing w:after="0"/>
              <w:rPr>
                <w:sz w:val="20"/>
                <w:szCs w:val="20"/>
                <w:color w:val="auto"/>
              </w:rPr>
            </w:pPr>
            <w:r>
              <w:rPr>
                <w:rFonts w:ascii="Times New Roman" w:cs="Times New Roman" w:eastAsia="Times New Roman" w:hAnsi="Times New Roman"/>
                <w:sz w:val="14"/>
                <w:szCs w:val="14"/>
                <w:b w:val="1"/>
                <w:bCs w:val="1"/>
                <w:color w:val="auto"/>
                <w:w w:val="99"/>
              </w:rPr>
              <w:t>2001</w:t>
            </w:r>
          </w:p>
        </w:tc>
        <w:tc>
          <w:tcPr>
            <w:tcW w:w="80" w:type="dxa"/>
            <w:vAlign w:val="bottom"/>
          </w:tcPr>
          <w:p>
            <w:pPr>
              <w:spacing w:after="0"/>
              <w:rPr>
                <w:sz w:val="23"/>
                <w:szCs w:val="23"/>
                <w:color w:val="auto"/>
              </w:rPr>
            </w:pPr>
          </w:p>
        </w:tc>
        <w:tc>
          <w:tcPr>
            <w:tcW w:w="1540" w:type="dxa"/>
            <w:vAlign w:val="bottom"/>
            <w:gridSpan w:val="5"/>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2002</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980" w:type="dxa"/>
            <w:vAlign w:val="bottom"/>
            <w:gridSpan w:val="4"/>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96"/>
              </w:rPr>
              <w:t>CASH FLOWS FROM OPERATING ACTIVITIES:</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(21,323)</w:t>
            </w:r>
          </w:p>
        </w:tc>
        <w:tc>
          <w:tcPr>
            <w:tcW w:w="6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(8,232)</w:t>
            </w:r>
          </w:p>
        </w:tc>
        <w:tc>
          <w:tcPr>
            <w:tcW w:w="5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26,203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gridSpan w:val="14"/>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(loss) to net cash provided by operating activities:</w:t>
            </w:r>
          </w:p>
        </w:tc>
        <w:tc>
          <w:tcPr>
            <w:tcW w:w="5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76,144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74,204</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66,475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income taxes</w:t>
            </w:r>
          </w:p>
        </w:tc>
        <w:tc>
          <w:tcPr>
            <w:tcW w:w="700" w:type="dxa"/>
            <w:vAlign w:val="bottom"/>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(13,114)</w:t>
            </w:r>
          </w:p>
        </w:tc>
        <w:tc>
          <w:tcPr>
            <w:tcW w:w="1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13,499</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12,282</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Accretion of deferred income</w:t>
            </w: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(5,967)</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(4,729)</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(1,559)</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980" w:type="dxa"/>
            <w:vAlign w:val="bottom"/>
            <w:gridSpan w:val="4"/>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Fair value loss on interest rate derivative</w:t>
            </w:r>
          </w:p>
        </w:tc>
        <w:tc>
          <w:tcPr>
            <w:tcW w:w="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15,131</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12,017</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98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Provision (credit) for doubtful accounts</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(2,797)</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(4,492)</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11,015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680" w:type="dxa"/>
            <w:vAlign w:val="bottom"/>
            <w:gridSpan w:val="7"/>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Change in operating assets and liabilities, net of acquisitions:</w:t>
            </w:r>
          </w:p>
        </w:tc>
        <w:tc>
          <w:tcPr>
            <w:tcW w:w="720" w:type="dxa"/>
            <w:vAlign w:val="bottom"/>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60" w:type="dxa"/>
            <w:vAlign w:val="bottom"/>
            <w:tcBorders>
              <w:right w:val="single" w:sz="8" w:color="CCEEFF"/>
            </w:tcBorders>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980" w:type="dxa"/>
            <w:vAlign w:val="bottom"/>
            <w:gridSpan w:val="4"/>
          </w:tcPr>
          <w:p>
            <w:pPr>
              <w:ind w:left="440"/>
              <w:spacing w:after="0"/>
              <w:rPr>
                <w:sz w:val="20"/>
                <w:szCs w:val="20"/>
                <w:color w:val="auto"/>
              </w:rPr>
            </w:pPr>
            <w:r>
              <w:rPr>
                <w:rFonts w:ascii="Times New Roman" w:cs="Times New Roman" w:eastAsia="Times New Roman" w:hAnsi="Times New Roman"/>
                <w:sz w:val="18"/>
                <w:szCs w:val="18"/>
                <w:color w:val="auto"/>
              </w:rPr>
              <w:t>Change in trade accounts receivable</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(43,845)</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11,062</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3,016</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980" w:type="dxa"/>
            <w:vAlign w:val="bottom"/>
            <w:gridSpan w:val="4"/>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Change in merchant settlement activity</w:t>
            </w:r>
          </w:p>
        </w:tc>
        <w:tc>
          <w:tcPr>
            <w:tcW w:w="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17,148</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55,240</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(69,387)</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6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Change in other assets</w:t>
            </w: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20,056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(6,457)</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(8,849)</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980" w:type="dxa"/>
            <w:vAlign w:val="bottom"/>
            <w:gridSpan w:val="4"/>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w w:val="97"/>
              </w:rPr>
              <w:t>Change in accounts payable and accrued expenses</w:t>
            </w:r>
          </w:p>
        </w:tc>
        <w:tc>
          <w:tcPr>
            <w:tcW w:w="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12,550</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(5,793)</w:t>
            </w:r>
          </w:p>
        </w:tc>
        <w:tc>
          <w:tcPr>
            <w:tcW w:w="1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(7,649)</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6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Change in deferred revenue</w:t>
            </w: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40,845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39,363</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30,515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6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Change in other liabilities</w:t>
            </w:r>
          </w:p>
        </w:tc>
        <w:tc>
          <w:tcPr>
            <w:tcW w:w="700" w:type="dxa"/>
            <w:vAlign w:val="bottom"/>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(9,115)</w:t>
            </w:r>
          </w:p>
        </w:tc>
        <w:tc>
          <w:tcPr>
            <w:tcW w:w="1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Purchase of credit card receivables</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(106,308)</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(104,858)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sale of credit card receivable portfolios</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104,882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154,046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Other operating activities</w:t>
            </w: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7,011</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3980" w:type="dxa"/>
            <w:vAlign w:val="bottom"/>
            <w:gridSpan w:val="4"/>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87,183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168,255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127,762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400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b w:val="1"/>
                <w:bCs w:val="1"/>
                <w:color w:val="auto"/>
                <w:w w:val="99"/>
              </w:rPr>
              <w:t>CASH FLOWS FROM INVESTING ACTIVITIES:</w:t>
            </w: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000" w:type="dxa"/>
            <w:vAlign w:val="bottom"/>
            <w:gridSpan w:val="5"/>
            <w:vMerge w:val="continue"/>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9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decrease in redemption settlement assets</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(18,357)</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(15,963)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Change in due from securitizations</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14,280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(82,162)</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(17,631)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business acquisitions, net of cash acquired</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(88,977)</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(35,891)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Change in seller's interest</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12,703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15,117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(80,739)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7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(33,083)</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(36,637)</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(42,379)</w:t>
            </w:r>
          </w:p>
        </w:tc>
        <w:tc>
          <w:tcPr>
            <w:tcW w:w="0" w:type="dxa"/>
            <w:vAlign w:val="bottom"/>
          </w:tcPr>
          <w:p>
            <w:pPr>
              <w:spacing w:after="0"/>
              <w:rPr>
                <w:sz w:val="1"/>
                <w:szCs w:val="1"/>
                <w:color w:val="auto"/>
              </w:rPr>
            </w:pPr>
          </w:p>
        </w:tc>
      </w:tr>
      <w:tr>
        <w:trPr>
          <w:trHeight w:val="118"/>
        </w:trPr>
        <w:tc>
          <w:tcPr>
            <w:tcW w:w="2640" w:type="dxa"/>
            <w:vAlign w:val="bottom"/>
            <w:gridSpan w:val="2"/>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(24,457)</w:t>
            </w: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(190,982)</w:t>
            </w: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(192,603)</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980" w:type="dxa"/>
            <w:vAlign w:val="bottom"/>
            <w:gridSpan w:val="4"/>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98"/>
              </w:rPr>
              <w:t>CASH FLOWS FROM FINANCING ACTIVITIES:</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Borrowings under debt agreements</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148,546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376,300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543,960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26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tcBorders>
              <w:right w:val="single" w:sz="8" w:color="CCEEFF"/>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2104390</wp:posOffset>
            </wp:positionH>
            <wp:positionV relativeFrom="paragraph">
              <wp:posOffset>-10159365</wp:posOffset>
            </wp:positionV>
            <wp:extent cx="12700" cy="88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1675130</wp:posOffset>
            </wp:positionH>
            <wp:positionV relativeFrom="paragraph">
              <wp:posOffset>-10159365</wp:posOffset>
            </wp:positionV>
            <wp:extent cx="12700" cy="889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2695575</wp:posOffset>
            </wp:positionH>
            <wp:positionV relativeFrom="paragraph">
              <wp:posOffset>-10159365</wp:posOffset>
            </wp:positionV>
            <wp:extent cx="12700" cy="889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2190115</wp:posOffset>
            </wp:positionH>
            <wp:positionV relativeFrom="paragraph">
              <wp:posOffset>-10159365</wp:posOffset>
            </wp:positionV>
            <wp:extent cx="12700" cy="889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3433445</wp:posOffset>
            </wp:positionH>
            <wp:positionV relativeFrom="paragraph">
              <wp:posOffset>-10159365</wp:posOffset>
            </wp:positionV>
            <wp:extent cx="12700" cy="889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2781300</wp:posOffset>
            </wp:positionH>
            <wp:positionV relativeFrom="paragraph">
              <wp:posOffset>-10159365</wp:posOffset>
            </wp:positionV>
            <wp:extent cx="12700" cy="889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4067810</wp:posOffset>
            </wp:positionH>
            <wp:positionV relativeFrom="paragraph">
              <wp:posOffset>-10159365</wp:posOffset>
            </wp:positionV>
            <wp:extent cx="12700" cy="889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3510280</wp:posOffset>
            </wp:positionH>
            <wp:positionV relativeFrom="paragraph">
              <wp:posOffset>-10159365</wp:posOffset>
            </wp:positionV>
            <wp:extent cx="12700" cy="889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-10159365</wp:posOffset>
            </wp:positionV>
            <wp:extent cx="12700" cy="889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-10159365</wp:posOffset>
            </wp:positionV>
            <wp:extent cx="12700" cy="889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-10159365</wp:posOffset>
            </wp:positionV>
            <wp:extent cx="12700" cy="889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-10159365</wp:posOffset>
            </wp:positionV>
            <wp:extent cx="12700" cy="889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-10159365</wp:posOffset>
            </wp:positionV>
            <wp:extent cx="12700" cy="889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-10159365</wp:posOffset>
            </wp:positionV>
            <wp:extent cx="12700" cy="889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-8478520</wp:posOffset>
            </wp:positionV>
            <wp:extent cx="12700" cy="889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-8478520</wp:posOffset>
            </wp:positionV>
            <wp:extent cx="12700" cy="889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-8049260</wp:posOffset>
            </wp:positionV>
            <wp:extent cx="12700" cy="889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-8049260</wp:posOffset>
            </wp:positionV>
            <wp:extent cx="12700" cy="889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-8049260</wp:posOffset>
            </wp:positionV>
            <wp:extent cx="12700" cy="889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-8049260</wp:posOffset>
            </wp:positionV>
            <wp:extent cx="12700" cy="889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2104390</wp:posOffset>
            </wp:positionH>
            <wp:positionV relativeFrom="paragraph">
              <wp:posOffset>-7449185</wp:posOffset>
            </wp:positionV>
            <wp:extent cx="12700" cy="889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1675130</wp:posOffset>
            </wp:positionH>
            <wp:positionV relativeFrom="paragraph">
              <wp:posOffset>-7449185</wp:posOffset>
            </wp:positionV>
            <wp:extent cx="12700" cy="889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2695575</wp:posOffset>
            </wp:positionH>
            <wp:positionV relativeFrom="paragraph">
              <wp:posOffset>-7449185</wp:posOffset>
            </wp:positionV>
            <wp:extent cx="12700" cy="889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2190115</wp:posOffset>
            </wp:positionH>
            <wp:positionV relativeFrom="paragraph">
              <wp:posOffset>-7449185</wp:posOffset>
            </wp:positionV>
            <wp:extent cx="12700" cy="889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3433445</wp:posOffset>
            </wp:positionH>
            <wp:positionV relativeFrom="paragraph">
              <wp:posOffset>-7449185</wp:posOffset>
            </wp:positionV>
            <wp:extent cx="12700" cy="889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2781300</wp:posOffset>
            </wp:positionH>
            <wp:positionV relativeFrom="paragraph">
              <wp:posOffset>-7449185</wp:posOffset>
            </wp:positionV>
            <wp:extent cx="12700" cy="889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4067810</wp:posOffset>
            </wp:positionH>
            <wp:positionV relativeFrom="paragraph">
              <wp:posOffset>-7449185</wp:posOffset>
            </wp:positionV>
            <wp:extent cx="12700" cy="889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3510280</wp:posOffset>
            </wp:positionH>
            <wp:positionV relativeFrom="paragraph">
              <wp:posOffset>-7449185</wp:posOffset>
            </wp:positionV>
            <wp:extent cx="12700" cy="889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-7449185</wp:posOffset>
            </wp:positionV>
            <wp:extent cx="12700" cy="889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-7449185</wp:posOffset>
            </wp:positionV>
            <wp:extent cx="12700" cy="889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-7449185</wp:posOffset>
            </wp:positionV>
            <wp:extent cx="12700" cy="889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-7449185</wp:posOffset>
            </wp:positionV>
            <wp:extent cx="12700" cy="889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-7449185</wp:posOffset>
            </wp:positionV>
            <wp:extent cx="12700" cy="889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-7449185</wp:posOffset>
            </wp:positionV>
            <wp:extent cx="12700" cy="889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-6368415</wp:posOffset>
            </wp:positionV>
            <wp:extent cx="12700" cy="889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-6368415</wp:posOffset>
            </wp:positionV>
            <wp:extent cx="12700" cy="889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-5090795</wp:posOffset>
            </wp:positionV>
            <wp:extent cx="12700" cy="889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-5090795</wp:posOffset>
            </wp:positionV>
            <wp:extent cx="12700" cy="889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-4841875</wp:posOffset>
            </wp:positionV>
            <wp:extent cx="12700" cy="889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-4841875</wp:posOffset>
            </wp:positionV>
            <wp:extent cx="12700" cy="889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-4841875</wp:posOffset>
            </wp:positionV>
            <wp:extent cx="12700" cy="889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-4841875</wp:posOffset>
            </wp:positionV>
            <wp:extent cx="12700" cy="889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-4841875</wp:posOffset>
            </wp:positionV>
            <wp:extent cx="12700" cy="889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-4841875</wp:posOffset>
            </wp:positionV>
            <wp:extent cx="12700" cy="889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-2012315</wp:posOffset>
            </wp:positionV>
            <wp:extent cx="12700" cy="889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-2012315</wp:posOffset>
            </wp:positionV>
            <wp:extent cx="12700" cy="889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-2012315</wp:posOffset>
            </wp:positionV>
            <wp:extent cx="12700" cy="889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-2012315</wp:posOffset>
            </wp:positionV>
            <wp:extent cx="12700" cy="889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-2012315</wp:posOffset>
            </wp:positionV>
            <wp:extent cx="12700" cy="889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-2012315</wp:posOffset>
            </wp:positionV>
            <wp:extent cx="12700" cy="889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-1720215</wp:posOffset>
            </wp:positionV>
            <wp:extent cx="12700" cy="889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-1720215</wp:posOffset>
            </wp:positionV>
            <wp:extent cx="12700" cy="889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-1720215</wp:posOffset>
            </wp:positionV>
            <wp:extent cx="12700" cy="889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-1720215</wp:posOffset>
            </wp:positionV>
            <wp:extent cx="12700" cy="889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-1720215</wp:posOffset>
            </wp:positionV>
            <wp:extent cx="12700" cy="889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-1720215</wp:posOffset>
            </wp:positionV>
            <wp:extent cx="12700" cy="889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-742950</wp:posOffset>
            </wp:positionV>
            <wp:extent cx="12700" cy="889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-742950</wp:posOffset>
            </wp:positionV>
            <wp:extent cx="12700" cy="889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-742950</wp:posOffset>
            </wp:positionV>
            <wp:extent cx="12700" cy="889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-742950</wp:posOffset>
            </wp:positionV>
            <wp:extent cx="12700" cy="889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-742950</wp:posOffset>
            </wp:positionV>
            <wp:extent cx="12700" cy="889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-742950</wp:posOffset>
            </wp:positionV>
            <wp:extent cx="12700" cy="889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-451485</wp:posOffset>
            </wp:positionV>
            <wp:extent cx="12700" cy="889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-451485</wp:posOffset>
            </wp:positionV>
            <wp:extent cx="12700" cy="889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-451485</wp:posOffset>
            </wp:positionV>
            <wp:extent cx="12700" cy="889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-451485</wp:posOffset>
            </wp:positionV>
            <wp:extent cx="12700" cy="889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-451485</wp:posOffset>
            </wp:positionV>
            <wp:extent cx="12700" cy="889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-451485</wp:posOffset>
            </wp:positionV>
            <wp:extent cx="12700" cy="889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00" w:orient="portrait"/>
          <w:cols w:equalWidth="0" w:num="1">
            <w:col w:w="11420"/>
          </w:cols>
          <w:pgMar w:left="240" w:top="140" w:right="239" w:bottom="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 of borrowings</w:t>
            </w:r>
          </w:p>
        </w:tc>
        <w:tc>
          <w:tcPr>
            <w:tcW w:w="4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(147,551)</w:t>
            </w:r>
          </w:p>
        </w:tc>
        <w:tc>
          <w:tcPr>
            <w:tcW w:w="4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(501,935)</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(569,488)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issuance of common stock</w:t>
            </w:r>
          </w:p>
        </w:tc>
        <w:tc>
          <w:tcPr>
            <w:tcW w:w="4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164,283</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4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(6,151)</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18"/>
        </w:trPr>
        <w:tc>
          <w:tcPr>
            <w:tcW w:w="6740" w:type="dxa"/>
            <w:vAlign w:val="bottom"/>
            <w:gridSpan w:val="2"/>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6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4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1,144</w:t>
            </w: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32,497</w:t>
            </w: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(15,999)</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6720" w:type="dxa"/>
            <w:vAlign w:val="bottom"/>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96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 changes</w:t>
            </w:r>
          </w:p>
        </w:tc>
        <w:tc>
          <w:tcPr>
            <w:tcW w:w="4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(3,475)</w:t>
            </w:r>
          </w:p>
        </w:tc>
        <w:tc>
          <w:tcPr>
            <w:tcW w:w="4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(9,176)</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(6,256)</w:t>
            </w:r>
          </w:p>
        </w:tc>
        <w:tc>
          <w:tcPr>
            <w:tcW w:w="0" w:type="dxa"/>
            <w:vAlign w:val="bottom"/>
          </w:tcPr>
          <w:p>
            <w:pPr>
              <w:spacing w:after="0"/>
              <w:rPr>
                <w:sz w:val="1"/>
                <w:szCs w:val="1"/>
                <w:color w:val="auto"/>
              </w:rPr>
            </w:pPr>
          </w:p>
        </w:tc>
      </w:tr>
      <w:tr>
        <w:trPr>
          <w:trHeight w:val="118"/>
        </w:trPr>
        <w:tc>
          <w:tcPr>
            <w:tcW w:w="6740" w:type="dxa"/>
            <w:vAlign w:val="bottom"/>
            <w:gridSpan w:val="2"/>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6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 in cash and cash equivalents</w:t>
            </w:r>
          </w:p>
        </w:tc>
        <w:tc>
          <w:tcPr>
            <w:tcW w:w="4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60,395</w:t>
            </w: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(87,096)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year</w:t>
            </w: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56,546</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116,941</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6740" w:type="dxa"/>
            <w:vAlign w:val="bottom"/>
            <w:gridSpan w:val="2"/>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6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 at end of year</w:t>
            </w:r>
          </w:p>
        </w:tc>
        <w:tc>
          <w:tcPr>
            <w:tcW w:w="4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116,941</w:t>
            </w:r>
          </w:p>
        </w:tc>
        <w:tc>
          <w:tcPr>
            <w:tcW w:w="240" w:type="dxa"/>
            <w:vAlign w:val="bottom"/>
          </w:tcPr>
          <w:p>
            <w:pPr>
              <w:spacing w:after="0"/>
              <w:rPr>
                <w:sz w:val="24"/>
                <w:szCs w:val="24"/>
                <w:color w:val="auto"/>
              </w:rPr>
            </w:pPr>
          </w:p>
        </w:tc>
        <w:tc>
          <w:tcPr>
            <w:tcW w:w="420" w:type="dxa"/>
            <w:vAlign w:val="bottom"/>
          </w:tcPr>
          <w:p>
            <w:pPr>
              <w:jc w:val="right"/>
              <w:ind w:right="258"/>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117,535</w:t>
            </w:r>
          </w:p>
        </w:tc>
        <w:tc>
          <w:tcPr>
            <w:tcW w:w="220" w:type="dxa"/>
            <w:vAlign w:val="bottom"/>
          </w:tcPr>
          <w:p>
            <w:pPr>
              <w:spacing w:after="0"/>
              <w:rPr>
                <w:sz w:val="24"/>
                <w:szCs w:val="24"/>
                <w:color w:val="auto"/>
              </w:rPr>
            </w:pPr>
          </w:p>
        </w:tc>
        <w:tc>
          <w:tcPr>
            <w:tcW w:w="400" w:type="dxa"/>
            <w:vAlign w:val="bottom"/>
          </w:tcPr>
          <w:p>
            <w:pPr>
              <w:jc w:val="right"/>
              <w:ind w:right="238"/>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30,439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96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720" w:type="dxa"/>
            <w:vAlign w:val="bottom"/>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96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Interest paid</w:t>
            </w:r>
          </w:p>
        </w:tc>
        <w:tc>
          <w:tcPr>
            <w:tcW w:w="4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38,078</w:t>
            </w:r>
          </w:p>
        </w:tc>
        <w:tc>
          <w:tcPr>
            <w:tcW w:w="240" w:type="dxa"/>
            <w:vAlign w:val="bottom"/>
          </w:tcPr>
          <w:p>
            <w:pPr>
              <w:spacing w:after="0"/>
              <w:rPr>
                <w:sz w:val="19"/>
                <w:szCs w:val="19"/>
                <w:color w:val="auto"/>
              </w:rPr>
            </w:pPr>
          </w:p>
        </w:tc>
        <w:tc>
          <w:tcPr>
            <w:tcW w:w="420" w:type="dxa"/>
            <w:vAlign w:val="bottom"/>
          </w:tcPr>
          <w:p>
            <w:pPr>
              <w:jc w:val="right"/>
              <w:ind w:right="258"/>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31,732</w:t>
            </w:r>
          </w:p>
        </w:tc>
        <w:tc>
          <w:tcPr>
            <w:tcW w:w="220" w:type="dxa"/>
            <w:vAlign w:val="bottom"/>
          </w:tcPr>
          <w:p>
            <w:pPr>
              <w:spacing w:after="0"/>
              <w:rPr>
                <w:sz w:val="19"/>
                <w:szCs w:val="19"/>
                <w:color w:val="auto"/>
              </w:rPr>
            </w:pPr>
          </w:p>
        </w:tc>
        <w:tc>
          <w:tcPr>
            <w:tcW w:w="400" w:type="dxa"/>
            <w:vAlign w:val="bottom"/>
          </w:tcPr>
          <w:p>
            <w:pPr>
              <w:jc w:val="right"/>
              <w:ind w:right="238"/>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6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9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9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720" w:type="dxa"/>
            <w:vAlign w:val="bottom"/>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96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taxes paid, net of refunds</w:t>
            </w:r>
          </w:p>
        </w:tc>
        <w:tc>
          <w:tcPr>
            <w:tcW w:w="4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14,498</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58"/>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3,589</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38"/>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6740" w:type="dxa"/>
            <w:vAlign w:val="bottom"/>
            <w:gridSpan w:val="2"/>
          </w:tcPr>
          <w:p>
            <w:pPr>
              <w:spacing w:after="0"/>
              <w:rPr>
                <w:sz w:val="9"/>
                <w:szCs w:val="9"/>
                <w:color w:val="auto"/>
              </w:rPr>
            </w:pPr>
          </w:p>
        </w:tc>
        <w:tc>
          <w:tcPr>
            <w:tcW w:w="420" w:type="dxa"/>
            <w:vAlign w:val="bottom"/>
          </w:tcPr>
          <w:p>
            <w:pPr>
              <w:spacing w:after="0"/>
              <w:rPr>
                <w:sz w:val="9"/>
                <w:szCs w:val="9"/>
                <w:color w:val="auto"/>
              </w:rPr>
            </w:pPr>
          </w:p>
        </w:tc>
        <w:tc>
          <w:tcPr>
            <w:tcW w:w="96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6740" w:type="dxa"/>
            <w:vAlign w:val="bottom"/>
            <w:gridSpan w:val="2"/>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6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NONCASH FINANCING INFORMATION:</w:t>
            </w: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stock conversion</w:t>
            </w:r>
          </w:p>
        </w:tc>
        <w:tc>
          <w:tcPr>
            <w:tcW w:w="4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ind w:right="258"/>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119,400</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38"/>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96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720" w:type="dxa"/>
            <w:vAlign w:val="bottom"/>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5148580</wp:posOffset>
            </wp:positionH>
            <wp:positionV relativeFrom="paragraph">
              <wp:posOffset>-2535555</wp:posOffset>
            </wp:positionV>
            <wp:extent cx="12700" cy="889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-2535555</wp:posOffset>
            </wp:positionV>
            <wp:extent cx="12700" cy="889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-2535555</wp:posOffset>
            </wp:positionV>
            <wp:extent cx="12700" cy="889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-2535555</wp:posOffset>
            </wp:positionV>
            <wp:extent cx="12700" cy="889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-2535555</wp:posOffset>
            </wp:positionV>
            <wp:extent cx="12700" cy="889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-2535555</wp:posOffset>
            </wp:positionV>
            <wp:extent cx="12700" cy="889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-2244090</wp:posOffset>
            </wp:positionV>
            <wp:extent cx="12700" cy="889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-2244090</wp:posOffset>
            </wp:positionV>
            <wp:extent cx="12700" cy="889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-2244090</wp:posOffset>
            </wp:positionV>
            <wp:extent cx="12700" cy="889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-2244090</wp:posOffset>
            </wp:positionV>
            <wp:extent cx="12700" cy="889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-2244090</wp:posOffset>
            </wp:positionV>
            <wp:extent cx="12700" cy="889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-2244090</wp:posOffset>
            </wp:positionV>
            <wp:extent cx="12700" cy="889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-1952625</wp:posOffset>
            </wp:positionV>
            <wp:extent cx="12700" cy="889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-1952625</wp:posOffset>
            </wp:positionV>
            <wp:extent cx="12700" cy="889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-1952625</wp:posOffset>
            </wp:positionV>
            <wp:extent cx="12700" cy="889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-1952625</wp:posOffset>
            </wp:positionV>
            <wp:extent cx="12700" cy="889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-1952625</wp:posOffset>
            </wp:positionV>
            <wp:extent cx="12700" cy="889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-1952625</wp:posOffset>
            </wp:positionV>
            <wp:extent cx="12700" cy="889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-1523365</wp:posOffset>
            </wp:positionV>
            <wp:extent cx="12700" cy="889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-1523365</wp:posOffset>
            </wp:positionV>
            <wp:extent cx="12700" cy="889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-1523365</wp:posOffset>
            </wp:positionV>
            <wp:extent cx="12700" cy="889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-1523365</wp:posOffset>
            </wp:positionV>
            <wp:extent cx="12700" cy="889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-1523365</wp:posOffset>
            </wp:positionV>
            <wp:extent cx="12700" cy="889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-1523365</wp:posOffset>
            </wp:positionV>
            <wp:extent cx="12700" cy="889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ALLIANCE DATA SYSTEMS CORPORATION</w:t>
      </w:r>
    </w:p>
    <w:p>
      <w:pPr>
        <w:spacing w:after="0" w:line="225"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6"/>
          <w:szCs w:val="16"/>
          <w:b w:val="1"/>
          <w:bCs w:val="1"/>
          <w:color w:val="auto"/>
        </w:rPr>
        <w:t>DESCRIPTION OF BUSINESS AND BASIS OF PRESENTATION</w:t>
      </w:r>
    </w:p>
    <w:p>
      <w:pPr>
        <w:spacing w:after="0" w:line="223" w:lineRule="exact"/>
        <w:rPr>
          <w:sz w:val="20"/>
          <w:szCs w:val="20"/>
          <w:color w:val="auto"/>
        </w:rPr>
      </w:pPr>
    </w:p>
    <w:p>
      <w:pPr>
        <w:ind w:right="140" w:firstLine="351"/>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Description of the Business</w:t>
      </w:r>
      <w:r>
        <w:rPr>
          <w:rFonts w:ascii="Times New Roman" w:cs="Times New Roman" w:eastAsia="Times New Roman" w:hAnsi="Times New Roman"/>
          <w:sz w:val="18"/>
          <w:szCs w:val="18"/>
          <w:color w:val="auto"/>
        </w:rPr>
        <w:t>—Alliance Data Systems Corporation ("ADSC" or, including its wholly owned subsidiaries, the "Company") is a leading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provider of transaction services, credit services and marketing services in North America. The Company focuses on facilitating and managing transactions between its clients and their customers through multiple distribution channels including in-store, catalog and the Internet. Through the Credit Services and Marketing Services segments, the Company assists its clients in identifying and acquiring new customers and helps to increase the loyalty and profitability of its clients' existing customers.</w:t>
      </w:r>
    </w:p>
    <w:p>
      <w:pPr>
        <w:spacing w:after="0" w:line="192" w:lineRule="exact"/>
        <w:rPr>
          <w:sz w:val="20"/>
          <w:szCs w:val="20"/>
          <w:color w:val="auto"/>
        </w:rPr>
      </w:pPr>
    </w:p>
    <w:p>
      <w:pPr>
        <w:ind w:right="120" w:firstLine="348"/>
        <w:spacing w:after="0" w:line="256" w:lineRule="auto"/>
        <w:rPr>
          <w:sz w:val="20"/>
          <w:szCs w:val="20"/>
          <w:color w:val="auto"/>
        </w:rPr>
      </w:pPr>
      <w:r>
        <w:rPr>
          <w:rFonts w:ascii="Times New Roman" w:cs="Times New Roman" w:eastAsia="Times New Roman" w:hAnsi="Times New Roman"/>
          <w:sz w:val="18"/>
          <w:szCs w:val="18"/>
          <w:color w:val="auto"/>
        </w:rPr>
        <w:t>The Company operates in three reportable segments: Transaction Services, Credit Services and Marketing Services. Transaction Services encompasses card processing, billing and payment processing and customer care for specialty and petroleum retailers (issuer services), customer information system hosting, customer care and billing and payment processing for regulated and de-regulated utilities (utility services) and point-of-sale services (merchant services). Credit Services provides private label receivables financing. Credit Services generally securitizes the credit card receivables that it underwrites from its private label programs. Marketing Services provides loyalty programs, such as the AIR MILES® Reward Program and other marketing services.</w:t>
      </w:r>
    </w:p>
    <w:p>
      <w:pPr>
        <w:spacing w:after="0" w:line="191"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2.</w:t>
      </w:r>
      <w:r>
        <w:rPr>
          <w:sz w:val="20"/>
          <w:szCs w:val="20"/>
          <w:color w:val="auto"/>
        </w:rPr>
        <w:tab/>
      </w:r>
      <w:r>
        <w:rPr>
          <w:rFonts w:ascii="Times New Roman" w:cs="Times New Roman" w:eastAsia="Times New Roman" w:hAnsi="Times New Roman"/>
          <w:sz w:val="16"/>
          <w:szCs w:val="16"/>
          <w:b w:val="1"/>
          <w:bCs w:val="1"/>
          <w:color w:val="auto"/>
        </w:rPr>
        <w:t>SUMMARY OF SIGNIFICANT POLICIES</w:t>
      </w:r>
    </w:p>
    <w:p>
      <w:pPr>
        <w:spacing w:after="0" w:line="223" w:lineRule="exact"/>
        <w:rPr>
          <w:sz w:val="20"/>
          <w:szCs w:val="20"/>
          <w:color w:val="auto"/>
        </w:rPr>
      </w:pPr>
    </w:p>
    <w:p>
      <w:pPr>
        <w:ind w:right="280" w:firstLine="351"/>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r>
        <w:rPr>
          <w:rFonts w:ascii="Times New Roman" w:cs="Times New Roman" w:eastAsia="Times New Roman" w:hAnsi="Times New Roman"/>
          <w:sz w:val="18"/>
          <w:szCs w:val="18"/>
          <w:color w:val="auto"/>
        </w:rPr>
        <w:t>—The accompanying consolidated financial statements include the accounts of ADSC and its wholly owned subsidiaries. All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significant intercompany transactions have been eliminated.</w:t>
      </w:r>
    </w:p>
    <w:p>
      <w:pPr>
        <w:spacing w:after="0" w:line="16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b w:val="1"/>
          <w:bCs w:val="1"/>
          <w:i w:val="1"/>
          <w:iCs w:val="1"/>
          <w:color w:val="auto"/>
        </w:rPr>
        <w:t>Cash and Cash Equivalents</w:t>
      </w:r>
      <w:r>
        <w:rPr>
          <w:rFonts w:ascii="Times New Roman" w:cs="Times New Roman" w:eastAsia="Times New Roman" w:hAnsi="Times New Roman"/>
          <w:sz w:val="16"/>
          <w:szCs w:val="16"/>
          <w:color w:val="auto"/>
        </w:rPr>
        <w:t>—The Company considers all highly liquid investments with an original maturity of three months or less to be cash equivalents.</w:t>
      </w:r>
    </w:p>
    <w:p>
      <w:pPr>
        <w:spacing w:after="0" w:line="248" w:lineRule="exact"/>
        <w:rPr>
          <w:sz w:val="20"/>
          <w:szCs w:val="20"/>
          <w:color w:val="auto"/>
        </w:rPr>
      </w:pPr>
    </w:p>
    <w:p>
      <w:pPr>
        <w:ind w:right="40" w:firstLine="351"/>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Due from Card Associations and Merchant Settlement Obligations</w:t>
      </w:r>
      <w:r>
        <w:rPr>
          <w:rFonts w:ascii="Times New Roman" w:cs="Times New Roman" w:eastAsia="Times New Roman" w:hAnsi="Times New Roman"/>
          <w:sz w:val="18"/>
          <w:szCs w:val="18"/>
          <w:color w:val="auto"/>
        </w:rPr>
        <w:t>—Due from card associations and merchant settlement obligations result from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Company's merchant services and associated settlement activities. Due from card associations is generated from credit card transactions, such as Mastercard, Visa and American Express, at merchant locations. The Company records corresponding settlement obligations for amounts payable to merchants.</w:t>
      </w:r>
    </w:p>
    <w:p>
      <w:pPr>
        <w:spacing w:after="0" w:line="179" w:lineRule="exact"/>
        <w:rPr>
          <w:sz w:val="20"/>
          <w:szCs w:val="20"/>
          <w:color w:val="auto"/>
        </w:rPr>
      </w:pPr>
    </w:p>
    <w:p>
      <w:pPr>
        <w:ind w:right="20" w:firstLine="351"/>
        <w:spacing w:after="0" w:line="297" w:lineRule="auto"/>
        <w:rPr>
          <w:sz w:val="20"/>
          <w:szCs w:val="20"/>
          <w:color w:val="auto"/>
        </w:rPr>
      </w:pPr>
      <w:r>
        <w:rPr>
          <w:rFonts w:ascii="Times New Roman" w:cs="Times New Roman" w:eastAsia="Times New Roman" w:hAnsi="Times New Roman"/>
          <w:sz w:val="16"/>
          <w:szCs w:val="16"/>
          <w:b w:val="1"/>
          <w:bCs w:val="1"/>
          <w:i w:val="1"/>
          <w:iCs w:val="1"/>
          <w:color w:val="auto"/>
        </w:rPr>
        <w:t>Credit Card Receivables</w:t>
      </w:r>
      <w:r>
        <w:rPr>
          <w:rFonts w:ascii="Times New Roman" w:cs="Times New Roman" w:eastAsia="Times New Roman" w:hAnsi="Times New Roman"/>
          <w:sz w:val="16"/>
          <w:szCs w:val="16"/>
          <w:color w:val="auto"/>
        </w:rPr>
        <w:t>—Credit card receivables are generally securitized immediately or shortly after origination. As part of its securitization agreements,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the Company is required to retain an interest in the credit card receivables, which is referred to as seller's interest. Seller's interest is carried at fair value and credit card receivables are carried at lower of cost or market less an allowance for doubtful accounts. In its capacity as a servicer of the credit card receivables, the Company receives a servicing fee from the World Financial Network Credit Card Master Trust. Management estimates the cost incurred in servicing the credit card receivables approximates the service fees received, and therefore has not recorded a servicing asset or liability as of December 31, 2001 and 2002.</w:t>
      </w:r>
    </w:p>
    <w:p>
      <w:pPr>
        <w:spacing w:after="0" w:line="158" w:lineRule="exact"/>
        <w:rPr>
          <w:sz w:val="20"/>
          <w:szCs w:val="20"/>
          <w:color w:val="auto"/>
        </w:rPr>
      </w:pPr>
    </w:p>
    <w:p>
      <w:pPr>
        <w:ind w:right="160" w:firstLine="351"/>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Redemption Settlement Assets</w:t>
      </w:r>
      <w:r>
        <w:rPr>
          <w:rFonts w:ascii="Times New Roman" w:cs="Times New Roman" w:eastAsia="Times New Roman" w:hAnsi="Times New Roman"/>
          <w:sz w:val="18"/>
          <w:szCs w:val="18"/>
          <w:color w:val="auto"/>
        </w:rPr>
        <w:t>—These securities relate to the redemption fund for the AIR MILES Reward Program and are held in trust for the benefit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funding redemptions by collectors. These securities are stated at fair value, with the unrealized gains and losses, net of tax, reported as a component of accumulated other comprehensive income (loss). Debt securities that the Company does not have the positive intent and ability to hold to maturity are classified as securities available-for-sale.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right="120" w:firstLine="351"/>
        <w:spacing w:after="0" w:line="313" w:lineRule="auto"/>
        <w:rPr>
          <w:sz w:val="20"/>
          <w:szCs w:val="20"/>
          <w:color w:val="auto"/>
        </w:rPr>
      </w:pPr>
      <w:r>
        <w:rPr>
          <w:rFonts w:ascii="Times New Roman" w:cs="Times New Roman" w:eastAsia="Times New Roman" w:hAnsi="Times New Roman"/>
          <w:sz w:val="16"/>
          <w:szCs w:val="16"/>
          <w:b w:val="1"/>
          <w:bCs w:val="1"/>
          <w:i w:val="1"/>
          <w:iCs w:val="1"/>
          <w:color w:val="auto"/>
        </w:rPr>
        <w:t>Property and Equipment</w:t>
      </w:r>
      <w:r>
        <w:rPr>
          <w:rFonts w:ascii="Times New Roman" w:cs="Times New Roman" w:eastAsia="Times New Roman" w:hAnsi="Times New Roman"/>
          <w:sz w:val="16"/>
          <w:szCs w:val="16"/>
          <w:color w:val="auto"/>
        </w:rPr>
        <w:t>—Furniture, fixtures, computer equipment and software, and leasehold improvements are carried at cost, less accumulated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depreciation and amortization. Depreciation and amortization are computed on a straight-line basis, using estimated lives ranging from three to 15 years. Leasehold improvements are amortized over the remaining useful lives of the respective leases or the remaining useful lives of the improvements, whichever are</w:t>
      </w:r>
    </w:p>
    <w:p>
      <w:pPr>
        <w:sectPr>
          <w:pgSz w:w="11900" w:h="16838" w:orient="portrait"/>
          <w:cols w:equalWidth="0" w:num="1">
            <w:col w:w="11420"/>
          </w:cols>
          <w:pgMar w:left="240" w:top="140" w:right="239" w:bottom="0" w:gutter="0" w:footer="0" w:header="0"/>
        </w:sectPr>
      </w:pPr>
    </w:p>
    <w:bookmarkStart w:id="34" w:name="page35"/>
    <w:bookmarkEnd w:id="34"/>
    <w:p>
      <w:pPr>
        <w:ind w:right="20"/>
        <w:spacing w:after="0" w:line="258" w:lineRule="auto"/>
        <w:rPr>
          <w:sz w:val="20"/>
          <w:szCs w:val="20"/>
          <w:color w:val="auto"/>
        </w:rPr>
      </w:pPr>
      <w:r>
        <w:rPr>
          <w:rFonts w:ascii="Times New Roman" w:cs="Times New Roman" w:eastAsia="Times New Roman" w:hAnsi="Times New Roman"/>
          <w:sz w:val="18"/>
          <w:szCs w:val="18"/>
          <w:color w:val="auto"/>
        </w:rPr>
        <w:t>shorter. Software development (costs to create new platforms for certain of the Company's information systems) and conversion costs (systems, programming and other related costs to allow conversion of new client accounts to the Company's processing systems) are capitalized in accordance with Statement of Position ("SOP") 98-1 Accounting for the Costs of Computer Software Developed or Obtained for Internal Use and are amortized on a straight-line basis over the length of the associated contract or benefit period, which generally ranges from three to five years.</w:t>
      </w:r>
    </w:p>
    <w:p>
      <w:pPr>
        <w:spacing w:after="0" w:line="18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7" w:lineRule="exact"/>
        <w:rPr>
          <w:sz w:val="20"/>
          <w:szCs w:val="20"/>
          <w:color w:val="auto"/>
        </w:rPr>
      </w:pPr>
    </w:p>
    <w:p>
      <w:pPr>
        <w:ind w:right="140" w:firstLine="351"/>
        <w:spacing w:after="0" w:line="312" w:lineRule="auto"/>
        <w:rPr>
          <w:sz w:val="20"/>
          <w:szCs w:val="20"/>
          <w:color w:val="auto"/>
        </w:rPr>
      </w:pPr>
      <w:r>
        <w:rPr>
          <w:rFonts w:ascii="Times New Roman" w:cs="Times New Roman" w:eastAsia="Times New Roman" w:hAnsi="Times New Roman"/>
          <w:sz w:val="16"/>
          <w:szCs w:val="16"/>
          <w:i w:val="1"/>
          <w:iCs w:val="1"/>
          <w:color w:val="auto"/>
        </w:rPr>
        <w:t>Transaction and Marketing Services</w:t>
      </w:r>
      <w:r>
        <w:rPr>
          <w:rFonts w:ascii="Times New Roman" w:cs="Times New Roman" w:eastAsia="Times New Roman" w:hAnsi="Times New Roman"/>
          <w:sz w:val="16"/>
          <w:szCs w:val="16"/>
          <w:color w:val="auto"/>
        </w:rPr>
        <w:t>—The Company earns transaction fees, which are principally based on the number of transactions processed or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statements generated and are recognized as such services are performed. In general, the Company does not enter into license sales for its products or services. In cases where we enter into license sales, revenue is recognized in accordance with SOP 97-2 Software Revenue Recognition and related literature.</w:t>
      </w:r>
    </w:p>
    <w:p>
      <w:pPr>
        <w:spacing w:after="0" w:line="147" w:lineRule="exact"/>
        <w:rPr>
          <w:sz w:val="20"/>
          <w:szCs w:val="20"/>
          <w:color w:val="auto"/>
        </w:rPr>
      </w:pPr>
    </w:p>
    <w:p>
      <w:pPr>
        <w:ind w:right="100" w:firstLine="351"/>
        <w:spacing w:after="0" w:line="264" w:lineRule="auto"/>
        <w:rPr>
          <w:sz w:val="20"/>
          <w:szCs w:val="20"/>
          <w:color w:val="auto"/>
        </w:rPr>
      </w:pPr>
      <w:r>
        <w:rPr>
          <w:rFonts w:ascii="Times New Roman" w:cs="Times New Roman" w:eastAsia="Times New Roman" w:hAnsi="Times New Roman"/>
          <w:sz w:val="18"/>
          <w:szCs w:val="18"/>
          <w:i w:val="1"/>
          <w:iCs w:val="1"/>
          <w:color w:val="auto"/>
        </w:rPr>
        <w:t>AIR MILES Reward Program</w:t>
      </w:r>
      <w:r>
        <w:rPr>
          <w:rFonts w:ascii="Times New Roman" w:cs="Times New Roman" w:eastAsia="Times New Roman" w:hAnsi="Times New Roman"/>
          <w:sz w:val="18"/>
          <w:szCs w:val="18"/>
          <w:color w:val="auto"/>
        </w:rPr>
        <w:t>—The Company allocates the proceeds received from sponsors for the issuance of AIR MILES reward miles based on relative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fair values between the redemption element of the award ultimately provided to the collector (the "Redemption element") and the service element. The service element consists of direct marketing and support services provided to sponsors (the "Service element").</w:t>
      </w:r>
    </w:p>
    <w:p>
      <w:pPr>
        <w:spacing w:after="0" w:line="183" w:lineRule="exact"/>
        <w:rPr>
          <w:sz w:val="20"/>
          <w:szCs w:val="20"/>
          <w:color w:val="auto"/>
        </w:rPr>
      </w:pPr>
    </w:p>
    <w:p>
      <w:pPr>
        <w:jc w:val="both"/>
        <w:ind w:right="140" w:firstLine="348"/>
        <w:spacing w:after="0" w:line="262" w:lineRule="auto"/>
        <w:rPr>
          <w:sz w:val="20"/>
          <w:szCs w:val="20"/>
          <w:color w:val="auto"/>
        </w:rPr>
      </w:pPr>
      <w:r>
        <w:rPr>
          <w:rFonts w:ascii="Times New Roman" w:cs="Times New Roman" w:eastAsia="Times New Roman" w:hAnsi="Times New Roman"/>
          <w:sz w:val="18"/>
          <w:szCs w:val="18"/>
          <w:color w:val="auto"/>
        </w:rPr>
        <w:t>The fair value of the Service element is based on the estimated fair value of providing the services on a third-party basis. The revenue related to the Service element of the AIR MILES reward miles is initially deferred and amortized over the period of time beginning with the issuance of the AIR MILES reward miles and ending upon their expected redemption (the estimated life of an AIR MILES reward mile).</w:t>
      </w:r>
    </w:p>
    <w:p>
      <w:pPr>
        <w:spacing w:after="0" w:line="186" w:lineRule="exact"/>
        <w:rPr>
          <w:sz w:val="20"/>
          <w:szCs w:val="20"/>
          <w:color w:val="auto"/>
        </w:rPr>
      </w:pPr>
    </w:p>
    <w:p>
      <w:pPr>
        <w:ind w:right="20" w:firstLine="348"/>
        <w:spacing w:after="0" w:line="258" w:lineRule="auto"/>
        <w:rPr>
          <w:sz w:val="20"/>
          <w:szCs w:val="20"/>
          <w:color w:val="auto"/>
        </w:rPr>
      </w:pPr>
      <w:r>
        <w:rPr>
          <w:rFonts w:ascii="Times New Roman" w:cs="Times New Roman" w:eastAsia="Times New Roman" w:hAnsi="Times New Roman"/>
          <w:sz w:val="18"/>
          <w:szCs w:val="18"/>
          <w:color w:val="auto"/>
        </w:rPr>
        <w:t>The fair value of the Redemption element of the AIR MILES reward miles issued is determined based on separate pricing offered by the Company as well as other objective evidence. The revenue related to the Redemption element is deferred until the collector redeems the AIR MILES reward miles or over the estimated life of an AIR MILES reward mile in the case of reward miles that the Company estimates will go unused by the collector base ("breakage"). The Company currently estimates breakage to be one-third of AIR MILES reward miles issued.</w:t>
      </w:r>
    </w:p>
    <w:p>
      <w:pPr>
        <w:spacing w:after="0" w:line="188" w:lineRule="exact"/>
        <w:rPr>
          <w:sz w:val="20"/>
          <w:szCs w:val="20"/>
          <w:color w:val="auto"/>
        </w:rPr>
      </w:pPr>
    </w:p>
    <w:p>
      <w:pPr>
        <w:ind w:right="160" w:firstLine="351"/>
        <w:spacing w:after="0" w:line="264" w:lineRule="auto"/>
        <w:rPr>
          <w:sz w:val="20"/>
          <w:szCs w:val="20"/>
          <w:color w:val="auto"/>
        </w:rPr>
      </w:pPr>
      <w:r>
        <w:rPr>
          <w:rFonts w:ascii="Times New Roman" w:cs="Times New Roman" w:eastAsia="Times New Roman" w:hAnsi="Times New Roman"/>
          <w:sz w:val="18"/>
          <w:szCs w:val="18"/>
          <w:i w:val="1"/>
          <w:iCs w:val="1"/>
          <w:color w:val="auto"/>
        </w:rPr>
        <w:t>Financing charges, net</w:t>
      </w:r>
      <w:r>
        <w:rPr>
          <w:rFonts w:ascii="Times New Roman" w:cs="Times New Roman" w:eastAsia="Times New Roman" w:hAnsi="Times New Roman"/>
          <w:sz w:val="18"/>
          <w:szCs w:val="18"/>
          <w:color w:val="auto"/>
        </w:rPr>
        <w:t>—Financing charges, net, represents gains and losses on securitization of credit card receivables and interest income on seller's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interest less a provision (credit) for doubtful accounts of $(4.9) million, $(9.0) million and $6.6 million and related interest expense of $6.2 million, $6.4 million and $4.1 million for the years ended December 31, 2000, 2001, and 2002, respectively.</w:t>
      </w:r>
    </w:p>
    <w:p>
      <w:pPr>
        <w:spacing w:after="0" w:line="183" w:lineRule="exact"/>
        <w:rPr>
          <w:sz w:val="20"/>
          <w:szCs w:val="20"/>
          <w:color w:val="auto"/>
        </w:rPr>
      </w:pPr>
    </w:p>
    <w:p>
      <w:pPr>
        <w:ind w:right="120" w:firstLine="348"/>
        <w:spacing w:after="0" w:line="262" w:lineRule="auto"/>
        <w:rPr>
          <w:sz w:val="20"/>
          <w:szCs w:val="20"/>
          <w:color w:val="auto"/>
        </w:rPr>
      </w:pPr>
      <w:r>
        <w:rPr>
          <w:rFonts w:ascii="Times New Roman" w:cs="Times New Roman" w:eastAsia="Times New Roman" w:hAnsi="Times New Roman"/>
          <w:sz w:val="18"/>
          <w:szCs w:val="18"/>
          <w:color w:val="auto"/>
        </w:rPr>
        <w:t>The Company records gains or losses on the securitization of credit card receivables on the date of sale based on cash received, the estimated fair value of assets sold and retained, and liabilities incurred in the sale. The anticipated excess cash flow essentially represents an interest only ("I/O") strip, consisting of the excess of finance charges and past-due fees over the sum of the return paid to</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certificate holders and credit losses over the estimated outstanding period of the receivables. The amount initially allocated to the I/O strip at the date of a securitization reflects the allocated original basis of the relative fair values of those interests. The amount recorded for the I/O strip is reduced for distributions on the I/O strip, which the Company receives from the related trust, and is adjusted for changes in the fair value of the I/O strip, which are reflected in other comprehensive income. Because there is not a highly liquid market for these assets, management estimates the fair value of the I/O strip primarily based upon discount, payment and default rates, which is the method we assume that another market participant would use to purchase the I/O strip. The estimated market assumptions are applied based upon the underlying loan portfolio grouped by loan types, terms, credit quality, interest rates, and geographic location, which are the predominant characteristics that affect payment and default rates.</w:t>
      </w:r>
    </w:p>
    <w:p>
      <w:pPr>
        <w:spacing w:after="0" w:line="195" w:lineRule="exact"/>
        <w:rPr>
          <w:sz w:val="20"/>
          <w:szCs w:val="20"/>
          <w:color w:val="auto"/>
        </w:rPr>
      </w:pPr>
    </w:p>
    <w:p>
      <w:pPr>
        <w:ind w:firstLine="351"/>
        <w:spacing w:after="0" w:line="258" w:lineRule="auto"/>
        <w:rPr>
          <w:sz w:val="20"/>
          <w:szCs w:val="20"/>
          <w:color w:val="auto"/>
        </w:rPr>
      </w:pPr>
      <w:r>
        <w:rPr>
          <w:rFonts w:ascii="Times New Roman" w:cs="Times New Roman" w:eastAsia="Times New Roman" w:hAnsi="Times New Roman"/>
          <w:sz w:val="18"/>
          <w:szCs w:val="18"/>
          <w:color w:val="auto"/>
        </w:rPr>
        <w:t>In recording and accounting for the I/O strip, management makes assumptions about rates of payments and defaults, which reasonably reflect economic and other relevant conditions that affect fair value. Due to subsequent changes in economic and other relevant conditions, the actual rates of payments and defaults would generally differ from our initial estimates, and these differences could sometimes be material. If actual payment and default rates are higher than previously assumed, the value of the I/O strip could be impaired and the decline in the fair value would be recorded in earnings.</w:t>
      </w:r>
    </w:p>
    <w:p>
      <w:pPr>
        <w:spacing w:after="0" w:line="186" w:lineRule="exact"/>
        <w:rPr>
          <w:sz w:val="20"/>
          <w:szCs w:val="20"/>
          <w:color w:val="auto"/>
        </w:rPr>
      </w:pPr>
    </w:p>
    <w:p>
      <w:pPr>
        <w:ind w:right="100" w:firstLine="351"/>
        <w:spacing w:after="0" w:line="297" w:lineRule="auto"/>
        <w:rPr>
          <w:sz w:val="20"/>
          <w:szCs w:val="20"/>
          <w:color w:val="auto"/>
        </w:rPr>
      </w:pPr>
      <w:r>
        <w:rPr>
          <w:rFonts w:ascii="Times New Roman" w:cs="Times New Roman" w:eastAsia="Times New Roman" w:hAnsi="Times New Roman"/>
          <w:sz w:val="16"/>
          <w:szCs w:val="16"/>
          <w:b w:val="1"/>
          <w:bCs w:val="1"/>
          <w:i w:val="1"/>
          <w:iCs w:val="1"/>
          <w:color w:val="auto"/>
        </w:rPr>
        <w:t>Goodwill and Other Intangible Assets</w:t>
      </w:r>
      <w:r>
        <w:rPr>
          <w:rFonts w:ascii="Times New Roman" w:cs="Times New Roman" w:eastAsia="Times New Roman" w:hAnsi="Times New Roman"/>
          <w:sz w:val="16"/>
          <w:szCs w:val="16"/>
          <w:color w:val="auto"/>
        </w:rPr>
        <w:t>—Prior to January 1, 2002, goodwill and other intangible assets resulting from acquisitions were amortized using the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straight-line method over periods up to 25 years. In 2002, under Statement of Financial Accounting Standard ("SFAS") No. 142, goodwill and indefinite-lived intangible assets are no longer amortized, but are reviewed at least annually for impairment or more frequently if circumstances indicate that an impairment may have occurred, using the market comparable and discounted cash flow methods. Separable assets that have finite useful lives continue to be amortized over those useful lives. An impaired separable intangible asset would be written down to fair value, calculated using the discounted cash flow method.</w:t>
      </w:r>
    </w:p>
    <w:p>
      <w:pPr>
        <w:spacing w:after="0" w:line="158" w:lineRule="exact"/>
        <w:rPr>
          <w:sz w:val="20"/>
          <w:szCs w:val="20"/>
          <w:color w:val="auto"/>
        </w:rPr>
      </w:pPr>
    </w:p>
    <w:p>
      <w:pPr>
        <w:ind w:firstLine="351"/>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Earnings Per Share</w:t>
      </w:r>
      <w:r>
        <w:rPr>
          <w:rFonts w:ascii="Times New Roman" w:cs="Times New Roman" w:eastAsia="Times New Roman" w:hAnsi="Times New Roman"/>
          <w:sz w:val="18"/>
          <w:szCs w:val="18"/>
          <w:color w:val="auto"/>
        </w:rPr>
        <w:t>—Basic earnings per share is based only on the weighted average number of common shares outstanding, excluding any dilutive effects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options or other dilutive securities. Diluted earnings per share is based on the weighted average number of common and potentially dilutive common shares (dilutive stock options and other dilutive securities outstanding during the year). Potentially dilutive common shares were approximately 11.8 million for 2000 and 6.0 million for 2001. However, as the Company generated net losses, potentially dilutive common shares, composed of incremental common shares issuable upon exercise of stock options and warrants and upon conversion of Series A preferred stock, are not included in diluted net loss per share because such shares are anti-dilutive.</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net income (loss) per share for the periods indicated:</w:t>
      </w:r>
    </w:p>
    <w:p>
      <w:pPr>
        <w:spacing w:after="0" w:line="223" w:lineRule="exact"/>
        <w:rPr>
          <w:sz w:val="20"/>
          <w:szCs w:val="20"/>
          <w:color w:val="auto"/>
        </w:rPr>
      </w:pPr>
    </w:p>
    <w:p>
      <w:pPr>
        <w:ind w:left="738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4016375</wp:posOffset>
            </wp:positionH>
            <wp:positionV relativeFrom="paragraph">
              <wp:posOffset>69215</wp:posOffset>
            </wp:positionV>
            <wp:extent cx="2293620" cy="2159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2293620" cy="21590"/>
                    </a:xfrm>
                    <a:prstGeom prst="rect">
                      <a:avLst/>
                    </a:prstGeom>
                    <a:noFill/>
                  </pic:spPr>
                </pic:pic>
              </a:graphicData>
            </a:graphic>
          </wp:anchor>
        </w:drawing>
      </w:r>
    </w:p>
    <w:p>
      <w:pPr>
        <w:spacing w:after="0" w:line="211" w:lineRule="exact"/>
        <w:rPr>
          <w:sz w:val="20"/>
          <w:szCs w:val="20"/>
          <w:color w:val="auto"/>
        </w:rPr>
      </w:pPr>
    </w:p>
    <w:p>
      <w:pPr>
        <w:ind w:left="6740"/>
        <w:spacing w:after="0"/>
        <w:tabs>
          <w:tab w:leader="none" w:pos="8020" w:val="left"/>
          <w:tab w:leader="none" w:pos="9260" w:val="left"/>
        </w:tabs>
        <w:rPr>
          <w:sz w:val="20"/>
          <w:szCs w:val="20"/>
          <w:color w:val="auto"/>
        </w:rPr>
      </w:pPr>
      <w:r>
        <w:rPr>
          <w:rFonts w:ascii="Times New Roman" w:cs="Times New Roman" w:eastAsia="Times New Roman" w:hAnsi="Times New Roman"/>
          <w:sz w:val="14"/>
          <w:szCs w:val="14"/>
          <w:b w:val="1"/>
          <w:bCs w:val="1"/>
          <w:color w:val="auto"/>
        </w:rPr>
        <w:t>2000</w:t>
      </w:r>
      <w:r>
        <w:rPr>
          <w:sz w:val="20"/>
          <w:szCs w:val="20"/>
          <w:color w:val="auto"/>
        </w:rPr>
        <w:tab/>
      </w:r>
      <w:r>
        <w:rPr>
          <w:rFonts w:ascii="Times New Roman" w:cs="Times New Roman" w:eastAsia="Times New Roman" w:hAnsi="Times New Roman"/>
          <w:sz w:val="14"/>
          <w:szCs w:val="14"/>
          <w:b w:val="1"/>
          <w:bCs w:val="1"/>
          <w:color w:val="auto"/>
        </w:rPr>
        <w:t>2001</w:t>
      </w:r>
      <w:r>
        <w:rPr>
          <w:sz w:val="20"/>
          <w:szCs w:val="20"/>
          <w:color w:val="auto"/>
        </w:rPr>
        <w:tab/>
      </w:r>
      <w:r>
        <w:rPr>
          <w:rFonts w:ascii="Times New Roman" w:cs="Times New Roman" w:eastAsia="Times New Roman" w:hAnsi="Times New Roman"/>
          <w:sz w:val="14"/>
          <w:szCs w:val="14"/>
          <w:b w:val="1"/>
          <w:bCs w:val="1"/>
          <w:color w:val="auto"/>
        </w:rPr>
        <w:t>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4016375</wp:posOffset>
            </wp:positionH>
            <wp:positionV relativeFrom="paragraph">
              <wp:posOffset>69215</wp:posOffset>
            </wp:positionV>
            <wp:extent cx="2293620" cy="2159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2293620" cy="21590"/>
                    </a:xfrm>
                    <a:prstGeom prst="rect">
                      <a:avLst/>
                    </a:prstGeom>
                    <a:noFill/>
                  </pic:spPr>
                </pic:pic>
              </a:graphicData>
            </a:graphic>
          </wp:anchor>
        </w:drawing>
      </w:r>
    </w:p>
    <w:p>
      <w:pPr>
        <w:spacing w:after="0" w:line="211"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4"/>
          <w:szCs w:val="14"/>
          <w:b w:val="1"/>
          <w:bCs w:val="1"/>
          <w:color w:val="auto"/>
        </w:rPr>
        <w:t>(in thousands, except per share amounts)</w:t>
      </w:r>
    </w:p>
    <w:p>
      <w:pPr>
        <w:sectPr>
          <w:pgSz w:w="11900" w:h="16838" w:orient="portrait"/>
          <w:cols w:equalWidth="0" w:num="1">
            <w:col w:w="11420"/>
          </w:cols>
          <w:pgMar w:left="240" w:top="125" w:right="239" w:bottom="0" w:gutter="0" w:footer="0" w:header="0"/>
        </w:sect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Numerator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6371590" cy="13716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6371590" cy="13716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type w:val="continuous"/>
        </w:sectPr>
      </w:pPr>
    </w:p>
    <w:bookmarkStart w:id="35" w:name="page36"/>
    <w:bookmarkEnd w:id="35"/>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6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(loss) before extraordinary item</w:t>
            </w: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(21,323)</w:t>
            </w:r>
          </w:p>
        </w:tc>
        <w:tc>
          <w:tcPr>
            <w:tcW w:w="320" w:type="dxa"/>
            <w:vAlign w:val="bottom"/>
          </w:tcPr>
          <w:p>
            <w:pPr>
              <w:jc w:val="right"/>
              <w:ind w:right="158"/>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(7,617)</w:t>
            </w: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6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tcPr>
          <w:p>
            <w:pPr>
              <w:spacing w:after="0"/>
              <w:rPr>
                <w:sz w:val="21"/>
                <w:szCs w:val="21"/>
                <w:color w:val="auto"/>
              </w:rPr>
            </w:pPr>
          </w:p>
        </w:tc>
        <w:tc>
          <w:tcPr>
            <w:tcW w:w="6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Preferred stock dividends</w:t>
            </w:r>
          </w:p>
        </w:tc>
        <w:tc>
          <w:tcPr>
            <w:tcW w:w="320" w:type="dxa"/>
            <w:vAlign w:val="bottom"/>
            <w:shd w:val="clear" w:color="auto" w:fill="CCEEFF"/>
          </w:tcPr>
          <w:p>
            <w:pPr>
              <w:spacing w:after="0"/>
              <w:rPr>
                <w:sz w:val="21"/>
                <w:szCs w:val="21"/>
                <w:color w:val="auto"/>
              </w:rPr>
            </w:pPr>
          </w:p>
        </w:tc>
        <w:tc>
          <w:tcPr>
            <w:tcW w:w="9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(7,200)</w:t>
            </w:r>
          </w:p>
        </w:tc>
        <w:tc>
          <w:tcPr>
            <w:tcW w:w="32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(3,240)</w:t>
            </w:r>
          </w:p>
        </w:tc>
        <w:tc>
          <w:tcPr>
            <w:tcW w:w="32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30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7"/>
        </w:trPr>
        <w:tc>
          <w:tcPr>
            <w:tcW w:w="20" w:type="dxa"/>
            <w:vAlign w:val="bottom"/>
          </w:tcPr>
          <w:p>
            <w:pPr>
              <w:spacing w:after="0"/>
              <w:rPr>
                <w:sz w:val="24"/>
                <w:szCs w:val="24"/>
                <w:color w:val="auto"/>
              </w:rPr>
            </w:pPr>
          </w:p>
        </w:tc>
        <w:tc>
          <w:tcPr>
            <w:tcW w:w="6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(loss) before extraordinary item, available to common  stockholders</w:t>
            </w:r>
          </w:p>
        </w:tc>
        <w:tc>
          <w:tcPr>
            <w:tcW w:w="320" w:type="dxa"/>
            <w:vAlign w:val="bottom"/>
          </w:tcPr>
          <w:p>
            <w:pPr>
              <w:spacing w:after="0"/>
              <w:rPr>
                <w:sz w:val="24"/>
                <w:szCs w:val="24"/>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(28,523)</w:t>
            </w:r>
          </w:p>
        </w:tc>
        <w:tc>
          <w:tcPr>
            <w:tcW w:w="320" w:type="dxa"/>
            <w:vAlign w:val="bottom"/>
          </w:tcPr>
          <w:p>
            <w:pPr>
              <w:spacing w:after="0"/>
              <w:rPr>
                <w:sz w:val="24"/>
                <w:szCs w:val="24"/>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(10,857)</w:t>
            </w:r>
          </w:p>
        </w:tc>
        <w:tc>
          <w:tcPr>
            <w:tcW w:w="3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26,745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Extraordinary item, net</w:t>
            </w:r>
          </w:p>
        </w:tc>
        <w:tc>
          <w:tcPr>
            <w:tcW w:w="320" w:type="dxa"/>
            <w:vAlign w:val="bottom"/>
            <w:shd w:val="clear" w:color="auto" w:fill="CCEEFF"/>
          </w:tcPr>
          <w:p>
            <w:pPr>
              <w:spacing w:after="0"/>
              <w:rPr>
                <w:sz w:val="21"/>
                <w:szCs w:val="21"/>
                <w:color w:val="auto"/>
              </w:rPr>
            </w:pPr>
          </w:p>
        </w:tc>
        <w:tc>
          <w:tcPr>
            <w:tcW w:w="9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(615)</w:t>
            </w:r>
          </w:p>
        </w:tc>
        <w:tc>
          <w:tcPr>
            <w:tcW w:w="32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(542)</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30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6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 (loss) available to common stockholders</w:t>
            </w: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(28,523)</w:t>
            </w:r>
          </w:p>
        </w:tc>
        <w:tc>
          <w:tcPr>
            <w:tcW w:w="320" w:type="dxa"/>
            <w:vAlign w:val="bottom"/>
          </w:tcPr>
          <w:p>
            <w:pPr>
              <w:jc w:val="right"/>
              <w:ind w:right="158"/>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(11,472)</w:t>
            </w: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26,203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30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Weighted average shares</w:t>
            </w:r>
          </w:p>
        </w:tc>
        <w:tc>
          <w:tcPr>
            <w:tcW w:w="3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47,538</w:t>
            </w: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64,555</w:t>
            </w: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74,422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Weighted average effect of dilutive securities:</w:t>
            </w:r>
          </w:p>
        </w:tc>
        <w:tc>
          <w:tcPr>
            <w:tcW w:w="3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effect of dilutive stock options</w:t>
            </w:r>
          </w:p>
        </w:tc>
        <w:tc>
          <w:tcPr>
            <w:tcW w:w="32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630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Denominator for diluted calculation</w:t>
            </w:r>
          </w:p>
        </w:tc>
        <w:tc>
          <w:tcPr>
            <w:tcW w:w="3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47,538</w:t>
            </w:r>
          </w:p>
        </w:tc>
        <w:tc>
          <w:tcPr>
            <w:tcW w:w="200" w:type="dxa"/>
            <w:vAlign w:val="bottom"/>
            <w:tcBorders>
              <w:right w:val="single" w:sz="8" w:color="CCEEFF"/>
            </w:tcBorders>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64,555</w:t>
            </w:r>
          </w:p>
        </w:tc>
        <w:tc>
          <w:tcPr>
            <w:tcW w:w="1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76,696</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05"/>
        </w:trPr>
        <w:tc>
          <w:tcPr>
            <w:tcW w:w="63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Basic</w:t>
            </w:r>
          </w:p>
        </w:tc>
        <w:tc>
          <w:tcPr>
            <w:tcW w:w="3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6320" w:type="dxa"/>
            <w:vAlign w:val="bottom"/>
            <w:gridSpan w:val="2"/>
            <w:vMerge w:val="continue"/>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632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per share before extraordinary item, available to common stockholders</w:t>
            </w: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(0.60)</w:t>
            </w:r>
          </w:p>
        </w:tc>
        <w:tc>
          <w:tcPr>
            <w:tcW w:w="320" w:type="dxa"/>
            <w:vAlign w:val="bottom"/>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(0.17)</w:t>
            </w: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Loss per share from extraordinary item</w:t>
            </w:r>
          </w:p>
        </w:tc>
        <w:tc>
          <w:tcPr>
            <w:tcW w:w="32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(0.01)</w:t>
            </w:r>
          </w:p>
        </w:tc>
        <w:tc>
          <w:tcPr>
            <w:tcW w:w="32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630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per share</w:t>
            </w: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(0.60)</w:t>
            </w:r>
          </w:p>
        </w:tc>
        <w:tc>
          <w:tcPr>
            <w:tcW w:w="320" w:type="dxa"/>
            <w:vAlign w:val="bottom"/>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(0.18)</w:t>
            </w: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63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Diluted</w:t>
            </w:r>
          </w:p>
        </w:tc>
        <w:tc>
          <w:tcPr>
            <w:tcW w:w="3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6320" w:type="dxa"/>
            <w:vAlign w:val="bottom"/>
            <w:gridSpan w:val="2"/>
            <w:vMerge w:val="continue"/>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632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per share before extraordinary item, available to common stockholders</w:t>
            </w: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(0.60)</w:t>
            </w:r>
          </w:p>
        </w:tc>
        <w:tc>
          <w:tcPr>
            <w:tcW w:w="320" w:type="dxa"/>
            <w:vAlign w:val="bottom"/>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(0.17)</w:t>
            </w: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Loss per share from extraordinary item</w:t>
            </w:r>
          </w:p>
        </w:tc>
        <w:tc>
          <w:tcPr>
            <w:tcW w:w="32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(0.01)</w:t>
            </w:r>
          </w:p>
        </w:tc>
        <w:tc>
          <w:tcPr>
            <w:tcW w:w="32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630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per share</w:t>
            </w: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(0.60)</w:t>
            </w:r>
          </w:p>
        </w:tc>
        <w:tc>
          <w:tcPr>
            <w:tcW w:w="320" w:type="dxa"/>
            <w:vAlign w:val="bottom"/>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(0.18)</w:t>
            </w: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30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4702810</wp:posOffset>
            </wp:positionH>
            <wp:positionV relativeFrom="paragraph">
              <wp:posOffset>-3633470</wp:posOffset>
            </wp:positionV>
            <wp:extent cx="12700" cy="889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4016375</wp:posOffset>
            </wp:positionH>
            <wp:positionV relativeFrom="paragraph">
              <wp:posOffset>-3633470</wp:posOffset>
            </wp:positionV>
            <wp:extent cx="12700" cy="889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-3633470</wp:posOffset>
            </wp:positionV>
            <wp:extent cx="12700" cy="889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-3633470</wp:posOffset>
            </wp:positionV>
            <wp:extent cx="12700" cy="889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-3633470</wp:posOffset>
            </wp:positionV>
            <wp:extent cx="12700" cy="889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-3633470</wp:posOffset>
            </wp:positionV>
            <wp:extent cx="12700" cy="889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-3169920</wp:posOffset>
            </wp:positionV>
            <wp:extent cx="12700" cy="889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4016375</wp:posOffset>
            </wp:positionH>
            <wp:positionV relativeFrom="paragraph">
              <wp:posOffset>-3169920</wp:posOffset>
            </wp:positionV>
            <wp:extent cx="12700" cy="889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-3169920</wp:posOffset>
            </wp:positionV>
            <wp:extent cx="12700" cy="889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-3169920</wp:posOffset>
            </wp:positionV>
            <wp:extent cx="12700" cy="889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-3169920</wp:posOffset>
            </wp:positionV>
            <wp:extent cx="12700" cy="889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-3169920</wp:posOffset>
            </wp:positionV>
            <wp:extent cx="12700" cy="889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-2089785</wp:posOffset>
            </wp:positionV>
            <wp:extent cx="12700" cy="889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4016375</wp:posOffset>
            </wp:positionH>
            <wp:positionV relativeFrom="paragraph">
              <wp:posOffset>-2089785</wp:posOffset>
            </wp:positionV>
            <wp:extent cx="12700" cy="889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-2089785</wp:posOffset>
            </wp:positionV>
            <wp:extent cx="12700" cy="889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-2089785</wp:posOffset>
            </wp:positionV>
            <wp:extent cx="12700" cy="889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-2089785</wp:posOffset>
            </wp:positionV>
            <wp:extent cx="12700" cy="889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-2089785</wp:posOffset>
            </wp:positionV>
            <wp:extent cx="12700" cy="889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-1197610</wp:posOffset>
            </wp:positionV>
            <wp:extent cx="12700" cy="889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4016375</wp:posOffset>
            </wp:positionH>
            <wp:positionV relativeFrom="paragraph">
              <wp:posOffset>-1197610</wp:posOffset>
            </wp:positionV>
            <wp:extent cx="12700" cy="889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-1197610</wp:posOffset>
            </wp:positionV>
            <wp:extent cx="12700" cy="889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-1197610</wp:posOffset>
            </wp:positionV>
            <wp:extent cx="12700" cy="889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-1197610</wp:posOffset>
            </wp:positionV>
            <wp:extent cx="12700" cy="889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-1197610</wp:posOffset>
            </wp:positionV>
            <wp:extent cx="12700" cy="889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-323215</wp:posOffset>
            </wp:positionV>
            <wp:extent cx="12700" cy="889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4016375</wp:posOffset>
            </wp:positionH>
            <wp:positionV relativeFrom="paragraph">
              <wp:posOffset>-323215</wp:posOffset>
            </wp:positionV>
            <wp:extent cx="12700" cy="889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-323215</wp:posOffset>
            </wp:positionV>
            <wp:extent cx="12700" cy="889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-323215</wp:posOffset>
            </wp:positionV>
            <wp:extent cx="12700" cy="889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-323215</wp:posOffset>
            </wp:positionV>
            <wp:extent cx="12700" cy="889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-323215</wp:posOffset>
            </wp:positionV>
            <wp:extent cx="12700" cy="889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3" w:lineRule="exact"/>
        <w:rPr>
          <w:sz w:val="20"/>
          <w:szCs w:val="20"/>
          <w:color w:val="auto"/>
        </w:rPr>
      </w:pPr>
    </w:p>
    <w:p>
      <w:pPr>
        <w:ind w:right="80" w:firstLine="351"/>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Management Estimates</w:t>
      </w:r>
      <w:r>
        <w:rPr>
          <w:rFonts w:ascii="Times New Roman" w:cs="Times New Roman" w:eastAsia="Times New Roman" w:hAnsi="Times New Roman"/>
          <w:sz w:val="18"/>
          <w:szCs w:val="18"/>
          <w:color w:val="auto"/>
        </w:rPr>
        <w:t>—The preparation of financial statements in conformity with accounting principles generally accepted in the United States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America requires management to make estimates and assumptions that affect the reported amount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83" w:lineRule="exact"/>
        <w:rPr>
          <w:sz w:val="20"/>
          <w:szCs w:val="20"/>
          <w:color w:val="auto"/>
        </w:rPr>
      </w:pPr>
    </w:p>
    <w:p>
      <w:pPr>
        <w:ind w:right="160" w:firstLine="351"/>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Currency Translation</w:t>
      </w:r>
      <w:r>
        <w:rPr>
          <w:rFonts w:ascii="Times New Roman" w:cs="Times New Roman" w:eastAsia="Times New Roman" w:hAnsi="Times New Roman"/>
          <w:sz w:val="18"/>
          <w:szCs w:val="18"/>
          <w:color w:val="auto"/>
        </w:rPr>
        <w:t>—The assets and liabilities of the Company's subsidiaries outside the U.S., primarily Canada, are translated into U.S. dollars at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rates of exchange in effect at the balance sheet dates. Income and expense items are translated at the average exchange rates prevailing during the period. Gains and losses resulting from currency transactions are recognized currently in income, and those resulting from translation of financial statements are included in accumulated other comprehensive income (loss).</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firstLine="351"/>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Stock Compensation Expense</w:t>
      </w:r>
      <w:r>
        <w:rPr>
          <w:rFonts w:ascii="Times New Roman" w:cs="Times New Roman" w:eastAsia="Times New Roman" w:hAnsi="Times New Roman"/>
          <w:sz w:val="18"/>
          <w:szCs w:val="18"/>
          <w:color w:val="auto"/>
        </w:rPr>
        <w:t>—At December 31, 2002, the Company has two stock-based employee compensation plans, which are described more fully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Note 12. The Company accounts for those plans under the recognition and measurement principles of Accounting Principles Board ("APB") Opinion No. 25, Accounting for Stock Issued to Employees, and related Interpretations. No stock-based employee compensation cost is reflected in net income for stock options, as all options granted under those plans had an exercise price equal to the market value of the underlying common stock on the date of grant. The Company has recognized stock compensation expense related to performance based restricted stock that has been granted to certain officers. The following table illustrates the effect on net income and earnings per share if the Company had applied the fair value recognition provisions of SFAS Statement No. 123, Accounting for Stock-Based Compensation, to stock-based employee compensation.</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6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5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Year Ended December 31,</w:t>
            </w:r>
          </w:p>
        </w:tc>
        <w:tc>
          <w:tcPr>
            <w:tcW w:w="4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26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62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2000</w:t>
            </w: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center"/>
              <w:ind w:right="175"/>
              <w:spacing w:after="0"/>
              <w:rPr>
                <w:sz w:val="20"/>
                <w:szCs w:val="20"/>
                <w:color w:val="auto"/>
              </w:rPr>
            </w:pPr>
            <w:r>
              <w:rPr>
                <w:rFonts w:ascii="Times New Roman" w:cs="Times New Roman" w:eastAsia="Times New Roman" w:hAnsi="Times New Roman"/>
                <w:sz w:val="14"/>
                <w:szCs w:val="14"/>
                <w:b w:val="1"/>
                <w:bCs w:val="1"/>
                <w:color w:val="auto"/>
                <w:w w:val="99"/>
              </w:rPr>
              <w:t>2001</w:t>
            </w:r>
          </w:p>
        </w:tc>
        <w:tc>
          <w:tcPr>
            <w:tcW w:w="2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2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w w:val="92"/>
              </w:rPr>
              <w:t>2002</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26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120" w:type="dxa"/>
            <w:vAlign w:val="bottom"/>
            <w:tcBorders>
              <w:bottom w:val="single" w:sz="8" w:color="808080"/>
            </w:tcBorders>
            <w:gridSpan w:val="2"/>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62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800" w:type="dxa"/>
            <w:vAlign w:val="bottom"/>
            <w:gridSpan w:val="6"/>
          </w:tcPr>
          <w:p>
            <w:pPr>
              <w:jc w:val="center"/>
              <w:ind w:left="357"/>
              <w:spacing w:after="0"/>
              <w:rPr>
                <w:sz w:val="20"/>
                <w:szCs w:val="20"/>
                <w:color w:val="auto"/>
              </w:rPr>
            </w:pPr>
            <w:r>
              <w:rPr>
                <w:rFonts w:ascii="Times New Roman" w:cs="Times New Roman" w:eastAsia="Times New Roman" w:hAnsi="Times New Roman"/>
                <w:sz w:val="14"/>
                <w:szCs w:val="14"/>
                <w:b w:val="1"/>
                <w:bCs w:val="1"/>
                <w:color w:val="auto"/>
                <w:w w:val="96"/>
              </w:rPr>
              <w:t>(in thousands, except per share amounts)</w:t>
            </w: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6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as reported</w:t>
            </w:r>
          </w:p>
        </w:tc>
        <w:tc>
          <w:tcPr>
            <w:tcW w:w="26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gridSpan w:val="2"/>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(21,323)</w:t>
            </w:r>
          </w:p>
        </w:tc>
        <w:tc>
          <w:tcPr>
            <w:tcW w:w="26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(8,232)</w:t>
            </w:r>
          </w:p>
        </w:tc>
        <w:tc>
          <w:tcPr>
            <w:tcW w:w="400" w:type="dxa"/>
            <w:vAlign w:val="bottom"/>
            <w:shd w:val="clear" w:color="auto" w:fill="CCEEFF"/>
          </w:tcPr>
          <w:p>
            <w:pPr>
              <w:jc w:val="right"/>
              <w:ind w:right="285"/>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6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Deduct: Total stock-based employee compensation expense determined under fair</w:t>
            </w: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6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value based method for all awards, net of related tax effects</w:t>
            </w:r>
          </w:p>
        </w:tc>
        <w:tc>
          <w:tcPr>
            <w:tcW w:w="260" w:type="dxa"/>
            <w:vAlign w:val="bottom"/>
          </w:tcPr>
          <w:p>
            <w:pPr>
              <w:spacing w:after="0"/>
              <w:rPr>
                <w:sz w:val="19"/>
                <w:szCs w:val="19"/>
                <w:color w:val="auto"/>
              </w:rPr>
            </w:pPr>
          </w:p>
        </w:tc>
        <w:tc>
          <w:tcPr>
            <w:tcW w:w="1060" w:type="dxa"/>
            <w:vAlign w:val="bottom"/>
            <w:gridSpan w:val="2"/>
          </w:tcPr>
          <w:p>
            <w:pPr>
              <w:jc w:val="right"/>
              <w:ind w:right="72"/>
              <w:spacing w:after="0"/>
              <w:rPr>
                <w:sz w:val="20"/>
                <w:szCs w:val="20"/>
                <w:color w:val="auto"/>
              </w:rPr>
            </w:pPr>
            <w:r>
              <w:rPr>
                <w:rFonts w:ascii="Times New Roman" w:cs="Times New Roman" w:eastAsia="Times New Roman" w:hAnsi="Times New Roman"/>
                <w:sz w:val="18"/>
                <w:szCs w:val="18"/>
                <w:color w:val="auto"/>
              </w:rPr>
              <w:t>(4,385)</w:t>
            </w:r>
          </w:p>
        </w:tc>
        <w:tc>
          <w:tcPr>
            <w:tcW w:w="26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(9,760)</w:t>
            </w:r>
          </w:p>
        </w:tc>
        <w:tc>
          <w:tcPr>
            <w:tcW w:w="40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(12,726)</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626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gridSpan w:val="2"/>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(25,708)</w:t>
            </w:r>
          </w:p>
        </w:tc>
        <w:tc>
          <w:tcPr>
            <w:tcW w:w="26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(17,992)</w:t>
            </w:r>
          </w:p>
        </w:tc>
        <w:tc>
          <w:tcPr>
            <w:tcW w:w="400" w:type="dxa"/>
            <w:vAlign w:val="bottom"/>
            <w:shd w:val="clear" w:color="auto" w:fill="CCEEFF"/>
          </w:tcPr>
          <w:p>
            <w:pPr>
              <w:jc w:val="right"/>
              <w:ind w:right="285"/>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62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Net income (loss) per share:</w:t>
            </w:r>
          </w:p>
        </w:tc>
        <w:tc>
          <w:tcPr>
            <w:tcW w:w="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6280" w:type="dxa"/>
            <w:vAlign w:val="bottom"/>
            <w:gridSpan w:val="2"/>
            <w:vMerge w:val="continue"/>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628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Basic-as reported</w:t>
            </w:r>
          </w:p>
        </w:tc>
        <w:tc>
          <w:tcPr>
            <w:tcW w:w="26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gridSpan w:val="2"/>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(0.60)</w:t>
            </w:r>
          </w:p>
        </w:tc>
        <w:tc>
          <w:tcPr>
            <w:tcW w:w="26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(0.18)</w:t>
            </w:r>
          </w:p>
        </w:tc>
        <w:tc>
          <w:tcPr>
            <w:tcW w:w="400" w:type="dxa"/>
            <w:vAlign w:val="bottom"/>
            <w:shd w:val="clear" w:color="auto" w:fill="CCEEFF"/>
          </w:tcPr>
          <w:p>
            <w:pPr>
              <w:jc w:val="right"/>
              <w:ind w:right="285"/>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Basic-pro forma</w:t>
            </w:r>
          </w:p>
        </w:tc>
        <w:tc>
          <w:tcPr>
            <w:tcW w:w="26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gridSpan w:val="2"/>
          </w:tcPr>
          <w:p>
            <w:pPr>
              <w:jc w:val="right"/>
              <w:ind w:right="72"/>
              <w:spacing w:after="0"/>
              <w:rPr>
                <w:sz w:val="20"/>
                <w:szCs w:val="20"/>
                <w:color w:val="auto"/>
              </w:rPr>
            </w:pPr>
            <w:r>
              <w:rPr>
                <w:rFonts w:ascii="Times New Roman" w:cs="Times New Roman" w:eastAsia="Times New Roman" w:hAnsi="Times New Roman"/>
                <w:sz w:val="18"/>
                <w:szCs w:val="18"/>
                <w:color w:val="auto"/>
              </w:rPr>
              <w:t>(0.69)</w:t>
            </w:r>
          </w:p>
        </w:tc>
        <w:tc>
          <w:tcPr>
            <w:tcW w:w="26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(0.33)</w:t>
            </w:r>
          </w:p>
        </w:tc>
        <w:tc>
          <w:tcPr>
            <w:tcW w:w="400" w:type="dxa"/>
            <w:vAlign w:val="bottom"/>
          </w:tcPr>
          <w:p>
            <w:pPr>
              <w:jc w:val="right"/>
              <w:ind w:right="285"/>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Diluted-as reported</w:t>
            </w:r>
          </w:p>
        </w:tc>
        <w:tc>
          <w:tcPr>
            <w:tcW w:w="26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gridSpan w:val="2"/>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(0.60)</w:t>
            </w:r>
          </w:p>
        </w:tc>
        <w:tc>
          <w:tcPr>
            <w:tcW w:w="26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(0.18)</w:t>
            </w:r>
          </w:p>
        </w:tc>
        <w:tc>
          <w:tcPr>
            <w:tcW w:w="400" w:type="dxa"/>
            <w:vAlign w:val="bottom"/>
            <w:shd w:val="clear" w:color="auto" w:fill="CCEEFF"/>
          </w:tcPr>
          <w:p>
            <w:pPr>
              <w:jc w:val="right"/>
              <w:ind w:right="285"/>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Diluted-pro forma</w:t>
            </w:r>
          </w:p>
        </w:tc>
        <w:tc>
          <w:tcPr>
            <w:tcW w:w="26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gridSpan w:val="2"/>
          </w:tcPr>
          <w:p>
            <w:pPr>
              <w:jc w:val="right"/>
              <w:ind w:right="72"/>
              <w:spacing w:after="0"/>
              <w:rPr>
                <w:sz w:val="20"/>
                <w:szCs w:val="20"/>
                <w:color w:val="auto"/>
              </w:rPr>
            </w:pPr>
            <w:r>
              <w:rPr>
                <w:rFonts w:ascii="Times New Roman" w:cs="Times New Roman" w:eastAsia="Times New Roman" w:hAnsi="Times New Roman"/>
                <w:sz w:val="18"/>
                <w:szCs w:val="18"/>
                <w:color w:val="auto"/>
              </w:rPr>
              <w:t>(0.69)</w:t>
            </w:r>
          </w:p>
        </w:tc>
        <w:tc>
          <w:tcPr>
            <w:tcW w:w="26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(0.33)</w:t>
            </w:r>
          </w:p>
        </w:tc>
        <w:tc>
          <w:tcPr>
            <w:tcW w:w="400" w:type="dxa"/>
            <w:vAlign w:val="bottom"/>
          </w:tcPr>
          <w:p>
            <w:pPr>
              <w:jc w:val="right"/>
              <w:ind w:right="285"/>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6374765</wp:posOffset>
            </wp:positionH>
            <wp:positionV relativeFrom="paragraph">
              <wp:posOffset>-2284095</wp:posOffset>
            </wp:positionV>
            <wp:extent cx="12700" cy="889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3982085</wp:posOffset>
            </wp:positionH>
            <wp:positionV relativeFrom="paragraph">
              <wp:posOffset>-2284095</wp:posOffset>
            </wp:positionV>
            <wp:extent cx="12700" cy="889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-2035175</wp:posOffset>
            </wp:positionV>
            <wp:extent cx="12700" cy="889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3982085</wp:posOffset>
            </wp:positionH>
            <wp:positionV relativeFrom="paragraph">
              <wp:posOffset>-2035175</wp:posOffset>
            </wp:positionV>
            <wp:extent cx="12700" cy="889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-2035175</wp:posOffset>
            </wp:positionV>
            <wp:extent cx="12700" cy="889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-2035175</wp:posOffset>
            </wp:positionV>
            <wp:extent cx="12700" cy="889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-2035175</wp:posOffset>
            </wp:positionV>
            <wp:extent cx="12700" cy="889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-2035175</wp:posOffset>
            </wp:positionV>
            <wp:extent cx="12700" cy="889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-1220470</wp:posOffset>
            </wp:positionV>
            <wp:extent cx="12700" cy="889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3982085</wp:posOffset>
            </wp:positionH>
            <wp:positionV relativeFrom="paragraph">
              <wp:posOffset>-1220470</wp:posOffset>
            </wp:positionV>
            <wp:extent cx="12700" cy="889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-1220470</wp:posOffset>
            </wp:positionV>
            <wp:extent cx="12700" cy="889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-1220470</wp:posOffset>
            </wp:positionV>
            <wp:extent cx="12700" cy="889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-1220470</wp:posOffset>
            </wp:positionV>
            <wp:extent cx="12700" cy="889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-1220470</wp:posOffset>
            </wp:positionV>
            <wp:extent cx="12700" cy="889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65" w:lineRule="exact"/>
        <w:rPr>
          <w:sz w:val="20"/>
          <w:szCs w:val="20"/>
          <w:color w:val="auto"/>
        </w:rPr>
      </w:pPr>
    </w:p>
    <w:p>
      <w:pPr>
        <w:jc w:val="both"/>
        <w:ind w:right="100" w:firstLine="351"/>
        <w:spacing w:after="0" w:line="313" w:lineRule="auto"/>
        <w:rPr>
          <w:sz w:val="20"/>
          <w:szCs w:val="20"/>
          <w:color w:val="auto"/>
        </w:rPr>
      </w:pPr>
      <w:r>
        <w:rPr>
          <w:rFonts w:ascii="Times New Roman" w:cs="Times New Roman" w:eastAsia="Times New Roman" w:hAnsi="Times New Roman"/>
          <w:sz w:val="16"/>
          <w:szCs w:val="16"/>
          <w:b w:val="1"/>
          <w:bCs w:val="1"/>
          <w:i w:val="1"/>
          <w:iCs w:val="1"/>
          <w:color w:val="auto"/>
        </w:rPr>
        <w:t>Income Taxes</w:t>
      </w:r>
      <w:r>
        <w:rPr>
          <w:rFonts w:ascii="Times New Roman" w:cs="Times New Roman" w:eastAsia="Times New Roman" w:hAnsi="Times New Roman"/>
          <w:sz w:val="16"/>
          <w:szCs w:val="16"/>
          <w:color w:val="auto"/>
        </w:rPr>
        <w:t>—Deferred income taxes are provided for differences arising in the timing of income and expenses for financial reporting and for income tax</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purposes using the asset/liability method of accounting. Under this method, deferred income taxes are recognized for the future tax consequences attributable to the differences between the financial statements' carrying amounts of existing assets and liabilities and their respective tax bases, using enacted tax rates.</w:t>
      </w:r>
    </w:p>
    <w:p>
      <w:pPr>
        <w:sectPr>
          <w:pgSz w:w="11900" w:h="16838" w:orient="portrait"/>
          <w:cols w:equalWidth="0" w:num="1">
            <w:col w:w="11380"/>
          </w:cols>
          <w:pgMar w:left="240" w:top="125" w:right="279" w:bottom="0" w:gutter="0" w:footer="0" w:header="0"/>
        </w:sectPr>
      </w:pPr>
    </w:p>
    <w:bookmarkStart w:id="36" w:name="page37"/>
    <w:bookmarkEnd w:id="36"/>
    <w:p>
      <w:pPr>
        <w:spacing w:after="0" w:line="49" w:lineRule="exact"/>
        <w:rPr>
          <w:sz w:val="20"/>
          <w:szCs w:val="20"/>
          <w:color w:val="auto"/>
        </w:rPr>
      </w:pPr>
    </w:p>
    <w:p>
      <w:pPr>
        <w:ind w:firstLine="351"/>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Long-Lived Assets</w:t>
      </w:r>
      <w:r>
        <w:rPr>
          <w:rFonts w:ascii="Times New Roman" w:cs="Times New Roman" w:eastAsia="Times New Roman" w:hAnsi="Times New Roman"/>
          <w:sz w:val="18"/>
          <w:szCs w:val="18"/>
          <w:color w:val="auto"/>
        </w:rPr>
        <w:t>—Long-lived assets and other intangible assets are evaluated for impairment whenever events or changes in circumstances indicate that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carrying amount of such assets or intangibles may not be recoverable. Recoverability is measured by a comparison of the carrying amount of an asset to future undiscounted net cash flows expected to be generated by the asset. If such assets are considered to be impaired, the impairment to be recognized is measured by the amount by which the carrying amount of the assets exceeds the fair value of the assets.</w:t>
      </w:r>
    </w:p>
    <w:p>
      <w:pPr>
        <w:spacing w:after="0" w:line="183" w:lineRule="exact"/>
        <w:rPr>
          <w:sz w:val="20"/>
          <w:szCs w:val="20"/>
          <w:color w:val="auto"/>
        </w:rPr>
      </w:pPr>
    </w:p>
    <w:p>
      <w:pPr>
        <w:ind w:right="140" w:firstLine="351"/>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Derivative Instruments</w:t>
      </w:r>
      <w:r>
        <w:rPr>
          <w:rFonts w:ascii="Times New Roman" w:cs="Times New Roman" w:eastAsia="Times New Roman" w:hAnsi="Times New Roman"/>
          <w:sz w:val="18"/>
          <w:szCs w:val="18"/>
          <w:color w:val="auto"/>
        </w:rPr>
        <w:t>—The Company uses interest rate swaps to hedge its exposure to interest and foreign exchange rate changes. Effective January 1,</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2001, the Company adopted SFAS No. 133, Accounting for Derivative Instruments and Hedging Activities, as amended, which requires that all derivative instruments be reported on the balance sheet at fair value. If the derivative instrument is a hedge, depending on the nature of the hedge, changes in the fair value of the derivative instrument are either recognized in net income or in other comprehensive income (loss) until the hedged item is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20"/>
        <w:spacing w:after="0" w:line="262" w:lineRule="auto"/>
        <w:rPr>
          <w:sz w:val="20"/>
          <w:szCs w:val="20"/>
          <w:color w:val="auto"/>
        </w:rPr>
      </w:pPr>
      <w:r>
        <w:rPr>
          <w:rFonts w:ascii="Times New Roman" w:cs="Times New Roman" w:eastAsia="Times New Roman" w:hAnsi="Times New Roman"/>
          <w:sz w:val="18"/>
          <w:szCs w:val="18"/>
          <w:color w:val="auto"/>
        </w:rPr>
        <w:t>recognized in net income. For derivatives that do not qualify as hedges under SFAS No. 133, the change in fair value is recorded as part of earnings. It is the policy of the Company to execute such instruments with creditworthy banks and not to enter into derivative financial instruments for speculative purposes. See Note 16 for more information regarding derivatives.</w:t>
      </w:r>
    </w:p>
    <w:p>
      <w:pPr>
        <w:spacing w:after="0" w:line="182" w:lineRule="exact"/>
        <w:rPr>
          <w:sz w:val="20"/>
          <w:szCs w:val="20"/>
          <w:color w:val="auto"/>
        </w:rPr>
      </w:pPr>
    </w:p>
    <w:p>
      <w:pPr>
        <w:ind w:right="60" w:firstLine="351"/>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Recently Issued Accounting Standards</w:t>
      </w:r>
      <w:r>
        <w:rPr>
          <w:rFonts w:ascii="Times New Roman" w:cs="Times New Roman" w:eastAsia="Times New Roman" w:hAnsi="Times New Roman"/>
          <w:sz w:val="18"/>
          <w:szCs w:val="18"/>
          <w:color w:val="auto"/>
        </w:rPr>
        <w:t>—In April 2002, the FASB issued SFAS No. 145, "Rescission of FASB Statements No. 4, 44 and 64, Amendment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FASB Statement No. 13 and Technical Corrections." SFAS 145 eliminates Statement 4 and, thus, the exception to applying Opinion 30 to all gains and losses related to extinguishments of debt (other than extinguishments of debt to satisfy sinking-fund requirements—the exception to application of Statement 4 noted in Statement 64). As a result, gains and losses from extinguishment of debt should be classified as extraordinary items only if they meet the criteria in Opinion 30. This provision of SFAS 145 is effective for fiscal years beginning after May 15, 2002. Management expects to adopt this statement in its 2003 financial statements, and accordingly reclassify extraordinary items for the years ended December 31, 2001 and 2002.</w:t>
      </w:r>
    </w:p>
    <w:p>
      <w:pPr>
        <w:spacing w:after="0" w:line="192" w:lineRule="exact"/>
        <w:rPr>
          <w:sz w:val="20"/>
          <w:szCs w:val="20"/>
          <w:color w:val="auto"/>
        </w:rPr>
      </w:pPr>
    </w:p>
    <w:p>
      <w:pPr>
        <w:ind w:right="20" w:firstLine="351"/>
        <w:spacing w:after="0" w:line="310" w:lineRule="auto"/>
        <w:rPr>
          <w:sz w:val="20"/>
          <w:szCs w:val="20"/>
          <w:color w:val="auto"/>
        </w:rPr>
      </w:pPr>
      <w:r>
        <w:rPr>
          <w:rFonts w:ascii="Times New Roman" w:cs="Times New Roman" w:eastAsia="Times New Roman" w:hAnsi="Times New Roman"/>
          <w:sz w:val="16"/>
          <w:szCs w:val="16"/>
          <w:color w:val="auto"/>
        </w:rPr>
        <w:t>In June 2002, the FASB issued SFAS No. 146, "Accounting for Costs Associated with Exit or Disposal Activities." SFAS No. 146 generally requires companies to recognize costs associated with exit or disposal activities when they are incurred rather than at the date of a commitment to an exit or disposal plan. This pronouncement is effective for exit or disposal activities initiated after December 31, 2002, and is not expected to have a significant impact on the Company.</w:t>
      </w:r>
    </w:p>
    <w:p>
      <w:pPr>
        <w:spacing w:after="0" w:line="151" w:lineRule="exact"/>
        <w:rPr>
          <w:sz w:val="20"/>
          <w:szCs w:val="20"/>
          <w:color w:val="auto"/>
        </w:rPr>
      </w:pPr>
    </w:p>
    <w:p>
      <w:pPr>
        <w:ind w:firstLine="351"/>
        <w:spacing w:after="0" w:line="255" w:lineRule="auto"/>
        <w:rPr>
          <w:sz w:val="20"/>
          <w:szCs w:val="20"/>
          <w:color w:val="auto"/>
        </w:rPr>
      </w:pPr>
      <w:r>
        <w:rPr>
          <w:rFonts w:ascii="Times New Roman" w:cs="Times New Roman" w:eastAsia="Times New Roman" w:hAnsi="Times New Roman"/>
          <w:sz w:val="18"/>
          <w:szCs w:val="18"/>
          <w:color w:val="auto"/>
        </w:rPr>
        <w:t>In December 2002, the FASB issued SFAS No.148, "Accounting for Stock-Based Compensation—Transition and Disclosure—an amendment of FASB Statement No. 123." SFAS 148 amends SFAS 123 to provide alternative methods of transition for a voluntary change to the fair value method of accounting for stock-based employee compensation. In addition, SFAS 148 amends the disclosure requirements of SFAS 123 to require prominent disclosures in both annual and interim financial statements about the method of accounting for stock-based employee compensation and the effect of the method used on reported results. Management currently does not plan to transition to the fair value method of accounting for employee stock options. Accordingly, management does not believe that portion of SFAS 148 will impact the Company. However, management has provided the required disclosures.</w:t>
      </w:r>
    </w:p>
    <w:p>
      <w:pPr>
        <w:spacing w:after="0" w:line="193" w:lineRule="exact"/>
        <w:rPr>
          <w:sz w:val="20"/>
          <w:szCs w:val="20"/>
          <w:color w:val="auto"/>
        </w:rPr>
      </w:pPr>
    </w:p>
    <w:p>
      <w:pPr>
        <w:ind w:firstLine="351"/>
        <w:spacing w:after="0" w:line="256" w:lineRule="auto"/>
        <w:rPr>
          <w:sz w:val="20"/>
          <w:szCs w:val="20"/>
          <w:color w:val="auto"/>
        </w:rPr>
      </w:pPr>
      <w:r>
        <w:rPr>
          <w:rFonts w:ascii="Times New Roman" w:cs="Times New Roman" w:eastAsia="Times New Roman" w:hAnsi="Times New Roman"/>
          <w:sz w:val="18"/>
          <w:szCs w:val="18"/>
          <w:color w:val="auto"/>
        </w:rPr>
        <w:t>In November 2002, the FASB issued Interpretation No. 45, "Guarantor's Accounting and Disclosure Requirements for Guarantees, Including Indirect Guarantees of Indebtedness of Others." Interpretation No. 45 requires that at the time a company issues a guarantee, the company must recognize an initial liability for the fair value, or market value, of the obligations it assumes under that guarantee. This interpretation is applicable on a prospective basis to guarantees issued or modified after December 31, 2002. While the Company has various guarantees included in contracts in the normal course of business, primarily in the form of indemnities, these guarantees do not represent significant commitments or contingent liabilities of the indebtedness of others.</w:t>
      </w:r>
    </w:p>
    <w:p>
      <w:pPr>
        <w:spacing w:after="0" w:line="193" w:lineRule="exact"/>
        <w:rPr>
          <w:sz w:val="20"/>
          <w:szCs w:val="20"/>
          <w:color w:val="auto"/>
        </w:rPr>
      </w:pPr>
    </w:p>
    <w:p>
      <w:pPr>
        <w:ind w:right="20" w:firstLine="351"/>
        <w:spacing w:after="0" w:line="258" w:lineRule="auto"/>
        <w:rPr>
          <w:sz w:val="20"/>
          <w:szCs w:val="20"/>
          <w:color w:val="auto"/>
        </w:rPr>
      </w:pPr>
      <w:r>
        <w:rPr>
          <w:rFonts w:ascii="Times New Roman" w:cs="Times New Roman" w:eastAsia="Times New Roman" w:hAnsi="Times New Roman"/>
          <w:sz w:val="18"/>
          <w:szCs w:val="18"/>
          <w:color w:val="auto"/>
        </w:rPr>
        <w:t>In January 2003, the FASB issued Interpretation No. 46, "Consolidation of Variable Interest Entities." Interpretation No. 46 requires public companies with a variable interest in a variable interest entity to apply this guidance to that entity no later than the beginning of the first interim or annual reporting period beginning after June 15, 2003 and immediately for new interests. This application of the guidance could result in the consolidation of a variable interest entity. The Company is evaluating the impact of this interpretation on its financial results.</w:t>
      </w:r>
    </w:p>
    <w:p>
      <w:pPr>
        <w:spacing w:after="0" w:line="186"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Reclassifications</w:t>
      </w:r>
      <w:r>
        <w:rPr>
          <w:rFonts w:ascii="Times New Roman" w:cs="Times New Roman" w:eastAsia="Times New Roman" w:hAnsi="Times New Roman"/>
          <w:sz w:val="18"/>
          <w:szCs w:val="18"/>
          <w:color w:val="auto"/>
        </w:rPr>
        <w:t>—For purposes of comparability, certain prior period amounts have been reclassified to conform with the current year presentation.</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8"/>
          <w:szCs w:val="18"/>
          <w:b w:val="1"/>
          <w:bCs w:val="1"/>
          <w:color w:val="auto"/>
        </w:rPr>
        <w:t>3.</w:t>
      </w:r>
      <w:r>
        <w:rPr>
          <w:sz w:val="20"/>
          <w:szCs w:val="20"/>
          <w:color w:val="auto"/>
        </w:rPr>
        <w:tab/>
      </w:r>
      <w:r>
        <w:rPr>
          <w:rFonts w:ascii="Times New Roman" w:cs="Times New Roman" w:eastAsia="Times New Roman" w:hAnsi="Times New Roman"/>
          <w:sz w:val="16"/>
          <w:szCs w:val="16"/>
          <w:b w:val="1"/>
          <w:bCs w:val="1"/>
          <w:color w:val="auto"/>
        </w:rPr>
        <w:t>ACQUISITIONS</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During the past three years the Company completed the following acquisitions: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0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Business</w:t>
            </w:r>
          </w:p>
        </w:tc>
        <w:tc>
          <w:tcPr>
            <w:tcW w:w="280" w:type="dxa"/>
            <w:vAlign w:val="bottom"/>
          </w:tcPr>
          <w:p>
            <w:pPr>
              <w:spacing w:after="0"/>
              <w:rPr>
                <w:sz w:val="15"/>
                <w:szCs w:val="15"/>
                <w:color w:val="auto"/>
              </w:rPr>
            </w:pPr>
          </w:p>
        </w:tc>
        <w:tc>
          <w:tcPr>
            <w:tcW w:w="1760" w:type="dxa"/>
            <w:vAlign w:val="bottom"/>
          </w:tcPr>
          <w:p>
            <w:pPr>
              <w:ind w:left="400"/>
              <w:spacing w:after="0"/>
              <w:rPr>
                <w:sz w:val="20"/>
                <w:szCs w:val="20"/>
                <w:color w:val="auto"/>
              </w:rPr>
            </w:pPr>
            <w:r>
              <w:rPr>
                <w:rFonts w:ascii="Times New Roman" w:cs="Times New Roman" w:eastAsia="Times New Roman" w:hAnsi="Times New Roman"/>
                <w:sz w:val="14"/>
                <w:szCs w:val="14"/>
                <w:b w:val="1"/>
                <w:bCs w:val="1"/>
                <w:color w:val="auto"/>
              </w:rPr>
              <w:t>Month Acquired</w:t>
            </w:r>
          </w:p>
        </w:tc>
        <w:tc>
          <w:tcPr>
            <w:tcW w:w="260" w:type="dxa"/>
            <w:vAlign w:val="bottom"/>
          </w:tcPr>
          <w:p>
            <w:pPr>
              <w:spacing w:after="0"/>
              <w:rPr>
                <w:sz w:val="15"/>
                <w:szCs w:val="15"/>
                <w:color w:val="auto"/>
              </w:rPr>
            </w:pPr>
          </w:p>
        </w:tc>
        <w:tc>
          <w:tcPr>
            <w:tcW w:w="1600" w:type="dxa"/>
            <w:vAlign w:val="bottom"/>
          </w:tcPr>
          <w:p>
            <w:pPr>
              <w:ind w:left="400"/>
              <w:spacing w:after="0"/>
              <w:rPr>
                <w:sz w:val="20"/>
                <w:szCs w:val="20"/>
                <w:color w:val="auto"/>
              </w:rPr>
            </w:pPr>
            <w:r>
              <w:rPr>
                <w:rFonts w:ascii="Times New Roman" w:cs="Times New Roman" w:eastAsia="Times New Roman" w:hAnsi="Times New Roman"/>
                <w:sz w:val="14"/>
                <w:szCs w:val="14"/>
                <w:b w:val="1"/>
                <w:bCs w:val="1"/>
                <w:color w:val="auto"/>
              </w:rPr>
              <w:t>Consideration</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98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176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16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9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7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2002:</w:t>
            </w:r>
          </w:p>
        </w:tc>
        <w:tc>
          <w:tcPr>
            <w:tcW w:w="28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Loyalty One, Inc.</w:t>
            </w:r>
          </w:p>
        </w:tc>
        <w:tc>
          <w:tcPr>
            <w:tcW w:w="20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January 2002</w:t>
            </w:r>
          </w:p>
        </w:tc>
        <w:tc>
          <w:tcPr>
            <w:tcW w:w="18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Cash for Stock</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Enlogix Group</w:t>
            </w:r>
          </w:p>
        </w:tc>
        <w:tc>
          <w:tcPr>
            <w:tcW w:w="20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September 2002</w:t>
            </w:r>
          </w:p>
        </w:tc>
        <w:tc>
          <w:tcPr>
            <w:tcW w:w="18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Cash for Stock</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Targeted Marketing Services</w:t>
            </w:r>
          </w:p>
        </w:tc>
        <w:tc>
          <w:tcPr>
            <w:tcW w:w="20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December 2002</w:t>
            </w:r>
          </w:p>
        </w:tc>
        <w:tc>
          <w:tcPr>
            <w:tcW w:w="18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Cash for Assets</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2001:</w:t>
            </w:r>
          </w:p>
        </w:tc>
        <w:tc>
          <w:tcPr>
            <w:tcW w:w="28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Utilipro, Inc.</w:t>
            </w:r>
          </w:p>
        </w:tc>
        <w:tc>
          <w:tcPr>
            <w:tcW w:w="20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February 2001</w:t>
            </w:r>
          </w:p>
        </w:tc>
        <w:tc>
          <w:tcPr>
            <w:tcW w:w="18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Cash for Assets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ConneXt, Inc.</w:t>
            </w:r>
          </w:p>
        </w:tc>
        <w:tc>
          <w:tcPr>
            <w:tcW w:w="20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August 2001</w:t>
            </w:r>
          </w:p>
        </w:tc>
        <w:tc>
          <w:tcPr>
            <w:tcW w:w="18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Cash for Assets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MailBox Capital Corp.</w:t>
            </w:r>
          </w:p>
        </w:tc>
        <w:tc>
          <w:tcPr>
            <w:tcW w:w="20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September 2001</w:t>
            </w:r>
          </w:p>
        </w:tc>
        <w:tc>
          <w:tcPr>
            <w:tcW w:w="18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Cash for Assets</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2000:</w:t>
            </w:r>
          </w:p>
        </w:tc>
        <w:tc>
          <w:tcPr>
            <w:tcW w:w="28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None</w:t>
            </w:r>
          </w:p>
        </w:tc>
        <w:tc>
          <w:tcPr>
            <w:tcW w:w="2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3167380</wp:posOffset>
            </wp:positionH>
            <wp:positionV relativeFrom="paragraph">
              <wp:posOffset>-1735455</wp:posOffset>
            </wp:positionV>
            <wp:extent cx="12700" cy="889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-1735455</wp:posOffset>
            </wp:positionV>
            <wp:extent cx="12700" cy="889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-1735455</wp:posOffset>
            </wp:positionV>
            <wp:extent cx="12700" cy="889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3347720</wp:posOffset>
            </wp:positionH>
            <wp:positionV relativeFrom="paragraph">
              <wp:posOffset>-1735455</wp:posOffset>
            </wp:positionV>
            <wp:extent cx="12700" cy="889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-1735455</wp:posOffset>
            </wp:positionV>
            <wp:extent cx="12700" cy="889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-1735455</wp:posOffset>
            </wp:positionV>
            <wp:extent cx="12700" cy="889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69" w:lineRule="exact"/>
        <w:rPr>
          <w:sz w:val="20"/>
          <w:szCs w:val="20"/>
          <w:color w:val="auto"/>
        </w:rPr>
      </w:pPr>
    </w:p>
    <w:p>
      <w:pPr>
        <w:ind w:right="140" w:firstLine="341"/>
        <w:spacing w:after="0" w:line="262" w:lineRule="auto"/>
        <w:rPr>
          <w:sz w:val="20"/>
          <w:szCs w:val="20"/>
          <w:color w:val="auto"/>
        </w:rPr>
      </w:pPr>
      <w:r>
        <w:rPr>
          <w:rFonts w:ascii="Times New Roman" w:cs="Times New Roman" w:eastAsia="Times New Roman" w:hAnsi="Times New Roman"/>
          <w:sz w:val="18"/>
          <w:szCs w:val="18"/>
          <w:color w:val="auto"/>
        </w:rPr>
        <w:t>All of the above acquisitions are accounted for in the Transaction Services segment. The acquisitions were accounted for as purchases and, accordingly, the operations of the acquired companies were included in the consolidated financial statements since their respective dates of acquisition as set forth above. Pro forma information for acquisitions is not presented as the impact was not material.</w:t>
      </w:r>
    </w:p>
    <w:p>
      <w:pPr>
        <w:spacing w:after="0" w:line="18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following table summarizes the purchase price for the acquisitions, and the allocation thereof:</w:t>
      </w:r>
    </w:p>
    <w:p>
      <w:pPr>
        <w:sectPr>
          <w:pgSz w:w="11900" w:h="16887" w:orient="portrait"/>
          <w:cols w:equalWidth="0" w:num="1">
            <w:col w:w="11400"/>
          </w:cols>
          <w:pgMar w:left="240" w:top="121" w:right="259" w:bottom="0" w:gutter="0" w:footer="0" w:header="0"/>
        </w:sectPr>
      </w:pPr>
    </w:p>
    <w:bookmarkStart w:id="37" w:name="page38"/>
    <w:bookmarkEnd w:id="37"/>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7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2001</w:t>
            </w: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60" w:type="dxa"/>
            <w:vAlign w:val="bottom"/>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w w:val="99"/>
              </w:rPr>
              <w:t>2002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4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74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7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Identifiable intangible assets</w:t>
            </w:r>
          </w:p>
        </w:tc>
        <w:tc>
          <w:tcPr>
            <w:tcW w:w="22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15,424</w:t>
            </w:r>
          </w:p>
        </w:tc>
        <w:tc>
          <w:tcPr>
            <w:tcW w:w="5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63,219</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net assets (liabilities) acquired</w:t>
            </w:r>
          </w:p>
        </w:tc>
        <w:tc>
          <w:tcPr>
            <w:tcW w:w="22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10,334</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(8,057)</w:t>
            </w:r>
          </w:p>
        </w:tc>
        <w:tc>
          <w:tcPr>
            <w:tcW w:w="0" w:type="dxa"/>
            <w:vAlign w:val="bottom"/>
          </w:tcPr>
          <w:p>
            <w:pPr>
              <w:spacing w:after="0"/>
              <w:rPr>
                <w:sz w:val="1"/>
                <w:szCs w:val="1"/>
                <w:color w:val="auto"/>
              </w:rPr>
            </w:pPr>
          </w:p>
        </w:tc>
      </w:tr>
      <w:tr>
        <w:trPr>
          <w:trHeight w:val="118"/>
        </w:trPr>
        <w:tc>
          <w:tcPr>
            <w:tcW w:w="7440" w:type="dxa"/>
            <w:vAlign w:val="bottom"/>
            <w:gridSpan w:val="2"/>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Purchase price</w:t>
            </w:r>
          </w:p>
        </w:tc>
        <w:tc>
          <w:tcPr>
            <w:tcW w:w="22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88,977</w:t>
            </w:r>
          </w:p>
        </w:tc>
        <w:tc>
          <w:tcPr>
            <w:tcW w:w="5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35,891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42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760" w:type="dxa"/>
            <w:vAlign w:val="bottom"/>
            <w:tcBorders>
              <w:right w:val="single" w:sz="8" w:color="808080"/>
            </w:tcBorders>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6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5328920</wp:posOffset>
            </wp:positionH>
            <wp:positionV relativeFrom="paragraph">
              <wp:posOffset>-1137920</wp:posOffset>
            </wp:positionV>
            <wp:extent cx="12700" cy="889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-1137920</wp:posOffset>
            </wp:positionV>
            <wp:extent cx="12700" cy="889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-1137920</wp:posOffset>
            </wp:positionV>
            <wp:extent cx="12700" cy="889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-1137920</wp:posOffset>
            </wp:positionV>
            <wp:extent cx="12700" cy="889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-323215</wp:posOffset>
            </wp:positionV>
            <wp:extent cx="12700" cy="889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-323215</wp:posOffset>
            </wp:positionV>
            <wp:extent cx="12700" cy="889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-323215</wp:posOffset>
            </wp:positionV>
            <wp:extent cx="12700" cy="889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-323215</wp:posOffset>
            </wp:positionV>
            <wp:extent cx="12700" cy="889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Company does not anticipate any significant adjustments to the purchase price allocations.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4.</w:t>
      </w:r>
      <w:r>
        <w:rPr>
          <w:sz w:val="20"/>
          <w:szCs w:val="20"/>
          <w:color w:val="auto"/>
        </w:rPr>
        <w:tab/>
      </w:r>
      <w:r>
        <w:rPr>
          <w:rFonts w:ascii="Times New Roman" w:cs="Times New Roman" w:eastAsia="Times New Roman" w:hAnsi="Times New Roman"/>
          <w:sz w:val="16"/>
          <w:szCs w:val="16"/>
          <w:b w:val="1"/>
          <w:bCs w:val="1"/>
          <w:color w:val="auto"/>
        </w:rPr>
        <w:t>REDEMPTION SETTLEMENT ASSETS</w:t>
      </w:r>
    </w:p>
    <w:p>
      <w:pPr>
        <w:spacing w:after="0" w:line="227" w:lineRule="exact"/>
        <w:rPr>
          <w:sz w:val="20"/>
          <w:szCs w:val="20"/>
          <w:color w:val="auto"/>
        </w:rPr>
      </w:pPr>
    </w:p>
    <w:p>
      <w:pPr>
        <w:ind w:right="120" w:firstLine="351"/>
        <w:spacing w:after="0" w:line="258" w:lineRule="auto"/>
        <w:rPr>
          <w:sz w:val="20"/>
          <w:szCs w:val="20"/>
          <w:color w:val="auto"/>
        </w:rPr>
      </w:pPr>
      <w:r>
        <w:rPr>
          <w:rFonts w:ascii="Times New Roman" w:cs="Times New Roman" w:eastAsia="Times New Roman" w:hAnsi="Times New Roman"/>
          <w:sz w:val="18"/>
          <w:szCs w:val="18"/>
          <w:color w:val="auto"/>
        </w:rPr>
        <w:t>Redemption settlement assets consist of cash and cash equivalents and securities available-for-sale and are designated for settling redemptions by collectors of the AIR MILES Reward Program in Canada under certain contractual relationships with sponsors of the AIR MILES Reward Program. These assets are primarily denominated in Canadian dollars. Realized gains and losses from the sale of investment securities were not material. The principal components of redemption settlement assets, which are carried at fair value, are as follows: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20" w:type="dxa"/>
            <w:vAlign w:val="bottom"/>
            <w:gridSpan w:val="4"/>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w w:val="97"/>
              </w:rPr>
              <w:t>December 31, 2001</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December 31, 2002</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14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3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20" w:type="dxa"/>
            <w:vAlign w:val="bottom"/>
            <w:gridSpan w:val="4"/>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w w:val="94"/>
              </w:rPr>
              <w:t>Unrealized</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8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3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60" w:type="dxa"/>
            <w:vAlign w:val="bottom"/>
          </w:tcPr>
          <w:p>
            <w:pPr>
              <w:spacing w:after="0"/>
              <w:rPr>
                <w:sz w:val="23"/>
                <w:szCs w:val="23"/>
                <w:color w:val="auto"/>
              </w:rPr>
            </w:pPr>
          </w:p>
        </w:tc>
        <w:tc>
          <w:tcPr>
            <w:tcW w:w="640" w:type="dxa"/>
            <w:vAlign w:val="bottom"/>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2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00" w:type="dxa"/>
            <w:vAlign w:val="bottom"/>
          </w:tcPr>
          <w:p>
            <w:pPr>
              <w:spacing w:after="0"/>
              <w:rPr>
                <w:sz w:val="23"/>
                <w:szCs w:val="23"/>
                <w:color w:val="auto"/>
              </w:rPr>
            </w:pPr>
          </w:p>
        </w:tc>
        <w:tc>
          <w:tcPr>
            <w:tcW w:w="4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w w:val="90"/>
              </w:rPr>
              <w:t>Fair Value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14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Borders>
              <w:bottom w:val="single" w:sz="8" w:color="808080"/>
            </w:tcBorders>
            <w:gridSpan w:val="2"/>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3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160" w:type="dxa"/>
            <w:vAlign w:val="bottom"/>
            <w:gridSpan w:val="6"/>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3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77,840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w w:val="77"/>
              </w:rPr>
              <w:t>—</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77,840</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17,680</w:t>
            </w:r>
          </w:p>
        </w:tc>
        <w:tc>
          <w:tcPr>
            <w:tcW w:w="1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17,680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Government bonds</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ind w:left="560"/>
              <w:spacing w:after="0"/>
              <w:rPr>
                <w:sz w:val="20"/>
                <w:szCs w:val="20"/>
                <w:color w:val="auto"/>
              </w:rPr>
            </w:pPr>
            <w:r>
              <w:rPr>
                <w:rFonts w:ascii="Times New Roman" w:cs="Times New Roman" w:eastAsia="Times New Roman" w:hAnsi="Times New Roman"/>
                <w:sz w:val="18"/>
                <w:szCs w:val="18"/>
                <w:color w:val="auto"/>
                <w:w w:val="77"/>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6,205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9,801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65,119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w w:val="77"/>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66,285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138,364</w:t>
            </w:r>
          </w:p>
        </w:tc>
        <w:tc>
          <w:tcPr>
            <w:tcW w:w="1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138,729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14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3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149,028</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1,302</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ind w:left="560"/>
              <w:spacing w:after="0"/>
              <w:rPr>
                <w:sz w:val="20"/>
                <w:szCs w:val="20"/>
                <w:color w:val="auto"/>
              </w:rPr>
            </w:pPr>
            <w:r>
              <w:rPr>
                <w:rFonts w:ascii="Times New Roman" w:cs="Times New Roman" w:eastAsia="Times New Roman" w:hAnsi="Times New Roman"/>
                <w:sz w:val="18"/>
                <w:szCs w:val="18"/>
                <w:color w:val="auto"/>
                <w:w w:val="77"/>
              </w:rPr>
              <w:t>—</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150,330</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165,845</w:t>
            </w:r>
          </w:p>
        </w:tc>
        <w:tc>
          <w:tcPr>
            <w:tcW w:w="120" w:type="dxa"/>
            <w:vAlign w:val="bottom"/>
          </w:tcPr>
          <w:p>
            <w:pPr>
              <w:spacing w:after="0"/>
              <w:rPr>
                <w:sz w:val="24"/>
                <w:szCs w:val="24"/>
                <w:color w:val="auto"/>
              </w:rPr>
            </w:pPr>
          </w:p>
        </w:tc>
        <w:tc>
          <w:tcPr>
            <w:tcW w:w="1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100" w:type="dxa"/>
            <w:vAlign w:val="bottom"/>
          </w:tcPr>
          <w:p>
            <w:pPr>
              <w:spacing w:after="0"/>
              <w:rPr>
                <w:sz w:val="24"/>
                <w:szCs w:val="24"/>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166,293</w:t>
            </w:r>
          </w:p>
        </w:tc>
        <w:tc>
          <w:tcPr>
            <w:tcW w:w="0" w:type="dxa"/>
            <w:vAlign w:val="bottom"/>
          </w:tcPr>
          <w:p>
            <w:pPr>
              <w:spacing w:after="0"/>
              <w:rPr>
                <w:sz w:val="1"/>
                <w:szCs w:val="1"/>
                <w:color w:val="auto"/>
              </w:rPr>
            </w:pPr>
          </w:p>
        </w:tc>
      </w:tr>
      <w:tr>
        <w:trPr>
          <w:trHeight w:val="134"/>
        </w:trPr>
        <w:tc>
          <w:tcPr>
            <w:tcW w:w="3160" w:type="dxa"/>
            <w:vAlign w:val="bottom"/>
            <w:gridSpan w:val="2"/>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1"/>
        </w:trPr>
        <w:tc>
          <w:tcPr>
            <w:tcW w:w="3160" w:type="dxa"/>
            <w:vAlign w:val="bottom"/>
            <w:gridSpan w:val="2"/>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64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780" w:type="dxa"/>
            <w:vAlign w:val="bottom"/>
            <w:tcBorders>
              <w:right w:val="single" w:sz="8" w:color="808080"/>
            </w:tcBorders>
            <w:shd w:val="clear" w:color="auto" w:fill="808080"/>
          </w:tcPr>
          <w:p>
            <w:pPr>
              <w:spacing w:after="0"/>
              <w:rPr>
                <w:sz w:val="5"/>
                <w:szCs w:val="5"/>
                <w:color w:val="auto"/>
              </w:rPr>
            </w:pPr>
          </w:p>
        </w:tc>
        <w:tc>
          <w:tcPr>
            <w:tcW w:w="200" w:type="dxa"/>
            <w:vAlign w:val="bottom"/>
            <w:tcBorders>
              <w:right w:val="single" w:sz="8" w:color="808080"/>
            </w:tcBorders>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5.  PROPERTY AND EQUIPMENT</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36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Property and equipment consist of the following:</w:t>
            </w: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gridSpan w:val="4"/>
          </w:tcPr>
          <w:p>
            <w:pPr>
              <w:ind w:left="480"/>
              <w:spacing w:after="0"/>
              <w:rPr>
                <w:sz w:val="20"/>
                <w:szCs w:val="20"/>
                <w:color w:val="auto"/>
              </w:rPr>
            </w:pPr>
            <w:r>
              <w:rPr>
                <w:rFonts w:ascii="Times New Roman" w:cs="Times New Roman" w:eastAsia="Times New Roman" w:hAnsi="Times New Roman"/>
                <w:sz w:val="14"/>
                <w:szCs w:val="14"/>
                <w:b w:val="1"/>
                <w:bCs w:val="1"/>
                <w:color w:val="auto"/>
                <w:w w:val="95"/>
              </w:rPr>
              <w:t>December 31,</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3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w w:val="99"/>
              </w:rPr>
              <w:t>2001</w:t>
            </w: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2002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tcBorders>
              <w:bottom w:val="single" w:sz="8" w:color="808080"/>
            </w:tcBorders>
            <w:gridSpan w:val="4"/>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3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980" w:type="dxa"/>
            <w:vAlign w:val="bottom"/>
            <w:gridSpan w:val="6"/>
          </w:tcPr>
          <w:p>
            <w:pPr>
              <w:ind w:left="4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3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gridSpan w:val="3"/>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8"/>
              </w:rPr>
              <w:t>Software development and conversion costs</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82,070</w:t>
            </w: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1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107,824</w:t>
            </w:r>
          </w:p>
        </w:tc>
        <w:tc>
          <w:tcPr>
            <w:tcW w:w="120" w:type="dxa"/>
            <w:vAlign w:val="bottom"/>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Computer equipment and purchased software</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48,184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49,023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51,817</w:t>
            </w: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53,658</w:t>
            </w:r>
          </w:p>
        </w:tc>
        <w:tc>
          <w:tcPr>
            <w:tcW w:w="120" w:type="dxa"/>
            <w:vAlign w:val="bottom"/>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42,339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43,822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2,203</w:t>
            </w: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4,113</w:t>
            </w:r>
          </w:p>
        </w:tc>
        <w:tc>
          <w:tcPr>
            <w:tcW w:w="120" w:type="dxa"/>
            <w:vAlign w:val="bottom"/>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gridSpan w:val="3"/>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3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226,613</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258,440</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
        </w:trPr>
        <w:tc>
          <w:tcPr>
            <w:tcW w:w="20" w:type="dxa"/>
            <w:vAlign w:val="bottom"/>
            <w:vMerge w:val="restart"/>
          </w:tcPr>
          <w:p>
            <w:pPr>
              <w:spacing w:after="0"/>
              <w:rPr>
                <w:sz w:val="2"/>
                <w:szCs w:val="2"/>
                <w:color w:val="auto"/>
              </w:rPr>
            </w:pPr>
          </w:p>
        </w:tc>
        <w:tc>
          <w:tcPr>
            <w:tcW w:w="3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depreciation</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(114,423)</w:t>
            </w:r>
          </w:p>
        </w:tc>
        <w:tc>
          <w:tcPr>
            <w:tcW w:w="1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(138,802)</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3160" w:type="dxa"/>
            <w:vAlign w:val="bottom"/>
            <w:gridSpan w:val="2"/>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gridSpan w:val="3"/>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112,190</w:t>
            </w:r>
          </w:p>
        </w:tc>
        <w:tc>
          <w:tcPr>
            <w:tcW w:w="200" w:type="dxa"/>
            <w:vAlign w:val="bottom"/>
          </w:tcPr>
          <w:p>
            <w:pPr>
              <w:spacing w:after="0"/>
              <w:rPr>
                <w:sz w:val="24"/>
                <w:szCs w:val="24"/>
                <w:color w:val="auto"/>
              </w:rPr>
            </w:pPr>
          </w:p>
        </w:tc>
        <w:tc>
          <w:tcPr>
            <w:tcW w:w="12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180" w:type="dxa"/>
            <w:vAlign w:val="bottom"/>
          </w:tcPr>
          <w:p>
            <w:pPr>
              <w:spacing w:after="0"/>
              <w:rPr>
                <w:sz w:val="24"/>
                <w:szCs w:val="24"/>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119,638</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F-14</w:t>
            </w: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140" w:type="dxa"/>
            <w:vAlign w:val="bottom"/>
          </w:tcPr>
          <w:p>
            <w:pPr>
              <w:spacing w:after="0"/>
              <w:rPr>
                <w:sz w:val="5"/>
                <w:szCs w:val="5"/>
                <w:color w:val="auto"/>
              </w:rPr>
            </w:pPr>
          </w:p>
        </w:tc>
        <w:tc>
          <w:tcPr>
            <w:tcW w:w="26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780" w:type="dxa"/>
            <w:vAlign w:val="bottom"/>
            <w:tcBorders>
              <w:right w:val="single" w:sz="8" w:color="808080"/>
            </w:tcBorders>
            <w:shd w:val="clear" w:color="auto" w:fill="808080"/>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120" w:type="dxa"/>
            <w:vAlign w:val="bottom"/>
            <w:tcBorders>
              <w:right w:val="single" w:sz="8" w:color="808080"/>
            </w:tcBorders>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4685665</wp:posOffset>
            </wp:positionH>
            <wp:positionV relativeFrom="paragraph">
              <wp:posOffset>-5019040</wp:posOffset>
            </wp:positionV>
            <wp:extent cx="12700" cy="889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2001520</wp:posOffset>
            </wp:positionH>
            <wp:positionV relativeFrom="paragraph">
              <wp:posOffset>-5019040</wp:posOffset>
            </wp:positionV>
            <wp:extent cx="12700" cy="889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-5019040</wp:posOffset>
            </wp:positionV>
            <wp:extent cx="12700" cy="889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-5019040</wp:posOffset>
            </wp:positionV>
            <wp:extent cx="12700" cy="889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-4770755</wp:posOffset>
            </wp:positionV>
            <wp:extent cx="12700" cy="889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2781300</wp:posOffset>
            </wp:positionH>
            <wp:positionV relativeFrom="paragraph">
              <wp:posOffset>-4770755</wp:posOffset>
            </wp:positionV>
            <wp:extent cx="12700" cy="889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-4770755</wp:posOffset>
            </wp:positionV>
            <wp:extent cx="12700" cy="889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-4770755</wp:posOffset>
            </wp:positionV>
            <wp:extent cx="12700" cy="889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-4521835</wp:posOffset>
            </wp:positionV>
            <wp:extent cx="12700" cy="889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2001520</wp:posOffset>
            </wp:positionH>
            <wp:positionV relativeFrom="paragraph">
              <wp:posOffset>-4521835</wp:posOffset>
            </wp:positionV>
            <wp:extent cx="12700" cy="889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3270250</wp:posOffset>
            </wp:positionH>
            <wp:positionV relativeFrom="paragraph">
              <wp:posOffset>-4521835</wp:posOffset>
            </wp:positionV>
            <wp:extent cx="12700" cy="889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2781300</wp:posOffset>
            </wp:positionH>
            <wp:positionV relativeFrom="paragraph">
              <wp:posOffset>-4521835</wp:posOffset>
            </wp:positionV>
            <wp:extent cx="12700" cy="889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-4521835</wp:posOffset>
            </wp:positionV>
            <wp:extent cx="12700" cy="889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3347720</wp:posOffset>
            </wp:positionH>
            <wp:positionV relativeFrom="paragraph">
              <wp:posOffset>-4521835</wp:posOffset>
            </wp:positionV>
            <wp:extent cx="12700" cy="889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-4521835</wp:posOffset>
            </wp:positionV>
            <wp:extent cx="12700" cy="889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3982085</wp:posOffset>
            </wp:positionH>
            <wp:positionV relativeFrom="paragraph">
              <wp:posOffset>-4521835</wp:posOffset>
            </wp:positionV>
            <wp:extent cx="12700" cy="889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-4521835</wp:posOffset>
            </wp:positionV>
            <wp:extent cx="12700" cy="889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-4521835</wp:posOffset>
            </wp:positionV>
            <wp:extent cx="12700" cy="889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-4521835</wp:posOffset>
            </wp:positionV>
            <wp:extent cx="12700" cy="889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-4521835</wp:posOffset>
            </wp:positionV>
            <wp:extent cx="12700" cy="889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-4521835</wp:posOffset>
            </wp:positionV>
            <wp:extent cx="12700" cy="889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-4521835</wp:posOffset>
            </wp:positionV>
            <wp:extent cx="12700" cy="889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-4521835</wp:posOffset>
            </wp:positionV>
            <wp:extent cx="12700" cy="889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-4521835</wp:posOffset>
            </wp:positionV>
            <wp:extent cx="12700" cy="889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-3707130</wp:posOffset>
            </wp:positionV>
            <wp:extent cx="12700" cy="889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2001520</wp:posOffset>
            </wp:positionH>
            <wp:positionV relativeFrom="paragraph">
              <wp:posOffset>-3707130</wp:posOffset>
            </wp:positionV>
            <wp:extent cx="12700" cy="889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3270250</wp:posOffset>
            </wp:positionH>
            <wp:positionV relativeFrom="paragraph">
              <wp:posOffset>-3707130</wp:posOffset>
            </wp:positionV>
            <wp:extent cx="12700" cy="889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2781300</wp:posOffset>
            </wp:positionH>
            <wp:positionV relativeFrom="paragraph">
              <wp:posOffset>-3707130</wp:posOffset>
            </wp:positionV>
            <wp:extent cx="12700" cy="889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-3707130</wp:posOffset>
            </wp:positionV>
            <wp:extent cx="12700" cy="889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3347720</wp:posOffset>
            </wp:positionH>
            <wp:positionV relativeFrom="paragraph">
              <wp:posOffset>-3707130</wp:posOffset>
            </wp:positionV>
            <wp:extent cx="12700" cy="889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-3707130</wp:posOffset>
            </wp:positionV>
            <wp:extent cx="12700" cy="889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3982085</wp:posOffset>
            </wp:positionH>
            <wp:positionV relativeFrom="paragraph">
              <wp:posOffset>-3707130</wp:posOffset>
            </wp:positionV>
            <wp:extent cx="12700" cy="889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-3707130</wp:posOffset>
            </wp:positionV>
            <wp:extent cx="12700" cy="889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-3707130</wp:posOffset>
            </wp:positionV>
            <wp:extent cx="12700" cy="889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-3707130</wp:posOffset>
            </wp:positionV>
            <wp:extent cx="12700" cy="889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-3707130</wp:posOffset>
            </wp:positionV>
            <wp:extent cx="12700" cy="889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-3707130</wp:posOffset>
            </wp:positionV>
            <wp:extent cx="12700" cy="889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-3707130</wp:posOffset>
            </wp:positionV>
            <wp:extent cx="12700" cy="889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-3707130</wp:posOffset>
            </wp:positionV>
            <wp:extent cx="12700" cy="889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-3707130</wp:posOffset>
            </wp:positionV>
            <wp:extent cx="12700" cy="889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-2446655</wp:posOffset>
            </wp:positionV>
            <wp:extent cx="12700" cy="889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-2446655</wp:posOffset>
            </wp:positionV>
            <wp:extent cx="12700" cy="889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-2197735</wp:posOffset>
            </wp:positionV>
            <wp:extent cx="12700" cy="889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-2197735</wp:posOffset>
            </wp:positionV>
            <wp:extent cx="12700" cy="889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-2197735</wp:posOffset>
            </wp:positionV>
            <wp:extent cx="12700" cy="889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-2197735</wp:posOffset>
            </wp:positionV>
            <wp:extent cx="12700" cy="889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-1108710</wp:posOffset>
            </wp:positionV>
            <wp:extent cx="12700" cy="889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-1108710</wp:posOffset>
            </wp:positionV>
            <wp:extent cx="12700" cy="889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-1108710</wp:posOffset>
            </wp:positionV>
            <wp:extent cx="12700" cy="889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-1108710</wp:posOffset>
            </wp:positionV>
            <wp:extent cx="12700" cy="889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-662940</wp:posOffset>
            </wp:positionV>
            <wp:extent cx="12700" cy="889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-662940</wp:posOffset>
            </wp:positionV>
            <wp:extent cx="12700" cy="889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-662940</wp:posOffset>
            </wp:positionV>
            <wp:extent cx="12700" cy="889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-662940</wp:posOffset>
            </wp:positionV>
            <wp:extent cx="12700" cy="889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136525</wp:posOffset>
            </wp:positionV>
            <wp:extent cx="7250430" cy="2159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6.</w:t>
      </w:r>
      <w:r>
        <w:rPr>
          <w:sz w:val="20"/>
          <w:szCs w:val="20"/>
          <w:color w:val="auto"/>
        </w:rPr>
        <w:tab/>
      </w:r>
      <w:r>
        <w:rPr>
          <w:rFonts w:ascii="Times New Roman" w:cs="Times New Roman" w:eastAsia="Times New Roman" w:hAnsi="Times New Roman"/>
          <w:sz w:val="16"/>
          <w:szCs w:val="16"/>
          <w:b w:val="1"/>
          <w:bCs w:val="1"/>
          <w:color w:val="auto"/>
        </w:rPr>
        <w:t>SECURITIZATION OF CREDIT CARD RECEIVABLES</w:t>
      </w:r>
    </w:p>
    <w:p>
      <w:pPr>
        <w:spacing w:after="0" w:line="227" w:lineRule="exact"/>
        <w:rPr>
          <w:sz w:val="20"/>
          <w:szCs w:val="20"/>
          <w:color w:val="auto"/>
        </w:rPr>
      </w:pPr>
    </w:p>
    <w:p>
      <w:pPr>
        <w:ind w:firstLine="348"/>
        <w:spacing w:after="0" w:line="255" w:lineRule="auto"/>
        <w:rPr>
          <w:sz w:val="20"/>
          <w:szCs w:val="20"/>
          <w:color w:val="auto"/>
        </w:rPr>
      </w:pPr>
      <w:r>
        <w:rPr>
          <w:rFonts w:ascii="Times New Roman" w:cs="Times New Roman" w:eastAsia="Times New Roman" w:hAnsi="Times New Roman"/>
          <w:sz w:val="18"/>
          <w:szCs w:val="18"/>
          <w:color w:val="auto"/>
        </w:rPr>
        <w:t>The Company regularly securitizes its credit card receivables to World Financial Network Credit Card Master Trust and World Financial Network Credit Card Master Note Trust (the "Trusts"). During the initial phase of a securitization reinvestment period, the Company generally retains principal collections in exchange for the transfer of additional credit card receivables into the securitized pool of assets. During the amortization or accumulation period of a securitization, the investors' share of principal collections (in certain cases, up to a maximum specified amount each month) is either distributed to the investors or held in an account until it accumulates to the total amount due, at which time it is paid to the investors in a lump sum. The Company's outstanding securitizations are scheduled to begin their amortization or accumulation periods at various times between 2003 and 2007.</w:t>
      </w:r>
    </w:p>
    <w:p>
      <w:pPr>
        <w:spacing w:after="0" w:line="19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following table shows the maturities of borrowing commitments as of December 31, 2002 for the Trusts by year:</w:t>
      </w:r>
    </w:p>
    <w:p>
      <w:pPr>
        <w:spacing w:after="0" w:line="223" w:lineRule="exact"/>
        <w:rPr>
          <w:sz w:val="20"/>
          <w:szCs w:val="20"/>
          <w:color w:val="auto"/>
        </w:rPr>
      </w:pPr>
    </w:p>
    <w:p>
      <w:pPr>
        <w:ind w:left="3560"/>
        <w:spacing w:after="0"/>
        <w:tabs>
          <w:tab w:leader="none" w:pos="5040" w:val="left"/>
          <w:tab w:leader="none" w:pos="6220" w:val="left"/>
          <w:tab w:leader="none" w:pos="7180" w:val="left"/>
          <w:tab w:leader="none" w:pos="8320" w:val="left"/>
          <w:tab w:leader="none" w:pos="9760" w:val="left"/>
        </w:tabs>
        <w:rPr>
          <w:sz w:val="20"/>
          <w:szCs w:val="20"/>
          <w:color w:val="auto"/>
        </w:rPr>
      </w:pPr>
      <w:r>
        <w:rPr>
          <w:rFonts w:ascii="Times New Roman" w:cs="Times New Roman" w:eastAsia="Times New Roman" w:hAnsi="Times New Roman"/>
          <w:sz w:val="14"/>
          <w:szCs w:val="14"/>
          <w:b w:val="1"/>
          <w:bCs w:val="1"/>
          <w:color w:val="auto"/>
        </w:rPr>
        <w:t>2003</w:t>
      </w:r>
      <w:r>
        <w:rPr>
          <w:sz w:val="20"/>
          <w:szCs w:val="20"/>
          <w:color w:val="auto"/>
        </w:rPr>
        <w:tab/>
      </w:r>
      <w:r>
        <w:rPr>
          <w:rFonts w:ascii="Times New Roman" w:cs="Times New Roman" w:eastAsia="Times New Roman" w:hAnsi="Times New Roman"/>
          <w:sz w:val="14"/>
          <w:szCs w:val="14"/>
          <w:b w:val="1"/>
          <w:bCs w:val="1"/>
          <w:color w:val="auto"/>
        </w:rPr>
        <w:t>2004</w:t>
      </w:r>
      <w:r>
        <w:rPr>
          <w:sz w:val="20"/>
          <w:szCs w:val="20"/>
          <w:color w:val="auto"/>
        </w:rPr>
        <w:tab/>
      </w:r>
      <w:r>
        <w:rPr>
          <w:rFonts w:ascii="Times New Roman" w:cs="Times New Roman" w:eastAsia="Times New Roman" w:hAnsi="Times New Roman"/>
          <w:sz w:val="14"/>
          <w:szCs w:val="14"/>
          <w:b w:val="1"/>
          <w:bCs w:val="1"/>
          <w:color w:val="auto"/>
        </w:rPr>
        <w:t>2005</w:t>
      </w:r>
      <w:r>
        <w:rPr>
          <w:sz w:val="20"/>
          <w:szCs w:val="20"/>
          <w:color w:val="auto"/>
        </w:rPr>
        <w:tab/>
      </w:r>
      <w:r>
        <w:rPr>
          <w:rFonts w:ascii="Times New Roman" w:cs="Times New Roman" w:eastAsia="Times New Roman" w:hAnsi="Times New Roman"/>
          <w:sz w:val="14"/>
          <w:szCs w:val="14"/>
          <w:b w:val="1"/>
          <w:bCs w:val="1"/>
          <w:color w:val="auto"/>
        </w:rPr>
        <w:t>2006</w:t>
      </w:r>
      <w:r>
        <w:rPr>
          <w:sz w:val="20"/>
          <w:szCs w:val="20"/>
          <w:color w:val="auto"/>
        </w:rPr>
        <w:tab/>
      </w:r>
      <w:r>
        <w:rPr>
          <w:rFonts w:ascii="Times New Roman" w:cs="Times New Roman" w:eastAsia="Times New Roman" w:hAnsi="Times New Roman"/>
          <w:sz w:val="14"/>
          <w:szCs w:val="14"/>
          <w:b w:val="1"/>
          <w:bCs w:val="1"/>
          <w:color w:val="auto"/>
        </w:rPr>
        <w:t>2007</w:t>
      </w:r>
      <w:r>
        <w:rPr>
          <w:sz w:val="20"/>
          <w:szCs w:val="20"/>
          <w:color w:val="auto"/>
        </w:rPr>
        <w:tab/>
      </w:r>
      <w:r>
        <w:rPr>
          <w:rFonts w:ascii="Times New Roman" w:cs="Times New Roman" w:eastAsia="Times New Roman" w:hAnsi="Times New Roman"/>
          <w:sz w:val="12"/>
          <w:szCs w:val="12"/>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1898015</wp:posOffset>
            </wp:positionH>
            <wp:positionV relativeFrom="paragraph">
              <wp:posOffset>69215</wp:posOffset>
            </wp:positionV>
            <wp:extent cx="4840605" cy="2159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4840605" cy="21590"/>
                    </a:xfrm>
                    <a:prstGeom prst="rect">
                      <a:avLst/>
                    </a:prstGeom>
                    <a:noFill/>
                  </pic:spPr>
                </pic:pic>
              </a:graphicData>
            </a:graphic>
          </wp:anchor>
        </w:drawing>
      </w:r>
    </w:p>
    <w:p>
      <w:pPr>
        <w:spacing w:after="0" w:line="211"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4"/>
          <w:szCs w:val="14"/>
          <w:b w:val="1"/>
          <w:bCs w:val="1"/>
          <w:color w:val="auto"/>
        </w:rPr>
        <w:t>(in thousands)</w:t>
      </w:r>
    </w:p>
    <w:p>
      <w:pPr>
        <w:sectPr>
          <w:pgSz w:w="11900" w:h="16880" w:orient="portrait"/>
          <w:cols w:equalWidth="0" w:num="1">
            <w:col w:w="11420"/>
          </w:cols>
          <w:pgMar w:left="240" w:top="123" w:right="239" w:bottom="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9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notes</w:t>
            </w:r>
          </w:p>
        </w:tc>
        <w:tc>
          <w:tcPr>
            <w:tcW w:w="380" w:type="dxa"/>
            <w:vAlign w:val="bottom"/>
            <w:shd w:val="clear" w:color="auto" w:fill="CCEEFF"/>
          </w:tcPr>
          <w:p>
            <w:pPr>
              <w:jc w:val="right"/>
              <w:ind w:right="218"/>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358,750</w:t>
            </w:r>
          </w:p>
        </w:tc>
        <w:tc>
          <w:tcPr>
            <w:tcW w:w="5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900,000</w:t>
            </w:r>
          </w:p>
        </w:tc>
        <w:tc>
          <w:tcPr>
            <w:tcW w:w="5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right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w w:val="77"/>
              </w:rPr>
              <w:t>—</w:t>
            </w:r>
          </w:p>
        </w:tc>
        <w:tc>
          <w:tcPr>
            <w:tcW w:w="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shd w:val="clear" w:color="auto" w:fill="CCEEFF"/>
          </w:tcPr>
          <w:p>
            <w:pPr>
              <w:jc w:val="right"/>
              <w:ind w:right="186"/>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5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1,858,750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Private conduits</w:t>
            </w: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887,861</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77"/>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887,861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98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9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980" w:type="dxa"/>
            <w:vAlign w:val="bottom"/>
            <w:tcBorders>
              <w:right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shd w:val="clear" w:color="auto" w:fill="CCEEFF"/>
          </w:tcPr>
          <w:p>
            <w:pPr>
              <w:jc w:val="right"/>
              <w:ind w:right="218"/>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1,246,611</w:t>
            </w:r>
          </w:p>
        </w:tc>
        <w:tc>
          <w:tcPr>
            <w:tcW w:w="5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900,000,</w:t>
            </w:r>
          </w:p>
        </w:tc>
        <w:tc>
          <w:tcPr>
            <w:tcW w:w="5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right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w w:val="77"/>
              </w:rPr>
              <w:t>—</w:t>
            </w:r>
          </w:p>
        </w:tc>
        <w:tc>
          <w:tcPr>
            <w:tcW w:w="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shd w:val="clear" w:color="auto" w:fill="CCEEFF"/>
          </w:tcPr>
          <w:p>
            <w:pPr>
              <w:jc w:val="right"/>
              <w:ind w:right="186"/>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5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2,746,611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9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980" w:type="dxa"/>
            <w:vAlign w:val="bottom"/>
            <w:tcBorders>
              <w:right w:val="single" w:sz="8" w:color="808080"/>
            </w:tcBorders>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44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3360" w:type="dxa"/>
            <w:vAlign w:val="bottom"/>
            <w:gridSpan w:val="2"/>
          </w:tcPr>
          <w:p>
            <w:pPr>
              <w:jc w:val="right"/>
              <w:ind w:right="218"/>
              <w:spacing w:after="0"/>
              <w:rPr>
                <w:sz w:val="20"/>
                <w:szCs w:val="20"/>
                <w:color w:val="auto"/>
              </w:rPr>
            </w:pPr>
            <w:r>
              <w:rPr>
                <w:rFonts w:ascii="Times New Roman" w:cs="Times New Roman" w:eastAsia="Times New Roman" w:hAnsi="Times New Roman"/>
                <w:sz w:val="18"/>
                <w:szCs w:val="18"/>
                <w:color w:val="auto"/>
              </w:rPr>
              <w:t>"Due from securitizations" consists of:</w:t>
            </w: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9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gridSpan w:val="2"/>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gridSpan w:val="2"/>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0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29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2001</w:t>
            </w:r>
          </w:p>
        </w:tc>
        <w:tc>
          <w:tcPr>
            <w:tcW w:w="3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40" w:type="dxa"/>
            <w:vAlign w:val="bottom"/>
            <w:gridSpan w:val="2"/>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2002</w:t>
            </w:r>
          </w:p>
        </w:tc>
        <w:tc>
          <w:tcPr>
            <w:tcW w:w="3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9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0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29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w w:val="96"/>
              </w:rPr>
              <w:t>(in thousands)</w:t>
            </w:r>
          </w:p>
        </w:tc>
        <w:tc>
          <w:tcPr>
            <w:tcW w:w="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29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20" w:type="dxa"/>
            <w:vAlign w:val="bottom"/>
            <w:gridSpan w:val="2"/>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gridSpan w:val="3"/>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gridSpan w:val="3"/>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Spread deposits</w:t>
            </w: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5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127,769</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104,068</w:t>
            </w: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I/O strips</w:t>
            </w: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43,371</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49,503</w:t>
            </w: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Residual interest in securitization trust</w:t>
            </w: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39,919</w:t>
            </w: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Excess funding deposits</w:t>
            </w:r>
          </w:p>
        </w:tc>
        <w:tc>
          <w:tcPr>
            <w:tcW w:w="3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45,000</w:t>
            </w: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42,400</w:t>
            </w: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9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320" w:type="dxa"/>
            <w:vAlign w:val="bottom"/>
            <w:gridSpan w:val="2"/>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gridSpan w:val="3"/>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gridSpan w:val="3"/>
          </w:tcPr>
          <w:p>
            <w:pPr>
              <w:spacing w:after="0"/>
              <w:rPr>
                <w:sz w:val="9"/>
                <w:szCs w:val="9"/>
                <w:color w:val="auto"/>
              </w:rPr>
            </w:pPr>
          </w:p>
        </w:tc>
        <w:tc>
          <w:tcPr>
            <w:tcW w:w="10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9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5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216,140</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235,890</w:t>
            </w: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9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9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60" w:type="dxa"/>
            <w:vAlign w:val="bottom"/>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10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2773045</wp:posOffset>
            </wp:positionH>
            <wp:positionV relativeFrom="paragraph">
              <wp:posOffset>-2510155</wp:posOffset>
            </wp:positionV>
            <wp:extent cx="12700" cy="889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1898015</wp:posOffset>
            </wp:positionH>
            <wp:positionV relativeFrom="paragraph">
              <wp:posOffset>-2510155</wp:posOffset>
            </wp:positionV>
            <wp:extent cx="12700" cy="889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3656330</wp:posOffset>
            </wp:positionH>
            <wp:positionV relativeFrom="paragraph">
              <wp:posOffset>-2510155</wp:posOffset>
            </wp:positionV>
            <wp:extent cx="12700" cy="889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-2510155</wp:posOffset>
            </wp:positionV>
            <wp:extent cx="12700" cy="889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4273550</wp:posOffset>
            </wp:positionH>
            <wp:positionV relativeFrom="paragraph">
              <wp:posOffset>-2510155</wp:posOffset>
            </wp:positionV>
            <wp:extent cx="12700" cy="889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-2510155</wp:posOffset>
            </wp:positionV>
            <wp:extent cx="12700" cy="889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-2510155</wp:posOffset>
            </wp:positionV>
            <wp:extent cx="12700" cy="889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-2510155</wp:posOffset>
            </wp:positionV>
            <wp:extent cx="12700" cy="889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-2510155</wp:posOffset>
            </wp:positionV>
            <wp:extent cx="12700" cy="889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-2510155</wp:posOffset>
            </wp:positionV>
            <wp:extent cx="12700" cy="889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-2510155</wp:posOffset>
            </wp:positionV>
            <wp:extent cx="12700" cy="889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-2510155</wp:posOffset>
            </wp:positionV>
            <wp:extent cx="12700" cy="889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-1523365</wp:posOffset>
            </wp:positionV>
            <wp:extent cx="12700" cy="889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-1523365</wp:posOffset>
            </wp:positionV>
            <wp:extent cx="12700" cy="889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-1275080</wp:posOffset>
            </wp:positionV>
            <wp:extent cx="12700" cy="889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-1275080</wp:posOffset>
            </wp:positionV>
            <wp:extent cx="12700" cy="889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-1275080</wp:posOffset>
            </wp:positionV>
            <wp:extent cx="12700" cy="889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-1275080</wp:posOffset>
            </wp:positionV>
            <wp:extent cx="12700" cy="889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-323215</wp:posOffset>
            </wp:positionV>
            <wp:extent cx="12700" cy="889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-323215</wp:posOffset>
            </wp:positionV>
            <wp:extent cx="12700" cy="889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-323215</wp:posOffset>
            </wp:positionV>
            <wp:extent cx="12700" cy="889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-323215</wp:posOffset>
            </wp:positionV>
            <wp:extent cx="12700" cy="889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7" w:lineRule="exact"/>
        <w:rPr>
          <w:sz w:val="20"/>
          <w:szCs w:val="20"/>
          <w:color w:val="auto"/>
        </w:rPr>
      </w:pPr>
    </w:p>
    <w:p>
      <w:pPr>
        <w:ind w:right="140" w:firstLine="348"/>
        <w:spacing w:after="0" w:line="258" w:lineRule="auto"/>
        <w:rPr>
          <w:sz w:val="20"/>
          <w:szCs w:val="20"/>
          <w:color w:val="auto"/>
        </w:rPr>
      </w:pPr>
      <w:r>
        <w:rPr>
          <w:rFonts w:ascii="Times New Roman" w:cs="Times New Roman" w:eastAsia="Times New Roman" w:hAnsi="Times New Roman"/>
          <w:sz w:val="18"/>
          <w:szCs w:val="18"/>
          <w:color w:val="auto"/>
        </w:rPr>
        <w:t>The Company is required to maintain minimum interests ranging from 4% to 6% of the securitized credit card receivables. This requirement is met through seller's interest and is supplemented through the excess funding deposits. Excess funding deposits represent cash amounts deposited with the trustee of the securitizations. Residual interest in securitization trust represents a subordinated interest in the cash flows of the Trusts and was repurchased from an outside investor in 2002.</w:t>
      </w:r>
    </w:p>
    <w:p>
      <w:pPr>
        <w:spacing w:after="0" w:line="190" w:lineRule="exact"/>
        <w:rPr>
          <w:sz w:val="20"/>
          <w:szCs w:val="20"/>
          <w:color w:val="auto"/>
        </w:rPr>
      </w:pPr>
    </w:p>
    <w:p>
      <w:pPr>
        <w:ind w:right="80" w:firstLine="348"/>
        <w:spacing w:after="0" w:line="256" w:lineRule="auto"/>
        <w:rPr>
          <w:sz w:val="20"/>
          <w:szCs w:val="20"/>
          <w:color w:val="auto"/>
        </w:rPr>
      </w:pPr>
      <w:r>
        <w:rPr>
          <w:rFonts w:ascii="Times New Roman" w:cs="Times New Roman" w:eastAsia="Times New Roman" w:hAnsi="Times New Roman"/>
          <w:sz w:val="18"/>
          <w:szCs w:val="18"/>
          <w:color w:val="auto"/>
        </w:rPr>
        <w:t>The spread deposits, I/O strips and excess funding deposits are initially recorded at their allocated carrying amount based on relative fair value. Fair value is determined by computing the present value of the estimated cash flows, using the dates that such cash flows are expected to be released to the Company, at a discount rate considered to be commensurate with the risks associated with the cash flows. The amounts and timing of the cash flows are estimated after considering various economic factors including payment rates, delinquency, default and loss assumptions. I/O strips, seller's interest and other interests retained are periodically evaluated for impairment based on the fair value of those assets.</w:t>
      </w:r>
    </w:p>
    <w:p>
      <w:pPr>
        <w:spacing w:after="0" w:line="1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40" w:firstLine="351"/>
        <w:spacing w:after="0" w:line="258" w:lineRule="auto"/>
        <w:rPr>
          <w:sz w:val="20"/>
          <w:szCs w:val="20"/>
          <w:color w:val="auto"/>
        </w:rPr>
      </w:pPr>
      <w:r>
        <w:rPr>
          <w:rFonts w:ascii="Times New Roman" w:cs="Times New Roman" w:eastAsia="Times New Roman" w:hAnsi="Times New Roman"/>
          <w:sz w:val="18"/>
          <w:szCs w:val="18"/>
          <w:color w:val="auto"/>
        </w:rPr>
        <w:t>Fair values of I/O strips and other interests retained are based on a review of actual cash flows and on the factors that affect the amounts and timing of the cash flows from each of the underlying credit card receivable pools. Based on this analysis, assumptions are validated or revised as deemed necessary, the amounts and the timing of anticipated cash flows are estimated and fair value is determined. The Company has one collateral type, private label credit card receivables.</w:t>
      </w:r>
    </w:p>
    <w:p>
      <w:pPr>
        <w:spacing w:after="0" w:line="190" w:lineRule="exact"/>
        <w:rPr>
          <w:sz w:val="20"/>
          <w:szCs w:val="20"/>
          <w:color w:val="auto"/>
        </w:rPr>
      </w:pPr>
    </w:p>
    <w:p>
      <w:pPr>
        <w:ind w:right="340" w:firstLine="341"/>
        <w:spacing w:after="0" w:line="275" w:lineRule="auto"/>
        <w:rPr>
          <w:sz w:val="20"/>
          <w:szCs w:val="20"/>
          <w:color w:val="auto"/>
        </w:rPr>
      </w:pPr>
      <w:r>
        <w:rPr>
          <w:rFonts w:ascii="Times New Roman" w:cs="Times New Roman" w:eastAsia="Times New Roman" w:hAnsi="Times New Roman"/>
          <w:sz w:val="18"/>
          <w:szCs w:val="18"/>
          <w:color w:val="auto"/>
        </w:rPr>
        <w:t>At December 31, 2002, key economic assumptions and the sensitivity of the current fair value of residual cash flows to immediate 10%and 20% adverse changes in the assumptions are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780" w:type="dxa"/>
            <w:vAlign w:val="bottom"/>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Impact on fair value</w:t>
            </w: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20" w:type="dxa"/>
            <w:vAlign w:val="bottom"/>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Impact on fair value</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Assumption</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80" w:type="dxa"/>
            <w:vAlign w:val="bottom"/>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of 10% change</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20" w:type="dxa"/>
            <w:vAlign w:val="bottom"/>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of 20% change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44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7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8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34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780" w:type="dxa"/>
            <w:vAlign w:val="bottom"/>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34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I/O strip</w:t>
            </w:r>
          </w:p>
        </w:tc>
        <w:tc>
          <w:tcPr>
            <w:tcW w:w="1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49,503</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life</w:t>
            </w: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 months</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1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Expected yield, net of dilution</w:t>
            </w: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16,841</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Net charge-offs rate</w:t>
            </w:r>
          </w:p>
        </w:tc>
        <w:tc>
          <w:tcPr>
            <w:tcW w:w="1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5,873</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11,634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-1160780</wp:posOffset>
            </wp:positionV>
            <wp:extent cx="12700" cy="8890"/>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3039110</wp:posOffset>
            </wp:positionH>
            <wp:positionV relativeFrom="paragraph">
              <wp:posOffset>-1160780</wp:posOffset>
            </wp:positionV>
            <wp:extent cx="12700" cy="8890"/>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-1160780</wp:posOffset>
            </wp:positionV>
            <wp:extent cx="12700" cy="8890"/>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-1160780</wp:posOffset>
            </wp:positionV>
            <wp:extent cx="12700" cy="8890"/>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-1160780</wp:posOffset>
            </wp:positionV>
            <wp:extent cx="12700" cy="8890"/>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-1160780</wp:posOffset>
            </wp:positionV>
            <wp:extent cx="12700" cy="8890"/>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69" w:lineRule="exact"/>
        <w:rPr>
          <w:sz w:val="20"/>
          <w:szCs w:val="20"/>
          <w:color w:val="auto"/>
        </w:rPr>
      </w:pPr>
    </w:p>
    <w:p>
      <w:pPr>
        <w:ind w:right="100" w:firstLine="348"/>
        <w:spacing w:after="0" w:line="258" w:lineRule="auto"/>
        <w:rPr>
          <w:sz w:val="20"/>
          <w:szCs w:val="20"/>
          <w:color w:val="auto"/>
        </w:rPr>
      </w:pPr>
      <w:r>
        <w:rPr>
          <w:rFonts w:ascii="Times New Roman" w:cs="Times New Roman" w:eastAsia="Times New Roman" w:hAnsi="Times New Roman"/>
          <w:sz w:val="18"/>
          <w:szCs w:val="18"/>
          <w:color w:val="auto"/>
        </w:rPr>
        <w:t>These sensitivities are hypothetical and should be used with caution. As the figures indicate, changes in fair value based on a 10 percent variation in assumptions generally cannot be extrapolated because the relationship of the change in an assumption to the change in fair value may not be linear. Also, in this table the effect of a variation in a particular assumption on the fair value of the retained interest is calculated without changing any other assumption; in practice, changes in one factor may result in changes in another, which might magnify or counteract the sensitivities.</w:t>
      </w:r>
    </w:p>
    <w:p>
      <w:pPr>
        <w:spacing w:after="0" w:line="190" w:lineRule="exact"/>
        <w:rPr>
          <w:sz w:val="20"/>
          <w:szCs w:val="20"/>
          <w:color w:val="auto"/>
        </w:rPr>
      </w:pPr>
    </w:p>
    <w:p>
      <w:pPr>
        <w:ind w:firstLine="351"/>
        <w:spacing w:after="0" w:line="254" w:lineRule="auto"/>
        <w:rPr>
          <w:sz w:val="20"/>
          <w:szCs w:val="20"/>
          <w:color w:val="auto"/>
        </w:rPr>
      </w:pPr>
      <w:r>
        <w:rPr>
          <w:rFonts w:ascii="Times New Roman" w:cs="Times New Roman" w:eastAsia="Times New Roman" w:hAnsi="Times New Roman"/>
          <w:sz w:val="18"/>
          <w:szCs w:val="18"/>
          <w:color w:val="auto"/>
        </w:rPr>
        <w:t>Spread deposits, carried at estimated fair value, represent deposits that are held by a trustee or agent and are used to absorb losses related to securitized credit card receivables if those losses exceed the available net cash flows arising from the securitized credit card receivables. The fair value of spread deposits is based on the weighted average life of the underlying securities and the discount rate. The discount rate is based on a risk adjusted rate paid on the series. The amount required to be deposited is approximately 4.0% of credit card receivables in the Trusts, other than with respect to the Trusts in early amortization, for which all excess funds are required to be deposited. Spread deposits are generally released proportionately as investors are repaid, although some spread deposits are released only when investors have been paid in full. None of these spread deposits were required to be used to cover losses on securitized credit card receivables in the three-year period ended December 31, 2002.</w:t>
      </w:r>
    </w:p>
    <w:p>
      <w:pPr>
        <w:spacing w:after="0" w:line="19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table below summarizes certain cash flows received from and paid to securitization trusts:</w:t>
      </w:r>
    </w:p>
    <w:p>
      <w:pPr>
        <w:spacing w:after="0" w:line="223" w:lineRule="exact"/>
        <w:rPr>
          <w:sz w:val="20"/>
          <w:szCs w:val="20"/>
          <w:color w:val="auto"/>
        </w:rPr>
      </w:pPr>
    </w:p>
    <w:p>
      <w:pPr>
        <w:ind w:left="734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3964940</wp:posOffset>
            </wp:positionH>
            <wp:positionV relativeFrom="paragraph">
              <wp:posOffset>69215</wp:posOffset>
            </wp:positionV>
            <wp:extent cx="2345055" cy="21590"/>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2345055" cy="21590"/>
                    </a:xfrm>
                    <a:prstGeom prst="rect">
                      <a:avLst/>
                    </a:prstGeom>
                    <a:noFill/>
                  </pic:spPr>
                </pic:pic>
              </a:graphicData>
            </a:graphic>
          </wp:anchor>
        </w:drawing>
      </w:r>
    </w:p>
    <w:p>
      <w:pPr>
        <w:spacing w:after="0" w:line="211" w:lineRule="exact"/>
        <w:rPr>
          <w:sz w:val="20"/>
          <w:szCs w:val="20"/>
          <w:color w:val="auto"/>
        </w:rPr>
      </w:pPr>
    </w:p>
    <w:p>
      <w:pPr>
        <w:ind w:left="6660"/>
        <w:spacing w:after="0"/>
        <w:tabs>
          <w:tab w:leader="none" w:pos="7920" w:val="left"/>
          <w:tab w:leader="none" w:pos="9220" w:val="left"/>
        </w:tabs>
        <w:rPr>
          <w:sz w:val="20"/>
          <w:szCs w:val="20"/>
          <w:color w:val="auto"/>
        </w:rPr>
      </w:pPr>
      <w:r>
        <w:rPr>
          <w:rFonts w:ascii="Times New Roman" w:cs="Times New Roman" w:eastAsia="Times New Roman" w:hAnsi="Times New Roman"/>
          <w:sz w:val="14"/>
          <w:szCs w:val="14"/>
          <w:b w:val="1"/>
          <w:bCs w:val="1"/>
          <w:color w:val="auto"/>
        </w:rPr>
        <w:t>2000</w:t>
      </w:r>
      <w:r>
        <w:rPr>
          <w:sz w:val="20"/>
          <w:szCs w:val="20"/>
          <w:color w:val="auto"/>
        </w:rPr>
        <w:tab/>
      </w:r>
      <w:r>
        <w:rPr>
          <w:rFonts w:ascii="Times New Roman" w:cs="Times New Roman" w:eastAsia="Times New Roman" w:hAnsi="Times New Roman"/>
          <w:sz w:val="14"/>
          <w:szCs w:val="14"/>
          <w:b w:val="1"/>
          <w:bCs w:val="1"/>
          <w:color w:val="auto"/>
        </w:rPr>
        <w:t>2001</w:t>
      </w:r>
      <w:r>
        <w:rPr>
          <w:sz w:val="20"/>
          <w:szCs w:val="20"/>
          <w:color w:val="auto"/>
        </w:rPr>
        <w:tab/>
      </w:r>
      <w:r>
        <w:rPr>
          <w:rFonts w:ascii="Times New Roman" w:cs="Times New Roman" w:eastAsia="Times New Roman" w:hAnsi="Times New Roman"/>
          <w:sz w:val="12"/>
          <w:szCs w:val="12"/>
          <w:b w:val="1"/>
          <w:bCs w:val="1"/>
          <w:color w:val="auto"/>
        </w:rPr>
        <w:t>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3964940</wp:posOffset>
            </wp:positionH>
            <wp:positionV relativeFrom="paragraph">
              <wp:posOffset>69215</wp:posOffset>
            </wp:positionV>
            <wp:extent cx="2345055" cy="2095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2345055" cy="20955"/>
                    </a:xfrm>
                    <a:prstGeom prst="rect">
                      <a:avLst/>
                    </a:prstGeom>
                    <a:noFill/>
                  </pic:spPr>
                </pic:pic>
              </a:graphicData>
            </a:graphic>
          </wp:anchor>
        </w:drawing>
      </w:r>
    </w:p>
    <w:p>
      <w:pPr>
        <w:sectPr>
          <w:pgSz w:w="11900" w:h="16838" w:orient="portrait"/>
          <w:cols w:equalWidth="0" w:num="1">
            <w:col w:w="11400"/>
          </w:cols>
          <w:pgMar w:left="240" w:top="383" w:right="259" w:bottom="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54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54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Proceeds from collections reinvested in previous credit card securitizations</w:t>
            </w:r>
          </w:p>
        </w:tc>
        <w:tc>
          <w:tcPr>
            <w:tcW w:w="11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4,235.7</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3,768.2</w:t>
            </w:r>
          </w:p>
        </w:tc>
        <w:tc>
          <w:tcPr>
            <w:tcW w:w="44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4,979.1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new securitizations</w:t>
            </w:r>
          </w:p>
        </w:tc>
        <w:tc>
          <w:tcPr>
            <w:tcW w:w="1160" w:type="dxa"/>
            <w:vAlign w:val="bottom"/>
          </w:tcPr>
          <w:p>
            <w:pPr>
              <w:spacing w:after="0"/>
              <w:rPr>
                <w:sz w:val="18"/>
                <w:szCs w:val="18"/>
                <w:color w:val="auto"/>
              </w:rPr>
            </w:pPr>
          </w:p>
        </w:tc>
        <w:tc>
          <w:tcPr>
            <w:tcW w:w="8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900.0</w:t>
            </w: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Servicing fees received</w:t>
            </w:r>
          </w:p>
        </w:tc>
        <w:tc>
          <w:tcPr>
            <w:tcW w:w="11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39.6</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41.9</w:t>
            </w: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Other cash flows received on retained interests</w:t>
            </w:r>
          </w:p>
        </w:tc>
        <w:tc>
          <w:tcPr>
            <w:tcW w:w="1160" w:type="dxa"/>
            <w:vAlign w:val="bottom"/>
          </w:tcPr>
          <w:p>
            <w:pPr>
              <w:spacing w:after="0"/>
              <w:rPr>
                <w:sz w:val="19"/>
                <w:szCs w:val="19"/>
                <w:color w:val="auto"/>
              </w:rPr>
            </w:pPr>
          </w:p>
        </w:tc>
        <w:tc>
          <w:tcPr>
            <w:tcW w:w="8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146.8</w:t>
            </w:r>
          </w:p>
        </w:tc>
        <w:tc>
          <w:tcPr>
            <w:tcW w:w="240" w:type="dxa"/>
            <w:vAlign w:val="bottom"/>
          </w:tcPr>
          <w:p>
            <w:pPr>
              <w:spacing w:after="0"/>
              <w:rPr>
                <w:sz w:val="19"/>
                <w:szCs w:val="19"/>
                <w:color w:val="auto"/>
              </w:rPr>
            </w:pPr>
          </w:p>
        </w:tc>
        <w:tc>
          <w:tcPr>
            <w:tcW w:w="10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134.4</w:t>
            </w: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1160" w:type="dxa"/>
            <w:vAlign w:val="bottom"/>
          </w:tcPr>
          <w:p>
            <w:pPr>
              <w:jc w:val="right"/>
              <w:ind w:right="612"/>
              <w:spacing w:after="0"/>
              <w:rPr>
                <w:sz w:val="20"/>
                <w:szCs w:val="20"/>
                <w:color w:val="auto"/>
              </w:rPr>
            </w:pPr>
            <w:r>
              <w:rPr>
                <w:rFonts w:ascii="Times New Roman" w:cs="Times New Roman" w:eastAsia="Times New Roman" w:hAnsi="Times New Roman"/>
                <w:sz w:val="18"/>
                <w:szCs w:val="18"/>
                <w:color w:val="auto"/>
              </w:rPr>
              <w:t>F-16</w:t>
            </w: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7250430" cy="21590"/>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6.</w:t>
      </w:r>
      <w:r>
        <w:rPr>
          <w:sz w:val="20"/>
          <w:szCs w:val="20"/>
          <w:color w:val="auto"/>
        </w:rPr>
        <w:tab/>
      </w:r>
      <w:r>
        <w:rPr>
          <w:rFonts w:ascii="Times New Roman" w:cs="Times New Roman" w:eastAsia="Times New Roman" w:hAnsi="Times New Roman"/>
          <w:sz w:val="16"/>
          <w:szCs w:val="16"/>
          <w:b w:val="1"/>
          <w:bCs w:val="1"/>
          <w:color w:val="auto"/>
        </w:rPr>
        <w:t>SECURITIZATION OF CREDIT CARD RECEIVABLES (Continued)</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The tables below present quantitative information about the components of total credit card receivables managed, delinquencies and net charge-offs: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4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gridSpan w:val="7"/>
          </w:tcPr>
          <w:p>
            <w:pPr>
              <w:jc w:val="center"/>
              <w:ind w:left="1"/>
              <w:spacing w:after="0"/>
              <w:rPr>
                <w:sz w:val="20"/>
                <w:szCs w:val="20"/>
                <w:color w:val="auto"/>
              </w:rPr>
            </w:pPr>
            <w:r>
              <w:rPr>
                <w:rFonts w:ascii="Times New Roman" w:cs="Times New Roman" w:eastAsia="Times New Roman" w:hAnsi="Times New Roman"/>
                <w:sz w:val="14"/>
                <w:szCs w:val="14"/>
                <w:b w:val="1"/>
                <w:bCs w:val="1"/>
                <w:color w:val="auto"/>
                <w:w w:val="96"/>
              </w:rPr>
              <w:t>At December 31,</w:t>
            </w:r>
          </w:p>
        </w:tc>
        <w:tc>
          <w:tcPr>
            <w:tcW w:w="5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gridSpan w:val="2"/>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gridSpan w:val="2"/>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46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20" w:type="dxa"/>
            <w:vAlign w:val="bottom"/>
            <w:gridSpan w:val="3"/>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2001</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2002</w:t>
            </w:r>
          </w:p>
        </w:tc>
        <w:tc>
          <w:tcPr>
            <w:tcW w:w="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80" w:type="dxa"/>
            <w:vAlign w:val="bottom"/>
            <w:gridSpan w:val="2"/>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46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gridSpan w:val="5"/>
          </w:tcPr>
          <w:p>
            <w:pPr>
              <w:jc w:val="center"/>
              <w:ind w:left="201"/>
              <w:spacing w:after="0"/>
              <w:rPr>
                <w:sz w:val="20"/>
                <w:szCs w:val="20"/>
                <w:color w:val="auto"/>
              </w:rPr>
            </w:pPr>
            <w:r>
              <w:rPr>
                <w:rFonts w:ascii="Times New Roman" w:cs="Times New Roman" w:eastAsia="Times New Roman" w:hAnsi="Times New Roman"/>
                <w:sz w:val="14"/>
                <w:szCs w:val="14"/>
                <w:b w:val="1"/>
                <w:bCs w:val="1"/>
                <w:color w:val="auto"/>
                <w:w w:val="97"/>
              </w:rPr>
              <w:t>(in millions)</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4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principal of credit card receivables managed</w:t>
            </w: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2,467.3</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2,797.3</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Less credit card receivables securitized</w:t>
            </w: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2,451.0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2,775.1</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Credit card receivables held</w:t>
            </w: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940" w:type="dxa"/>
            <w:vAlign w:val="bottom"/>
            <w:gridSpan w:val="2"/>
          </w:tcPr>
          <w:p>
            <w:pPr>
              <w:spacing w:after="0" w:line="200" w:lineRule="exact"/>
              <w:rPr>
                <w:sz w:val="20"/>
                <w:szCs w:val="20"/>
                <w:color w:val="auto"/>
              </w:rPr>
            </w:pPr>
            <w:r>
              <w:rPr>
                <w:rFonts w:ascii="Times New Roman" w:cs="Times New Roman" w:eastAsia="Times New Roman" w:hAnsi="Times New Roman"/>
                <w:sz w:val="18"/>
                <w:szCs w:val="18"/>
                <w:color w:val="auto"/>
                <w:w w:val="99"/>
              </w:rPr>
              <w:t>Principal amount of credit card receivables 90 days or more past due</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gridSpan w:val="2"/>
          </w:tcPr>
          <w:p>
            <w:pPr>
              <w:jc w:val="right"/>
              <w:ind w:right="80"/>
              <w:spacing w:after="0" w:line="200" w:lineRule="exact"/>
              <w:rPr>
                <w:sz w:val="20"/>
                <w:szCs w:val="20"/>
                <w:color w:val="auto"/>
              </w:rPr>
            </w:pPr>
            <w:r>
              <w:rPr>
                <w:rFonts w:ascii="Times New Roman" w:cs="Times New Roman" w:eastAsia="Times New Roman" w:hAnsi="Times New Roman"/>
                <w:sz w:val="18"/>
                <w:szCs w:val="18"/>
                <w:color w:val="auto"/>
              </w:rPr>
              <w:t>64.5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jc w:val="right"/>
              <w:spacing w:after="0" w:line="200" w:lineRule="exact"/>
              <w:rPr>
                <w:sz w:val="20"/>
                <w:szCs w:val="20"/>
                <w:color w:val="auto"/>
              </w:rPr>
            </w:pPr>
            <w:r>
              <w:rPr>
                <w:rFonts w:ascii="Times New Roman" w:cs="Times New Roman" w:eastAsia="Times New Roman" w:hAnsi="Times New Roman"/>
                <w:sz w:val="18"/>
                <w:szCs w:val="18"/>
                <w:color w:val="auto"/>
              </w:rPr>
              <w:t>64.8</w:t>
            </w: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40" w:type="dxa"/>
            <w:vAlign w:val="bottom"/>
            <w:gridSpan w:val="9"/>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5"/>
              </w:rPr>
              <w:t>Year Ended December 31,</w:t>
            </w:r>
          </w:p>
        </w:tc>
        <w:tc>
          <w:tcPr>
            <w:tcW w:w="5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46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2000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0" w:type="dxa"/>
            <w:vAlign w:val="bottom"/>
          </w:tcPr>
          <w:p>
            <w:pPr>
              <w:jc w:val="center"/>
              <w:ind w:left="161"/>
              <w:spacing w:after="0"/>
              <w:rPr>
                <w:sz w:val="20"/>
                <w:szCs w:val="20"/>
                <w:color w:val="auto"/>
              </w:rPr>
            </w:pPr>
            <w:r>
              <w:rPr>
                <w:rFonts w:ascii="Times New Roman" w:cs="Times New Roman" w:eastAsia="Times New Roman" w:hAnsi="Times New Roman"/>
                <w:sz w:val="14"/>
                <w:szCs w:val="14"/>
                <w:b w:val="1"/>
                <w:bCs w:val="1"/>
                <w:color w:val="auto"/>
                <w:w w:val="99"/>
              </w:rPr>
              <w:t>2001</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2002</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gridSpan w:val="4"/>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46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gridSpan w:val="5"/>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6"/>
              </w:rPr>
              <w:t>(in thousands)</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4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gridSpan w:val="2"/>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4"/>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8"/>
              </w:rPr>
              <w:t>Net charge-offs including billed, unpaid finance charges and fees</w:t>
            </w: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208,558</w:t>
            </w:r>
          </w:p>
        </w:tc>
        <w:tc>
          <w:tcPr>
            <w:tcW w:w="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4"/>
            <w:shd w:val="clear" w:color="auto" w:fill="CCEEFF"/>
          </w:tcPr>
          <w:p>
            <w:pPr>
              <w:jc w:val="center"/>
              <w:ind w:left="341"/>
              <w:spacing w:after="0"/>
              <w:rPr>
                <w:sz w:val="20"/>
                <w:szCs w:val="20"/>
                <w:color w:val="auto"/>
              </w:rPr>
            </w:pPr>
            <w:r>
              <w:rPr>
                <w:rFonts w:ascii="Times New Roman" w:cs="Times New Roman" w:eastAsia="Times New Roman" w:hAnsi="Times New Roman"/>
                <w:sz w:val="18"/>
                <w:szCs w:val="18"/>
                <w:color w:val="auto"/>
                <w:w w:val="95"/>
              </w:rPr>
              <w:t>254,698</w:t>
            </w:r>
          </w:p>
        </w:tc>
        <w:tc>
          <w:tcPr>
            <w:tcW w:w="1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270,243</w:t>
            </w:r>
          </w:p>
        </w:tc>
        <w:tc>
          <w:tcPr>
            <w:tcW w:w="0" w:type="dxa"/>
            <w:vAlign w:val="bottom"/>
          </w:tcPr>
          <w:p>
            <w:pPr>
              <w:spacing w:after="0"/>
              <w:rPr>
                <w:sz w:val="1"/>
                <w:szCs w:val="1"/>
                <w:color w:val="auto"/>
              </w:rPr>
            </w:pPr>
          </w:p>
        </w:tc>
      </w:tr>
      <w:tr>
        <w:trPr>
          <w:trHeight w:val="430"/>
        </w:trPr>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7.  INTANGIBLE ASSETS AND GOODWILL</w:t>
            </w: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Intangible assets consist of the following:</w:t>
            </w: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2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20" w:type="dxa"/>
            <w:vAlign w:val="bottom"/>
            <w:gridSpan w:val="4"/>
          </w:tcPr>
          <w:p>
            <w:pPr>
              <w:ind w:left="5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64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0" w:type="dxa"/>
            <w:vAlign w:val="bottom"/>
            <w:gridSpan w:val="10"/>
          </w:tcPr>
          <w:p>
            <w:pPr>
              <w:spacing w:after="0"/>
              <w:rPr>
                <w:sz w:val="9"/>
                <w:szCs w:val="9"/>
                <w:color w:val="auto"/>
              </w:rPr>
            </w:pPr>
          </w:p>
        </w:tc>
        <w:tc>
          <w:tcPr>
            <w:tcW w:w="540" w:type="dxa"/>
            <w:vAlign w:val="bottom"/>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46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40" w:type="dxa"/>
            <w:vAlign w:val="bottom"/>
          </w:tcPr>
          <w:p>
            <w:pPr>
              <w:jc w:val="right"/>
              <w:ind w:right="358"/>
              <w:spacing w:after="0"/>
              <w:rPr>
                <w:sz w:val="20"/>
                <w:szCs w:val="20"/>
                <w:color w:val="auto"/>
              </w:rPr>
            </w:pPr>
            <w:r>
              <w:rPr>
                <w:rFonts w:ascii="Times New Roman" w:cs="Times New Roman" w:eastAsia="Times New Roman" w:hAnsi="Times New Roman"/>
                <w:sz w:val="14"/>
                <w:szCs w:val="14"/>
                <w:b w:val="1"/>
                <w:bCs w:val="1"/>
                <w:color w:val="auto"/>
              </w:rPr>
              <w:t>2001</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w w:val="92"/>
              </w:rPr>
              <w:t>2002</w:t>
            </w:r>
          </w:p>
        </w:tc>
        <w:tc>
          <w:tcPr>
            <w:tcW w:w="100" w:type="dxa"/>
            <w:vAlign w:val="bottom"/>
          </w:tcPr>
          <w:p>
            <w:pPr>
              <w:spacing w:after="0"/>
              <w:rPr>
                <w:sz w:val="23"/>
                <w:szCs w:val="23"/>
                <w:color w:val="auto"/>
              </w:rPr>
            </w:pPr>
          </w:p>
        </w:tc>
        <w:tc>
          <w:tcPr>
            <w:tcW w:w="1800" w:type="dxa"/>
            <w:vAlign w:val="bottom"/>
            <w:gridSpan w:val="10"/>
          </w:tcPr>
          <w:p>
            <w:pPr>
              <w:spacing w:after="0"/>
              <w:rPr>
                <w:sz w:val="20"/>
                <w:szCs w:val="20"/>
                <w:color w:val="auto"/>
              </w:rPr>
            </w:pPr>
            <w:r>
              <w:rPr>
                <w:rFonts w:ascii="Times New Roman" w:cs="Times New Roman" w:eastAsia="Times New Roman" w:hAnsi="Times New Roman"/>
                <w:sz w:val="14"/>
                <w:szCs w:val="14"/>
                <w:b w:val="1"/>
                <w:bCs w:val="1"/>
                <w:color w:val="auto"/>
                <w:w w:val="96"/>
              </w:rPr>
              <w:t>Amortization Life and Method</w:t>
            </w:r>
          </w:p>
        </w:tc>
        <w:tc>
          <w:tcPr>
            <w:tcW w:w="5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64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Borders>
              <w:bottom w:val="single" w:sz="8" w:color="808080"/>
            </w:tcBorders>
            <w:gridSpan w:val="2"/>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46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20" w:type="dxa"/>
            <w:vAlign w:val="bottom"/>
            <w:gridSpan w:val="4"/>
          </w:tcPr>
          <w:p>
            <w:pPr>
              <w:ind w:left="5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4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8"/>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Premium on purchased credit card portfolios</w:t>
            </w:r>
          </w:p>
        </w:tc>
        <w:tc>
          <w:tcPr>
            <w:tcW w:w="30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16,566</w:t>
            </w:r>
          </w:p>
        </w:tc>
        <w:tc>
          <w:tcPr>
            <w:tcW w:w="100" w:type="dxa"/>
            <w:vAlign w:val="bottom"/>
            <w:shd w:val="clear" w:color="auto" w:fill="CCEEFF"/>
          </w:tcPr>
          <w:p>
            <w:pPr>
              <w:spacing w:after="0"/>
              <w:rPr>
                <w:sz w:val="18"/>
                <w:szCs w:val="18"/>
                <w:color w:val="auto"/>
              </w:rPr>
            </w:pPr>
          </w:p>
        </w:tc>
        <w:tc>
          <w:tcPr>
            <w:tcW w:w="158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3 years—straight line</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Customer contracts and lists</w:t>
            </w: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61,124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77,876</w:t>
            </w:r>
          </w:p>
        </w:tc>
        <w:tc>
          <w:tcPr>
            <w:tcW w:w="100" w:type="dxa"/>
            <w:vAlign w:val="bottom"/>
          </w:tcPr>
          <w:p>
            <w:pPr>
              <w:spacing w:after="0"/>
              <w:rPr>
                <w:sz w:val="18"/>
                <w:szCs w:val="18"/>
                <w:color w:val="auto"/>
              </w:rPr>
            </w:pPr>
          </w:p>
        </w:tc>
        <w:tc>
          <w:tcPr>
            <w:tcW w:w="1800" w:type="dxa"/>
            <w:vAlign w:val="bottom"/>
            <w:gridSpan w:val="10"/>
          </w:tcPr>
          <w:p>
            <w:pPr>
              <w:spacing w:after="0"/>
              <w:rPr>
                <w:sz w:val="20"/>
                <w:szCs w:val="20"/>
                <w:color w:val="auto"/>
              </w:rPr>
            </w:pPr>
            <w:r>
              <w:rPr>
                <w:rFonts w:ascii="Times New Roman" w:cs="Times New Roman" w:eastAsia="Times New Roman" w:hAnsi="Times New Roman"/>
                <w:sz w:val="18"/>
                <w:szCs w:val="18"/>
                <w:color w:val="auto"/>
                <w:w w:val="97"/>
              </w:rPr>
              <w:t>3–20 years—straight line</w:t>
            </w: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Noncompete agreements</w:t>
            </w: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4,300</w:t>
            </w:r>
          </w:p>
        </w:tc>
        <w:tc>
          <w:tcPr>
            <w:tcW w:w="100" w:type="dxa"/>
            <w:vAlign w:val="bottom"/>
            <w:shd w:val="clear" w:color="auto" w:fill="CCEEFF"/>
          </w:tcPr>
          <w:p>
            <w:pPr>
              <w:spacing w:after="0"/>
              <w:rPr>
                <w:sz w:val="18"/>
                <w:szCs w:val="18"/>
                <w:color w:val="auto"/>
              </w:rPr>
            </w:pPr>
          </w:p>
        </w:tc>
        <w:tc>
          <w:tcPr>
            <w:tcW w:w="1800" w:type="dxa"/>
            <w:vAlign w:val="bottom"/>
            <w:gridSpan w:val="10"/>
            <w:shd w:val="clear" w:color="auto" w:fill="CCEEFF"/>
          </w:tcPr>
          <w:p>
            <w:pPr>
              <w:spacing w:after="0"/>
              <w:rPr>
                <w:sz w:val="20"/>
                <w:szCs w:val="20"/>
                <w:color w:val="auto"/>
              </w:rPr>
            </w:pPr>
            <w:r>
              <w:rPr>
                <w:rFonts w:ascii="Times New Roman" w:cs="Times New Roman" w:eastAsia="Times New Roman" w:hAnsi="Times New Roman"/>
                <w:sz w:val="18"/>
                <w:szCs w:val="18"/>
                <w:color w:val="auto"/>
              </w:rPr>
              <w:t>1–5 years—straight line</w:t>
            </w:r>
          </w:p>
        </w:tc>
        <w:tc>
          <w:tcPr>
            <w:tcW w:w="540" w:type="dxa"/>
            <w:vAlign w:val="bottom"/>
            <w:shd w:val="clear" w:color="auto" w:fill="CCEEFF"/>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Sponsor contracts</w:t>
            </w: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38,306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38,306</w:t>
            </w:r>
          </w:p>
        </w:tc>
        <w:tc>
          <w:tcPr>
            <w:tcW w:w="100" w:type="dxa"/>
            <w:vAlign w:val="bottom"/>
          </w:tcPr>
          <w:p>
            <w:pPr>
              <w:spacing w:after="0"/>
              <w:rPr>
                <w:sz w:val="18"/>
                <w:szCs w:val="18"/>
                <w:color w:val="auto"/>
              </w:rPr>
            </w:pPr>
          </w:p>
        </w:tc>
        <w:tc>
          <w:tcPr>
            <w:tcW w:w="23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5 years—declining balance</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Collector database</w:t>
            </w: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47,043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47,043</w:t>
            </w:r>
          </w:p>
        </w:tc>
        <w:tc>
          <w:tcPr>
            <w:tcW w:w="100" w:type="dxa"/>
            <w:vAlign w:val="bottom"/>
            <w:shd w:val="clear" w:color="auto" w:fill="CCEEFF"/>
          </w:tcPr>
          <w:p>
            <w:pPr>
              <w:spacing w:after="0"/>
              <w:rPr>
                <w:sz w:val="18"/>
                <w:szCs w:val="18"/>
                <w:color w:val="auto"/>
              </w:rPr>
            </w:pPr>
          </w:p>
        </w:tc>
        <w:tc>
          <w:tcPr>
            <w:tcW w:w="1800" w:type="dxa"/>
            <w:vAlign w:val="bottom"/>
            <w:gridSpan w:val="10"/>
            <w:shd w:val="clear" w:color="auto" w:fill="CCEEFF"/>
          </w:tcPr>
          <w:p>
            <w:pPr>
              <w:spacing w:after="0"/>
              <w:rPr>
                <w:sz w:val="20"/>
                <w:szCs w:val="20"/>
                <w:color w:val="auto"/>
              </w:rPr>
            </w:pPr>
            <w:r>
              <w:rPr>
                <w:rFonts w:ascii="Times New Roman" w:cs="Times New Roman" w:eastAsia="Times New Roman" w:hAnsi="Times New Roman"/>
                <w:sz w:val="18"/>
                <w:szCs w:val="18"/>
                <w:color w:val="auto"/>
              </w:rPr>
              <w:t>15%—declining balance</w:t>
            </w:r>
          </w:p>
        </w:tc>
        <w:tc>
          <w:tcPr>
            <w:tcW w:w="540" w:type="dxa"/>
            <w:vAlign w:val="bottom"/>
            <w:shd w:val="clear" w:color="auto" w:fill="CCEEFF"/>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64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4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160,466</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184,091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
        </w:trPr>
        <w:tc>
          <w:tcPr>
            <w:tcW w:w="20" w:type="dxa"/>
            <w:vAlign w:val="bottom"/>
            <w:vMerge w:val="restart"/>
          </w:tcPr>
          <w:p>
            <w:pPr>
              <w:spacing w:after="0"/>
              <w:rPr>
                <w:sz w:val="2"/>
                <w:szCs w:val="2"/>
                <w:color w:val="auto"/>
              </w:rPr>
            </w:pPr>
          </w:p>
        </w:tc>
        <w:tc>
          <w:tcPr>
            <w:tcW w:w="4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amortization</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(83,580)</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(107,317)</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4660" w:type="dxa"/>
            <w:vAlign w:val="bottom"/>
            <w:gridSpan w:val="2"/>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300" w:type="dxa"/>
            <w:vAlign w:val="bottom"/>
          </w:tcPr>
          <w:p>
            <w:pPr>
              <w:jc w:val="right"/>
              <w:ind w:right="138"/>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76,886</w:t>
            </w:r>
          </w:p>
        </w:tc>
        <w:tc>
          <w:tcPr>
            <w:tcW w:w="100" w:type="dxa"/>
            <w:vAlign w:val="bottom"/>
          </w:tcPr>
          <w:p>
            <w:pPr>
              <w:spacing w:after="0"/>
              <w:rPr>
                <w:sz w:val="24"/>
                <w:szCs w:val="24"/>
                <w:color w:val="auto"/>
              </w:rPr>
            </w:pP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76,774</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64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4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6074410</wp:posOffset>
            </wp:positionH>
            <wp:positionV relativeFrom="paragraph">
              <wp:posOffset>-4971415</wp:posOffset>
            </wp:positionV>
            <wp:extent cx="12700" cy="8890"/>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-4971415</wp:posOffset>
            </wp:positionV>
            <wp:extent cx="12700" cy="8890"/>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-4722495</wp:posOffset>
            </wp:positionV>
            <wp:extent cx="12700" cy="8890"/>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-4722495</wp:posOffset>
            </wp:positionV>
            <wp:extent cx="12700" cy="8890"/>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-4722495</wp:posOffset>
            </wp:positionV>
            <wp:extent cx="12700" cy="8890"/>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-4722495</wp:posOffset>
            </wp:positionV>
            <wp:extent cx="12700" cy="8890"/>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-3676015</wp:posOffset>
            </wp:positionV>
            <wp:extent cx="12700" cy="8890"/>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-3676015</wp:posOffset>
            </wp:positionV>
            <wp:extent cx="12700" cy="8890"/>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-3427730</wp:posOffset>
            </wp:positionV>
            <wp:extent cx="12700" cy="8890"/>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-3427730</wp:posOffset>
            </wp:positionV>
            <wp:extent cx="12700" cy="8890"/>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-3427730</wp:posOffset>
            </wp:positionV>
            <wp:extent cx="12700" cy="8890"/>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-3427730</wp:posOffset>
            </wp:positionV>
            <wp:extent cx="12700" cy="8890"/>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-3427730</wp:posOffset>
            </wp:positionV>
            <wp:extent cx="12700" cy="8890"/>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-3427730</wp:posOffset>
            </wp:positionV>
            <wp:extent cx="12700" cy="8890"/>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-2106930</wp:posOffset>
            </wp:positionV>
            <wp:extent cx="12700" cy="8890"/>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-2106930</wp:posOffset>
            </wp:positionV>
            <wp:extent cx="12700" cy="8890"/>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-1858010</wp:posOffset>
            </wp:positionV>
            <wp:extent cx="12700" cy="8890"/>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-1858010</wp:posOffset>
            </wp:positionV>
            <wp:extent cx="12700" cy="8890"/>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3673475</wp:posOffset>
            </wp:positionH>
            <wp:positionV relativeFrom="paragraph">
              <wp:posOffset>-1858010</wp:posOffset>
            </wp:positionV>
            <wp:extent cx="12700" cy="8890"/>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-1858010</wp:posOffset>
            </wp:positionV>
            <wp:extent cx="12700" cy="8890"/>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-1858010</wp:posOffset>
            </wp:positionV>
            <wp:extent cx="12700" cy="8890"/>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3742055</wp:posOffset>
            </wp:positionH>
            <wp:positionV relativeFrom="paragraph">
              <wp:posOffset>-1858010</wp:posOffset>
            </wp:positionV>
            <wp:extent cx="12700" cy="8890"/>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3673475</wp:posOffset>
            </wp:positionH>
            <wp:positionV relativeFrom="paragraph">
              <wp:posOffset>-768985</wp:posOffset>
            </wp:positionV>
            <wp:extent cx="12700" cy="8890"/>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-768985</wp:posOffset>
            </wp:positionV>
            <wp:extent cx="12700" cy="8890"/>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-768985</wp:posOffset>
            </wp:positionV>
            <wp:extent cx="12700" cy="8890"/>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3742055</wp:posOffset>
            </wp:positionH>
            <wp:positionV relativeFrom="paragraph">
              <wp:posOffset>-768985</wp:posOffset>
            </wp:positionV>
            <wp:extent cx="12700" cy="8890"/>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3673475</wp:posOffset>
            </wp:positionH>
            <wp:positionV relativeFrom="paragraph">
              <wp:posOffset>-323215</wp:posOffset>
            </wp:positionV>
            <wp:extent cx="12700" cy="8890"/>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-323215</wp:posOffset>
            </wp:positionV>
            <wp:extent cx="12700" cy="8890"/>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-323215</wp:posOffset>
            </wp:positionV>
            <wp:extent cx="12700" cy="8890"/>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3742055</wp:posOffset>
            </wp:positionH>
            <wp:positionV relativeFrom="paragraph">
              <wp:posOffset>-323215</wp:posOffset>
            </wp:positionV>
            <wp:extent cx="12700" cy="8890"/>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estimated amortization expense for the next five years is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4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80" w:type="dxa"/>
            <w:vAlign w:val="bottom"/>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6"/>
              </w:rPr>
              <w:t>For Year Ended</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4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80" w:type="dxa"/>
            <w:vAlign w:val="bottom"/>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5"/>
              </w:rPr>
              <w:t>December 31,</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940" w:type="dxa"/>
            <w:vAlign w:val="bottom"/>
          </w:tcPr>
          <w:p>
            <w:pPr>
              <w:spacing w:after="0"/>
              <w:rPr>
                <w:sz w:val="9"/>
                <w:szCs w:val="9"/>
                <w:color w:val="auto"/>
              </w:rPr>
            </w:pPr>
          </w:p>
        </w:tc>
        <w:tc>
          <w:tcPr>
            <w:tcW w:w="478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2940" w:type="dxa"/>
            <w:vAlign w:val="bottom"/>
          </w:tcPr>
          <w:p>
            <w:pPr>
              <w:spacing w:after="0"/>
              <w:rPr>
                <w:sz w:val="23"/>
                <w:szCs w:val="23"/>
                <w:color w:val="auto"/>
              </w:rPr>
            </w:pPr>
          </w:p>
        </w:tc>
        <w:tc>
          <w:tcPr>
            <w:tcW w:w="47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80" w:type="dxa"/>
            <w:vAlign w:val="bottom"/>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6"/>
              </w:rPr>
              <w:t>(in thousands)</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294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40" w:type="dxa"/>
            <w:vAlign w:val="bottom"/>
            <w:shd w:val="clear" w:color="auto" w:fill="CCEEFF"/>
          </w:tcPr>
          <w:p>
            <w:pPr>
              <w:jc w:val="right"/>
              <w:ind w:right="2512"/>
              <w:spacing w:after="0"/>
              <w:rPr>
                <w:sz w:val="20"/>
                <w:szCs w:val="20"/>
                <w:color w:val="auto"/>
              </w:rPr>
            </w:pPr>
            <w:r>
              <w:rPr>
                <w:rFonts w:ascii="Times New Roman" w:cs="Times New Roman" w:eastAsia="Times New Roman" w:hAnsi="Times New Roman"/>
                <w:sz w:val="18"/>
                <w:szCs w:val="18"/>
                <w:color w:val="auto"/>
                <w:w w:val="88"/>
              </w:rPr>
              <w:t>2003</w:t>
            </w:r>
          </w:p>
        </w:tc>
        <w:tc>
          <w:tcPr>
            <w:tcW w:w="5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tcPr>
          <w:p>
            <w:pPr>
              <w:jc w:val="right"/>
              <w:ind w:right="2512"/>
              <w:spacing w:after="0"/>
              <w:rPr>
                <w:sz w:val="20"/>
                <w:szCs w:val="20"/>
                <w:color w:val="auto"/>
              </w:rPr>
            </w:pPr>
            <w:r>
              <w:rPr>
                <w:rFonts w:ascii="Times New Roman" w:cs="Times New Roman" w:eastAsia="Times New Roman" w:hAnsi="Times New Roman"/>
                <w:sz w:val="18"/>
                <w:szCs w:val="18"/>
                <w:color w:val="auto"/>
                <w:w w:val="88"/>
              </w:rPr>
              <w:t>2004</w:t>
            </w:r>
          </w:p>
        </w:tc>
        <w:tc>
          <w:tcPr>
            <w:tcW w:w="4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shd w:val="clear" w:color="auto" w:fill="CCEEFF"/>
          </w:tcPr>
          <w:p>
            <w:pPr>
              <w:jc w:val="right"/>
              <w:ind w:right="2512"/>
              <w:spacing w:after="0"/>
              <w:rPr>
                <w:sz w:val="20"/>
                <w:szCs w:val="20"/>
                <w:color w:val="auto"/>
              </w:rPr>
            </w:pPr>
            <w:r>
              <w:rPr>
                <w:rFonts w:ascii="Times New Roman" w:cs="Times New Roman" w:eastAsia="Times New Roman" w:hAnsi="Times New Roman"/>
                <w:sz w:val="18"/>
                <w:szCs w:val="18"/>
                <w:color w:val="auto"/>
                <w:w w:val="88"/>
              </w:rPr>
              <w:t>2005</w:t>
            </w:r>
          </w:p>
        </w:tc>
        <w:tc>
          <w:tcPr>
            <w:tcW w:w="4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tcPr>
          <w:p>
            <w:pPr>
              <w:jc w:val="right"/>
              <w:ind w:right="2512"/>
              <w:spacing w:after="0"/>
              <w:rPr>
                <w:sz w:val="20"/>
                <w:szCs w:val="20"/>
                <w:color w:val="auto"/>
              </w:rPr>
            </w:pPr>
            <w:r>
              <w:rPr>
                <w:rFonts w:ascii="Times New Roman" w:cs="Times New Roman" w:eastAsia="Times New Roman" w:hAnsi="Times New Roman"/>
                <w:sz w:val="18"/>
                <w:szCs w:val="18"/>
                <w:color w:val="auto"/>
                <w:w w:val="88"/>
              </w:rPr>
              <w:t>2006</w:t>
            </w:r>
          </w:p>
        </w:tc>
        <w:tc>
          <w:tcPr>
            <w:tcW w:w="4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shd w:val="clear" w:color="auto" w:fill="CCEEFF"/>
          </w:tcPr>
          <w:p>
            <w:pPr>
              <w:jc w:val="right"/>
              <w:ind w:right="2512"/>
              <w:spacing w:after="0"/>
              <w:rPr>
                <w:sz w:val="20"/>
                <w:szCs w:val="20"/>
                <w:color w:val="auto"/>
              </w:rPr>
            </w:pPr>
            <w:r>
              <w:rPr>
                <w:rFonts w:ascii="Times New Roman" w:cs="Times New Roman" w:eastAsia="Times New Roman" w:hAnsi="Times New Roman"/>
                <w:sz w:val="18"/>
                <w:szCs w:val="18"/>
                <w:color w:val="auto"/>
                <w:w w:val="88"/>
              </w:rPr>
              <w:t>2007</w:t>
            </w:r>
          </w:p>
        </w:tc>
        <w:tc>
          <w:tcPr>
            <w:tcW w:w="4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4,577</w:t>
            </w: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5040" w:type="dxa"/>
            <w:vAlign w:val="bottom"/>
            <w:gridSpan w:val="2"/>
          </w:tcPr>
          <w:p>
            <w:pPr>
              <w:jc w:val="right"/>
              <w:ind w:right="2120"/>
              <w:spacing w:after="0"/>
              <w:rPr>
                <w:sz w:val="20"/>
                <w:szCs w:val="20"/>
                <w:color w:val="auto"/>
              </w:rPr>
            </w:pPr>
            <w:r>
              <w:rPr>
                <w:rFonts w:ascii="Times New Roman" w:cs="Times New Roman" w:eastAsia="Times New Roman" w:hAnsi="Times New Roman"/>
                <w:sz w:val="18"/>
                <w:szCs w:val="18"/>
                <w:color w:val="auto"/>
              </w:rPr>
              <w:t>F-17</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6005830</wp:posOffset>
            </wp:positionH>
            <wp:positionV relativeFrom="paragraph">
              <wp:posOffset>-1289050</wp:posOffset>
            </wp:positionV>
            <wp:extent cx="12700" cy="8890"/>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-1289050</wp:posOffset>
            </wp:positionV>
            <wp:extent cx="12700" cy="8890"/>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136525</wp:posOffset>
            </wp:positionV>
            <wp:extent cx="7250430" cy="21590"/>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changes in the carrying amount of goodwill for the year ended December 31, 2002, are as follows:</w:t>
      </w:r>
    </w:p>
    <w:p>
      <w:pPr>
        <w:spacing w:after="0" w:line="210" w:lineRule="exact"/>
        <w:rPr>
          <w:sz w:val="20"/>
          <w:szCs w:val="20"/>
          <w:color w:val="auto"/>
        </w:rPr>
      </w:pPr>
    </w:p>
    <w:tbl>
      <w:tblPr>
        <w:tblLayout w:type="fixed"/>
        <w:tblInd w:w="5240" w:type="dxa"/>
        <w:tblCellMar>
          <w:top w:w="0" w:type="dxa"/>
          <w:left w:w="0" w:type="dxa"/>
          <w:bottom w:w="0" w:type="dxa"/>
          <w:right w:w="0" w:type="dxa"/>
        </w:tblCellMar>
      </w:tblPr>
      <w:tr>
        <w:trPr>
          <w:trHeight w:val="161"/>
        </w:trPr>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Transaction</w:t>
            </w:r>
          </w:p>
        </w:tc>
        <w:tc>
          <w:tcPr>
            <w:tcW w:w="200" w:type="dxa"/>
            <w:vAlign w:val="bottom"/>
          </w:tcPr>
          <w:p>
            <w:pPr>
              <w:spacing w:after="0"/>
              <w:rPr>
                <w:sz w:val="13"/>
                <w:szCs w:val="13"/>
                <w:color w:val="auto"/>
              </w:rPr>
            </w:pPr>
          </w:p>
        </w:tc>
        <w:tc>
          <w:tcPr>
            <w:tcW w:w="780" w:type="dxa"/>
            <w:vAlign w:val="bottom"/>
          </w:tcPr>
          <w:p>
            <w:pPr>
              <w:jc w:val="center"/>
              <w:ind w:left="212"/>
              <w:spacing w:after="0"/>
              <w:rPr>
                <w:sz w:val="20"/>
                <w:szCs w:val="20"/>
                <w:color w:val="auto"/>
              </w:rPr>
            </w:pPr>
            <w:r>
              <w:rPr>
                <w:rFonts w:ascii="Times New Roman" w:cs="Times New Roman" w:eastAsia="Times New Roman" w:hAnsi="Times New Roman"/>
                <w:sz w:val="14"/>
                <w:szCs w:val="14"/>
                <w:b w:val="1"/>
                <w:bCs w:val="1"/>
                <w:color w:val="auto"/>
                <w:w w:val="97"/>
              </w:rPr>
              <w:t>Credit</w:t>
            </w: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Marketing</w:t>
            </w:r>
          </w:p>
        </w:tc>
        <w:tc>
          <w:tcPr>
            <w:tcW w:w="200" w:type="dxa"/>
            <w:vAlign w:val="bottom"/>
          </w:tcPr>
          <w:p>
            <w:pPr>
              <w:spacing w:after="0"/>
              <w:rPr>
                <w:sz w:val="13"/>
                <w:szCs w:val="13"/>
                <w:color w:val="auto"/>
              </w:rPr>
            </w:pPr>
          </w:p>
        </w:tc>
        <w:tc>
          <w:tcPr>
            <w:tcW w:w="1220" w:type="dxa"/>
            <w:vAlign w:val="bottom"/>
          </w:tcPr>
          <w:p>
            <w:pPr>
              <w:spacing w:after="0"/>
              <w:rPr>
                <w:sz w:val="13"/>
                <w:szCs w:val="13"/>
                <w:color w:val="auto"/>
              </w:rPr>
            </w:pPr>
          </w:p>
        </w:tc>
      </w:tr>
      <w:tr>
        <w:trPr>
          <w:trHeight w:val="178"/>
        </w:trPr>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Services</w:t>
            </w:r>
          </w:p>
        </w:tc>
        <w:tc>
          <w:tcPr>
            <w:tcW w:w="200" w:type="dxa"/>
            <w:vAlign w:val="bottom"/>
          </w:tcPr>
          <w:p>
            <w:pPr>
              <w:spacing w:after="0"/>
              <w:rPr>
                <w:sz w:val="15"/>
                <w:szCs w:val="15"/>
                <w:color w:val="auto"/>
              </w:rPr>
            </w:pPr>
          </w:p>
        </w:tc>
        <w:tc>
          <w:tcPr>
            <w:tcW w:w="780" w:type="dxa"/>
            <w:vAlign w:val="bottom"/>
          </w:tcPr>
          <w:p>
            <w:pPr>
              <w:jc w:val="center"/>
              <w:ind w:left="232"/>
              <w:spacing w:after="0"/>
              <w:rPr>
                <w:sz w:val="20"/>
                <w:szCs w:val="20"/>
                <w:color w:val="auto"/>
              </w:rPr>
            </w:pPr>
            <w:r>
              <w:rPr>
                <w:rFonts w:ascii="Times New Roman" w:cs="Times New Roman" w:eastAsia="Times New Roman" w:hAnsi="Times New Roman"/>
                <w:sz w:val="14"/>
                <w:szCs w:val="14"/>
                <w:b w:val="1"/>
                <w:bCs w:val="1"/>
                <w:color w:val="auto"/>
                <w:w w:val="97"/>
              </w:rPr>
              <w:t>Services</w:t>
            </w: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Services</w:t>
            </w:r>
          </w:p>
        </w:tc>
        <w:tc>
          <w:tcPr>
            <w:tcW w:w="200" w:type="dxa"/>
            <w:vAlign w:val="bottom"/>
          </w:tcPr>
          <w:p>
            <w:pPr>
              <w:spacing w:after="0"/>
              <w:rPr>
                <w:sz w:val="15"/>
                <w:szCs w:val="15"/>
                <w:color w:val="auto"/>
              </w:rPr>
            </w:pPr>
          </w:p>
        </w:tc>
        <w:tc>
          <w:tcPr>
            <w:tcW w:w="1220" w:type="dxa"/>
            <w:vAlign w:val="bottom"/>
          </w:tcPr>
          <w:p>
            <w:pPr>
              <w:ind w:left="46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05"/>
        </w:trPr>
        <w:tc>
          <w:tcPr>
            <w:tcW w:w="13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r>
      <w:tr>
        <w:trPr>
          <w:trHeight w:val="266"/>
        </w:trPr>
        <w:tc>
          <w:tcPr>
            <w:tcW w:w="1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6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23"/>
                <w:szCs w:val="23"/>
                <w:color w:val="auto"/>
              </w:rPr>
            </w:pPr>
          </w:p>
        </w:tc>
        <w:tc>
          <w:tcPr>
            <w:tcW w:w="122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4136390</wp:posOffset>
            </wp:positionH>
            <wp:positionV relativeFrom="paragraph">
              <wp:posOffset>-183515</wp:posOffset>
            </wp:positionV>
            <wp:extent cx="12700" cy="8890"/>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3321685</wp:posOffset>
            </wp:positionH>
            <wp:positionV relativeFrom="paragraph">
              <wp:posOffset>-183515</wp:posOffset>
            </wp:positionV>
            <wp:extent cx="12700" cy="8890"/>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-183515</wp:posOffset>
            </wp:positionV>
            <wp:extent cx="12700" cy="8890"/>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4273550</wp:posOffset>
            </wp:positionH>
            <wp:positionV relativeFrom="paragraph">
              <wp:posOffset>-183515</wp:posOffset>
            </wp:positionV>
            <wp:extent cx="12700" cy="8890"/>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-183515</wp:posOffset>
            </wp:positionV>
            <wp:extent cx="12700" cy="8890"/>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-183515</wp:posOffset>
            </wp:positionV>
            <wp:extent cx="12700" cy="8890"/>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6734810</wp:posOffset>
            </wp:positionH>
            <wp:positionV relativeFrom="paragraph">
              <wp:posOffset>-183515</wp:posOffset>
            </wp:positionV>
            <wp:extent cx="12700" cy="8890"/>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-183515</wp:posOffset>
            </wp:positionV>
            <wp:extent cx="12700" cy="8890"/>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0780"/>
          </w:cols>
          <w:pgMar w:left="240" w:top="217" w:right="879" w:bottom="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1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 net</w:t>
            </w:r>
          </w:p>
        </w:tc>
        <w:tc>
          <w:tcPr>
            <w:tcW w:w="400" w:type="dxa"/>
            <w:vAlign w:val="bottom"/>
            <w:shd w:val="clear" w:color="auto" w:fill="CCEEFF"/>
          </w:tcPr>
          <w:p>
            <w:pPr>
              <w:jc w:val="right"/>
              <w:ind w:right="238"/>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258,441</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18"/>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156,670</w:t>
            </w:r>
          </w:p>
        </w:tc>
        <w:tc>
          <w:tcPr>
            <w:tcW w:w="5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415,111</w:t>
            </w:r>
          </w:p>
        </w:tc>
        <w:tc>
          <w:tcPr>
            <w:tcW w:w="120" w:type="dxa"/>
            <w:vAlign w:val="bottom"/>
            <w:shd w:val="clear" w:color="auto" w:fill="CCEEFF"/>
          </w:tcPr>
          <w:p>
            <w:pPr>
              <w:spacing w:after="0"/>
              <w:rPr>
                <w:sz w:val="18"/>
                <w:szCs w:val="18"/>
                <w:color w:val="auto"/>
              </w:rPr>
            </w:pPr>
          </w:p>
        </w:tc>
      </w:tr>
      <w:tr>
        <w:trPr>
          <w:trHeight w:val="236"/>
        </w:trPr>
        <w:tc>
          <w:tcPr>
            <w:tcW w:w="5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Goodwill acquired during year</w:t>
            </w:r>
          </w:p>
        </w:tc>
        <w:tc>
          <w:tcPr>
            <w:tcW w:w="4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26,196</w:t>
            </w: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26,196</w:t>
            </w:r>
          </w:p>
        </w:tc>
        <w:tc>
          <w:tcPr>
            <w:tcW w:w="120" w:type="dxa"/>
            <w:vAlign w:val="bottom"/>
          </w:tcPr>
          <w:p>
            <w:pPr>
              <w:spacing w:after="0"/>
              <w:rPr>
                <w:sz w:val="20"/>
                <w:szCs w:val="20"/>
                <w:color w:val="auto"/>
              </w:rPr>
            </w:pPr>
          </w:p>
        </w:tc>
      </w:tr>
      <w:tr>
        <w:trPr>
          <w:trHeight w:val="250"/>
        </w:trPr>
        <w:tc>
          <w:tcPr>
            <w:tcW w:w="5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primarily final purchase price adjustments</w:t>
            </w:r>
          </w:p>
        </w:tc>
        <w:tc>
          <w:tcPr>
            <w:tcW w:w="4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(2,699)</w:t>
            </w:r>
          </w:p>
        </w:tc>
        <w:tc>
          <w:tcPr>
            <w:tcW w:w="480" w:type="dxa"/>
            <w:vAlign w:val="bottom"/>
            <w:shd w:val="clear" w:color="auto" w:fill="CCEEFF"/>
          </w:tcPr>
          <w:p>
            <w:pPr>
              <w:spacing w:after="0"/>
              <w:rPr>
                <w:sz w:val="21"/>
                <w:szCs w:val="21"/>
                <w:color w:val="auto"/>
              </w:rPr>
            </w:pPr>
          </w:p>
        </w:tc>
        <w:tc>
          <w:tcPr>
            <w:tcW w:w="6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(2,699)</w:t>
            </w:r>
          </w:p>
        </w:tc>
      </w:tr>
      <w:tr>
        <w:trPr>
          <w:trHeight w:val="118"/>
        </w:trPr>
        <w:tc>
          <w:tcPr>
            <w:tcW w:w="5240" w:type="dxa"/>
            <w:vAlign w:val="bottom"/>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r>
      <w:tr>
        <w:trPr>
          <w:trHeight w:val="319"/>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Ending balance, net</w:t>
            </w:r>
          </w:p>
        </w:tc>
        <w:tc>
          <w:tcPr>
            <w:tcW w:w="400" w:type="dxa"/>
            <w:vAlign w:val="bottom"/>
          </w:tcPr>
          <w:p>
            <w:pPr>
              <w:jc w:val="right"/>
              <w:ind w:right="238"/>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281,938</w:t>
            </w:r>
          </w:p>
        </w:tc>
        <w:tc>
          <w:tcPr>
            <w:tcW w:w="200" w:type="dxa"/>
            <w:vAlign w:val="bottom"/>
          </w:tcPr>
          <w:p>
            <w:pPr>
              <w:spacing w:after="0"/>
              <w:rPr>
                <w:sz w:val="24"/>
                <w:szCs w:val="24"/>
                <w:color w:val="auto"/>
              </w:rPr>
            </w:pPr>
          </w:p>
        </w:tc>
        <w:tc>
          <w:tcPr>
            <w:tcW w:w="480" w:type="dxa"/>
            <w:vAlign w:val="bottom"/>
          </w:tcPr>
          <w:p>
            <w:pPr>
              <w:jc w:val="right"/>
              <w:ind w:right="318"/>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156,670</w:t>
            </w:r>
          </w:p>
        </w:tc>
        <w:tc>
          <w:tcPr>
            <w:tcW w:w="5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438,608</w:t>
            </w:r>
          </w:p>
        </w:tc>
        <w:tc>
          <w:tcPr>
            <w:tcW w:w="120" w:type="dxa"/>
            <w:vAlign w:val="bottom"/>
          </w:tcPr>
          <w:p>
            <w:pPr>
              <w:spacing w:after="0"/>
              <w:rPr>
                <w:sz w:val="24"/>
                <w:szCs w:val="24"/>
                <w:color w:val="auto"/>
              </w:rPr>
            </w:pPr>
          </w:p>
        </w:tc>
      </w:tr>
      <w:tr>
        <w:trPr>
          <w:trHeight w:val="107"/>
        </w:trPr>
        <w:tc>
          <w:tcPr>
            <w:tcW w:w="5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61"/>
        </w:trPr>
        <w:tc>
          <w:tcPr>
            <w:tcW w:w="524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4136390</wp:posOffset>
            </wp:positionH>
            <wp:positionV relativeFrom="paragraph">
              <wp:posOffset>-323215</wp:posOffset>
            </wp:positionV>
            <wp:extent cx="12700" cy="8890"/>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3321685</wp:posOffset>
            </wp:positionH>
            <wp:positionV relativeFrom="paragraph">
              <wp:posOffset>-323215</wp:posOffset>
            </wp:positionV>
            <wp:extent cx="12700" cy="8890"/>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-323215</wp:posOffset>
            </wp:positionV>
            <wp:extent cx="12700" cy="8890"/>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4273550</wp:posOffset>
            </wp:positionH>
            <wp:positionV relativeFrom="paragraph">
              <wp:posOffset>-323215</wp:posOffset>
            </wp:positionV>
            <wp:extent cx="12700" cy="8890"/>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-323215</wp:posOffset>
            </wp:positionV>
            <wp:extent cx="12700" cy="8890"/>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-323215</wp:posOffset>
            </wp:positionV>
            <wp:extent cx="12700" cy="8890"/>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6734810</wp:posOffset>
            </wp:positionH>
            <wp:positionV relativeFrom="paragraph">
              <wp:posOffset>-323215</wp:posOffset>
            </wp:positionV>
            <wp:extent cx="12700" cy="8890"/>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-323215</wp:posOffset>
            </wp:positionV>
            <wp:extent cx="12700" cy="8890"/>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7" w:lineRule="exact"/>
        <w:rPr>
          <w:sz w:val="20"/>
          <w:szCs w:val="20"/>
          <w:color w:val="auto"/>
        </w:rPr>
      </w:pPr>
    </w:p>
    <w:p>
      <w:pPr>
        <w:ind w:firstLine="351"/>
        <w:spacing w:after="0" w:line="254" w:lineRule="auto"/>
        <w:rPr>
          <w:sz w:val="20"/>
          <w:szCs w:val="20"/>
          <w:color w:val="auto"/>
        </w:rPr>
      </w:pPr>
      <w:r>
        <w:rPr>
          <w:rFonts w:ascii="Times New Roman" w:cs="Times New Roman" w:eastAsia="Times New Roman" w:hAnsi="Times New Roman"/>
          <w:sz w:val="18"/>
          <w:szCs w:val="18"/>
          <w:color w:val="auto"/>
        </w:rPr>
        <w:t>On January 1, 2002, the Company adopted SFAS No. 142, Goodwill and Other Intangible Assets. SFAS No. 142 requires that goodwill and intangible assets with indefinite useful lives no longer be amortized, but instead be tested for impairment at least annually. In accordance with the standard, the Company performed a fair value based impairment test on its goodwill and determined that the fair value exceeded the recorded value as of January 1, 2002. SFAS No. 142 also provides that an entity may select a subsequent date, after adoption of the standard, to serve as the annual review date. The Company has selected July 31 as its annual assessment date. Accordingly, the Company completed an additional impairment test for goodwill on July 31, 2002 and determined that no impairment exists. No further testing of goodwill impairments will be performed until July 31, 2003, unless circumstances exist that indicate that an impairment may have occurred.</w:t>
      </w:r>
    </w:p>
    <w:p>
      <w:pPr>
        <w:spacing w:after="0" w:line="19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18"/>
          <w:szCs w:val="18"/>
          <w:color w:val="auto"/>
        </w:rPr>
        <w:t>Pro forma net income and net income per share for the two years ended December 31, 2001, adjusted to eliminate historical amortization of goodwill, net of tax, and comparable amounts for the year ended December 31, 2002 are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6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320" w:type="dxa"/>
            <w:vAlign w:val="bottom"/>
            <w:gridSpan w:val="5"/>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3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63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2000</w:t>
            </w:r>
          </w:p>
        </w:tc>
        <w:tc>
          <w:tcPr>
            <w:tcW w:w="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2001</w:t>
            </w:r>
          </w:p>
        </w:tc>
        <w:tc>
          <w:tcPr>
            <w:tcW w:w="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2002</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3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tcBorders>
              <w:bottom w:val="single" w:sz="8" w:color="808080"/>
            </w:tcBorders>
            <w:gridSpan w:val="2"/>
          </w:tcPr>
          <w:p>
            <w:pPr>
              <w:spacing w:after="0"/>
              <w:rPr>
                <w:sz w:val="9"/>
                <w:szCs w:val="9"/>
                <w:color w:val="auto"/>
              </w:rPr>
            </w:pPr>
          </w:p>
        </w:tc>
        <w:tc>
          <w:tcPr>
            <w:tcW w:w="180" w:type="dxa"/>
            <w:vAlign w:val="bottom"/>
          </w:tcPr>
          <w:p>
            <w:pPr>
              <w:spacing w:after="0"/>
              <w:rPr>
                <w:sz w:val="9"/>
                <w:szCs w:val="9"/>
                <w:color w:val="auto"/>
              </w:rPr>
            </w:pPr>
          </w:p>
        </w:tc>
        <w:tc>
          <w:tcPr>
            <w:tcW w:w="1040" w:type="dxa"/>
            <w:vAlign w:val="bottom"/>
            <w:tcBorders>
              <w:bottom w:val="single" w:sz="8" w:color="808080"/>
            </w:tcBorders>
            <w:gridSpan w:val="2"/>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63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460" w:type="dxa"/>
            <w:vAlign w:val="bottom"/>
            <w:gridSpan w:val="8"/>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(in thousands, except per share amounts)</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6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Reported income (loss) before extraordinary item, available to common stockholders</w:t>
            </w: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(28,523)</w:t>
            </w:r>
          </w:p>
        </w:tc>
        <w:tc>
          <w:tcPr>
            <w:tcW w:w="240" w:type="dxa"/>
            <w:vAlign w:val="bottom"/>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(10,857)</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Extraordinary item, net of tax</w:t>
            </w:r>
          </w:p>
        </w:tc>
        <w:tc>
          <w:tcPr>
            <w:tcW w:w="26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(615)</w:t>
            </w:r>
          </w:p>
        </w:tc>
        <w:tc>
          <w:tcPr>
            <w:tcW w:w="2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 amortization, net of tax</w:t>
            </w:r>
          </w:p>
        </w:tc>
        <w:tc>
          <w:tcPr>
            <w:tcW w:w="26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13,824</w:t>
            </w:r>
          </w:p>
        </w:tc>
        <w:tc>
          <w:tcPr>
            <w:tcW w:w="18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14,571</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18"/>
        </w:trPr>
        <w:tc>
          <w:tcPr>
            <w:tcW w:w="6320" w:type="dxa"/>
            <w:vAlign w:val="bottom"/>
            <w:gridSpan w:val="2"/>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6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Adjusted net income (loss) available to common stockholders</w:t>
            </w: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(14,699)</w:t>
            </w:r>
          </w:p>
        </w:tc>
        <w:tc>
          <w:tcPr>
            <w:tcW w:w="240" w:type="dxa"/>
            <w:vAlign w:val="bottom"/>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3,099</w:t>
            </w:r>
          </w:p>
        </w:tc>
        <w:tc>
          <w:tcPr>
            <w:tcW w:w="180" w:type="dxa"/>
            <w:vAlign w:val="bottom"/>
          </w:tcPr>
          <w:p>
            <w:pPr>
              <w:spacing w:after="0"/>
              <w:rPr>
                <w:sz w:val="24"/>
                <w:szCs w:val="24"/>
                <w:color w:val="auto"/>
              </w:rPr>
            </w:pP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26,203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30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860" w:type="dxa"/>
            <w:vAlign w:val="bottom"/>
            <w:tcBorders>
              <w:right w:val="single" w:sz="8" w:color="808080"/>
            </w:tcBorders>
            <w:shd w:val="clear" w:color="auto" w:fill="808080"/>
          </w:tcPr>
          <w:p>
            <w:pPr>
              <w:spacing w:after="0"/>
              <w:rPr>
                <w:sz w:val="5"/>
                <w:szCs w:val="5"/>
                <w:color w:val="auto"/>
              </w:rPr>
            </w:pPr>
          </w:p>
        </w:tc>
        <w:tc>
          <w:tcPr>
            <w:tcW w:w="180" w:type="dxa"/>
            <w:vAlign w:val="bottom"/>
            <w:tcBorders>
              <w:right w:val="single" w:sz="8" w:color="808080"/>
            </w:tcBorders>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Basic net income (loss) per share:</w:t>
            </w:r>
          </w:p>
        </w:tc>
        <w:tc>
          <w:tcPr>
            <w:tcW w:w="26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00" w:type="dxa"/>
            <w:vAlign w:val="bottom"/>
          </w:tcPr>
          <w:p>
            <w:pPr>
              <w:ind w:left="180"/>
              <w:spacing w:after="0" w:line="201" w:lineRule="exact"/>
              <w:rPr>
                <w:sz w:val="20"/>
                <w:szCs w:val="20"/>
                <w:color w:val="auto"/>
              </w:rPr>
            </w:pPr>
            <w:r>
              <w:rPr>
                <w:rFonts w:ascii="Times New Roman" w:cs="Times New Roman" w:eastAsia="Times New Roman" w:hAnsi="Times New Roman"/>
                <w:sz w:val="18"/>
                <w:szCs w:val="18"/>
                <w:color w:val="auto"/>
              </w:rPr>
              <w:t>Reported income (loss) before extraordinary item, available to common</w:t>
            </w: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stockholders</w:t>
            </w: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(0.60)</w:t>
            </w:r>
          </w:p>
        </w:tc>
        <w:tc>
          <w:tcPr>
            <w:tcW w:w="24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(0.17)</w:t>
            </w: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Extraordinary item, net of tax</w:t>
            </w:r>
          </w:p>
        </w:tc>
        <w:tc>
          <w:tcPr>
            <w:tcW w:w="260" w:type="dxa"/>
            <w:vAlign w:val="bottom"/>
            <w:shd w:val="clear" w:color="auto" w:fill="CCEEFF"/>
          </w:tcPr>
          <w:p>
            <w:pPr>
              <w:spacing w:after="0"/>
              <w:rPr>
                <w:sz w:val="21"/>
                <w:szCs w:val="21"/>
                <w:color w:val="auto"/>
              </w:rPr>
            </w:pPr>
          </w:p>
        </w:tc>
        <w:tc>
          <w:tcPr>
            <w:tcW w:w="10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(0.01)</w:t>
            </w:r>
          </w:p>
        </w:tc>
        <w:tc>
          <w:tcPr>
            <w:tcW w:w="2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Goodwill amortization, net of tax</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630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Adjusted net income (loss) available to common stockholders</w:t>
            </w: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(0.31)</w:t>
            </w:r>
          </w:p>
        </w:tc>
        <w:tc>
          <w:tcPr>
            <w:tcW w:w="240" w:type="dxa"/>
            <w:vAlign w:val="bottom"/>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05"/>
        </w:trPr>
        <w:tc>
          <w:tcPr>
            <w:tcW w:w="63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Diluted net income(loss) per share:</w:t>
            </w:r>
          </w:p>
        </w:tc>
        <w:tc>
          <w:tcPr>
            <w:tcW w:w="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6320" w:type="dxa"/>
            <w:vAlign w:val="bottom"/>
            <w:gridSpan w:val="2"/>
            <w:vMerge w:val="continue"/>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860" w:type="dxa"/>
            <w:vAlign w:val="bottom"/>
            <w:tcBorders>
              <w:right w:val="single" w:sz="8" w:color="808080"/>
            </w:tcBorders>
            <w:shd w:val="clear" w:color="auto" w:fill="808080"/>
          </w:tcPr>
          <w:p>
            <w:pPr>
              <w:spacing w:after="0"/>
              <w:rPr>
                <w:sz w:val="5"/>
                <w:szCs w:val="5"/>
                <w:color w:val="auto"/>
              </w:rPr>
            </w:pPr>
          </w:p>
        </w:tc>
        <w:tc>
          <w:tcPr>
            <w:tcW w:w="180" w:type="dxa"/>
            <w:vAlign w:val="bottom"/>
            <w:tcBorders>
              <w:right w:val="single" w:sz="8" w:color="808080"/>
            </w:tcBorders>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0"/>
        </w:trPr>
        <w:tc>
          <w:tcPr>
            <w:tcW w:w="632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00" w:type="dxa"/>
            <w:vAlign w:val="bottom"/>
            <w:shd w:val="clear" w:color="auto" w:fill="CCEEFF"/>
          </w:tcPr>
          <w:p>
            <w:pPr>
              <w:ind w:left="180"/>
              <w:spacing w:after="0" w:line="203" w:lineRule="exact"/>
              <w:rPr>
                <w:sz w:val="20"/>
                <w:szCs w:val="20"/>
                <w:color w:val="auto"/>
              </w:rPr>
            </w:pPr>
            <w:r>
              <w:rPr>
                <w:rFonts w:ascii="Times New Roman" w:cs="Times New Roman" w:eastAsia="Times New Roman" w:hAnsi="Times New Roman"/>
                <w:sz w:val="18"/>
                <w:szCs w:val="18"/>
                <w:color w:val="auto"/>
              </w:rPr>
              <w:t>Reported income (loss) before extraordinary item, available to common</w:t>
            </w:r>
          </w:p>
        </w:tc>
        <w:tc>
          <w:tcPr>
            <w:tcW w:w="260" w:type="dxa"/>
            <w:vAlign w:val="bottom"/>
            <w:shd w:val="clear" w:color="auto" w:fill="CCEEFF"/>
          </w:tcPr>
          <w:p>
            <w:pPr>
              <w:spacing w:after="0"/>
              <w:rPr>
                <w:sz w:val="17"/>
                <w:szCs w:val="17"/>
                <w:color w:val="auto"/>
              </w:rPr>
            </w:pPr>
          </w:p>
        </w:tc>
        <w:tc>
          <w:tcPr>
            <w:tcW w:w="860" w:type="dxa"/>
            <w:vAlign w:val="bottom"/>
            <w:tcBorders>
              <w:right w:val="single" w:sz="8" w:color="CCEEFF"/>
            </w:tcBorders>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stockholders</w:t>
            </w: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(0.60)</w:t>
            </w:r>
          </w:p>
        </w:tc>
        <w:tc>
          <w:tcPr>
            <w:tcW w:w="2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(0.17)</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Extraordinary item, net of tax</w:t>
            </w:r>
          </w:p>
        </w:tc>
        <w:tc>
          <w:tcPr>
            <w:tcW w:w="260" w:type="dxa"/>
            <w:vAlign w:val="bottom"/>
          </w:tcPr>
          <w:p>
            <w:pPr>
              <w:spacing w:after="0"/>
              <w:rPr>
                <w:sz w:val="21"/>
                <w:szCs w:val="21"/>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(0.01)</w:t>
            </w:r>
          </w:p>
        </w:tc>
        <w:tc>
          <w:tcPr>
            <w:tcW w:w="240" w:type="dxa"/>
            <w:vAlign w:val="bottom"/>
          </w:tcPr>
          <w:p>
            <w:pPr>
              <w:spacing w:after="0"/>
              <w:rPr>
                <w:sz w:val="21"/>
                <w:szCs w:val="21"/>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Goodwill amortization, net of tax</w:t>
            </w:r>
          </w:p>
        </w:tc>
        <w:tc>
          <w:tcPr>
            <w:tcW w:w="260" w:type="dxa"/>
            <w:vAlign w:val="bottom"/>
            <w:shd w:val="clear" w:color="auto" w:fill="CCEEFF"/>
          </w:tcPr>
          <w:p>
            <w:pPr>
              <w:spacing w:after="0"/>
              <w:rPr>
                <w:sz w:val="21"/>
                <w:szCs w:val="21"/>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180" w:type="dxa"/>
            <w:vAlign w:val="bottom"/>
            <w:tcBorders>
              <w:right w:val="single" w:sz="8" w:color="CCEEFF"/>
            </w:tcBorders>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30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6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Adjusted net income (loss) available to common stockholders</w:t>
            </w: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(0.31)</w:t>
            </w:r>
          </w:p>
        </w:tc>
        <w:tc>
          <w:tcPr>
            <w:tcW w:w="240" w:type="dxa"/>
            <w:vAlign w:val="bottom"/>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80" w:type="dxa"/>
            <w:vAlign w:val="bottom"/>
          </w:tcPr>
          <w:p>
            <w:pPr>
              <w:spacing w:after="0"/>
              <w:rPr>
                <w:sz w:val="24"/>
                <w:szCs w:val="24"/>
                <w:color w:val="auto"/>
              </w:rPr>
            </w:pP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30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860" w:type="dxa"/>
            <w:vAlign w:val="bottom"/>
            <w:tcBorders>
              <w:right w:val="single" w:sz="8" w:color="808080"/>
            </w:tcBorders>
            <w:shd w:val="clear" w:color="auto" w:fill="808080"/>
          </w:tcPr>
          <w:p>
            <w:pPr>
              <w:spacing w:after="0"/>
              <w:rPr>
                <w:sz w:val="5"/>
                <w:szCs w:val="5"/>
                <w:color w:val="auto"/>
              </w:rPr>
            </w:pPr>
          </w:p>
        </w:tc>
        <w:tc>
          <w:tcPr>
            <w:tcW w:w="180" w:type="dxa"/>
            <w:vAlign w:val="bottom"/>
            <w:tcBorders>
              <w:right w:val="single" w:sz="8" w:color="808080"/>
            </w:tcBorders>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 average shares:</w:t>
            </w:r>
          </w:p>
        </w:tc>
        <w:tc>
          <w:tcPr>
            <w:tcW w:w="26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47,538</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64,555</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74,422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shd w:val="clear" w:color="auto" w:fill="CCEEFF"/>
          </w:tcPr>
          <w:p>
            <w:pPr>
              <w:spacing w:after="0"/>
              <w:rPr>
                <w:sz w:val="21"/>
                <w:szCs w:val="21"/>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47,538</w:t>
            </w:r>
          </w:p>
        </w:tc>
        <w:tc>
          <w:tcPr>
            <w:tcW w:w="180" w:type="dxa"/>
            <w:vAlign w:val="bottom"/>
            <w:tcBorders>
              <w:right w:val="single" w:sz="8" w:color="CCEEFF"/>
            </w:tcBorders>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68,233</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76,696</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6300" w:type="dxa"/>
            <w:vAlign w:val="bottom"/>
          </w:tcPr>
          <w:p>
            <w:pPr>
              <w:ind w:left="5520"/>
              <w:spacing w:after="0"/>
              <w:rPr>
                <w:sz w:val="20"/>
                <w:szCs w:val="20"/>
                <w:color w:val="auto"/>
              </w:rPr>
            </w:pPr>
            <w:r>
              <w:rPr>
                <w:rFonts w:ascii="Times New Roman" w:cs="Times New Roman" w:eastAsia="Times New Roman" w:hAnsi="Times New Roman"/>
                <w:sz w:val="18"/>
                <w:szCs w:val="18"/>
                <w:color w:val="auto"/>
              </w:rPr>
              <w:t>F-19</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6297930</wp:posOffset>
            </wp:positionH>
            <wp:positionV relativeFrom="paragraph">
              <wp:posOffset>-4573270</wp:posOffset>
            </wp:positionV>
            <wp:extent cx="12700" cy="8890"/>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4016375</wp:posOffset>
            </wp:positionH>
            <wp:positionV relativeFrom="paragraph">
              <wp:posOffset>-4573270</wp:posOffset>
            </wp:positionV>
            <wp:extent cx="12700" cy="8890"/>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-4324350</wp:posOffset>
            </wp:positionV>
            <wp:extent cx="12700" cy="8890"/>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4016375</wp:posOffset>
            </wp:positionH>
            <wp:positionV relativeFrom="paragraph">
              <wp:posOffset>-4324350</wp:posOffset>
            </wp:positionV>
            <wp:extent cx="12700" cy="8890"/>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-4324350</wp:posOffset>
            </wp:positionV>
            <wp:extent cx="12700" cy="8890"/>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-4324350</wp:posOffset>
            </wp:positionV>
            <wp:extent cx="12700" cy="8890"/>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-4324350</wp:posOffset>
            </wp:positionV>
            <wp:extent cx="12700" cy="8890"/>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-4324350</wp:posOffset>
            </wp:positionV>
            <wp:extent cx="12700" cy="8890"/>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-3509645</wp:posOffset>
            </wp:positionV>
            <wp:extent cx="12700" cy="8890"/>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4016375</wp:posOffset>
            </wp:positionH>
            <wp:positionV relativeFrom="paragraph">
              <wp:posOffset>-3509645</wp:posOffset>
            </wp:positionV>
            <wp:extent cx="12700" cy="8890"/>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-3509645</wp:posOffset>
            </wp:positionV>
            <wp:extent cx="12700" cy="8890"/>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-3509645</wp:posOffset>
            </wp:positionV>
            <wp:extent cx="12700" cy="8890"/>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-3509645</wp:posOffset>
            </wp:positionV>
            <wp:extent cx="12700" cy="8890"/>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-3509645</wp:posOffset>
            </wp:positionV>
            <wp:extent cx="12700" cy="8890"/>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-2326640</wp:posOffset>
            </wp:positionV>
            <wp:extent cx="12700" cy="8890"/>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4016375</wp:posOffset>
            </wp:positionH>
            <wp:positionV relativeFrom="paragraph">
              <wp:posOffset>-2326640</wp:posOffset>
            </wp:positionV>
            <wp:extent cx="12700" cy="8890"/>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-2326640</wp:posOffset>
            </wp:positionV>
            <wp:extent cx="12700" cy="8890"/>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-2326640</wp:posOffset>
            </wp:positionV>
            <wp:extent cx="12700" cy="8890"/>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-2326640</wp:posOffset>
            </wp:positionV>
            <wp:extent cx="12700" cy="8890"/>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-2326640</wp:posOffset>
            </wp:positionV>
            <wp:extent cx="12700" cy="8890"/>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-1125855</wp:posOffset>
            </wp:positionV>
            <wp:extent cx="12700" cy="8890"/>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4016375</wp:posOffset>
            </wp:positionH>
            <wp:positionV relativeFrom="paragraph">
              <wp:posOffset>-1125855</wp:posOffset>
            </wp:positionV>
            <wp:extent cx="12700" cy="8890"/>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-1125855</wp:posOffset>
            </wp:positionV>
            <wp:extent cx="12700" cy="8890"/>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-1125855</wp:posOffset>
            </wp:positionV>
            <wp:extent cx="12700" cy="8890"/>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-1125855</wp:posOffset>
            </wp:positionV>
            <wp:extent cx="12700" cy="8890"/>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-1125855</wp:posOffset>
            </wp:positionV>
            <wp:extent cx="12700" cy="8890"/>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136525</wp:posOffset>
            </wp:positionV>
            <wp:extent cx="7250430" cy="21590"/>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8.</w:t>
      </w:r>
      <w:r>
        <w:rPr>
          <w:sz w:val="20"/>
          <w:szCs w:val="20"/>
          <w:color w:val="auto"/>
        </w:rPr>
        <w:tab/>
      </w:r>
      <w:r>
        <w:rPr>
          <w:rFonts w:ascii="Times New Roman" w:cs="Times New Roman" w:eastAsia="Times New Roman" w:hAnsi="Times New Roman"/>
          <w:sz w:val="16"/>
          <w:szCs w:val="16"/>
          <w:b w:val="1"/>
          <w:bCs w:val="1"/>
          <w:color w:val="auto"/>
        </w:rPr>
        <w:t>DEFERRED REVENUE</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reconciliation of deferred revenue redemption for the AIR MILES Reward Program is as follows:</w:t>
      </w:r>
    </w:p>
    <w:p>
      <w:pPr>
        <w:spacing w:after="0" w:line="223" w:lineRule="exact"/>
        <w:rPr>
          <w:sz w:val="20"/>
          <w:szCs w:val="20"/>
          <w:color w:val="auto"/>
        </w:rPr>
      </w:pPr>
    </w:p>
    <w:p>
      <w:pPr>
        <w:jc w:val="center"/>
        <w:ind w:left="5240"/>
        <w:spacing w:after="0"/>
        <w:rPr>
          <w:sz w:val="20"/>
          <w:szCs w:val="20"/>
          <w:color w:val="auto"/>
        </w:rPr>
      </w:pPr>
      <w:r>
        <w:rPr>
          <w:rFonts w:ascii="Times New Roman" w:cs="Times New Roman" w:eastAsia="Times New Roman" w:hAnsi="Times New Roman"/>
          <w:sz w:val="14"/>
          <w:szCs w:val="14"/>
          <w:b w:val="1"/>
          <w:bCs w:val="1"/>
          <w:color w:val="auto"/>
        </w:rPr>
        <w:t>Year Ended</w:t>
      </w:r>
    </w:p>
    <w:p>
      <w:pPr>
        <w:spacing w:after="0" w:line="5" w:lineRule="exact"/>
        <w:rPr>
          <w:sz w:val="20"/>
          <w:szCs w:val="20"/>
          <w:color w:val="auto"/>
        </w:rPr>
      </w:pPr>
    </w:p>
    <w:p>
      <w:pPr>
        <w:jc w:val="center"/>
        <w:ind w:left="524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58420</wp:posOffset>
            </wp:positionV>
            <wp:extent cx="1607820" cy="21590"/>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1607820" cy="21590"/>
                    </a:xfrm>
                    <a:prstGeom prst="rect">
                      <a:avLst/>
                    </a:prstGeom>
                    <a:noFill/>
                  </pic:spPr>
                </pic:pic>
              </a:graphicData>
            </a:graphic>
          </wp:anchor>
        </w:drawing>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456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2001</w:t>
            </w: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2002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560" w:type="dxa"/>
            <w:vAlign w:val="bottom"/>
          </w:tcPr>
          <w:p>
            <w:pPr>
              <w:spacing w:after="0"/>
              <w:rPr>
                <w:sz w:val="9"/>
                <w:szCs w:val="9"/>
                <w:color w:val="auto"/>
              </w:rPr>
            </w:pPr>
          </w:p>
        </w:tc>
        <w:tc>
          <w:tcPr>
            <w:tcW w:w="25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4560" w:type="dxa"/>
            <w:vAlign w:val="bottom"/>
          </w:tcPr>
          <w:p>
            <w:pPr>
              <w:spacing w:after="0"/>
              <w:rPr>
                <w:sz w:val="23"/>
                <w:szCs w:val="23"/>
                <w:color w:val="auto"/>
              </w:rPr>
            </w:pPr>
          </w:p>
        </w:tc>
        <w:tc>
          <w:tcPr>
            <w:tcW w:w="25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456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 Revenue—Service</w:t>
            </w:r>
          </w:p>
        </w:tc>
        <w:tc>
          <w:tcPr>
            <w:tcW w:w="2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Beginning balance</w:t>
            </w:r>
          </w:p>
        </w:tc>
        <w:tc>
          <w:tcPr>
            <w:tcW w:w="2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88,931</w:t>
            </w:r>
          </w:p>
        </w:tc>
        <w:tc>
          <w:tcPr>
            <w:tcW w:w="380" w:type="dxa"/>
            <w:vAlign w:val="bottom"/>
          </w:tcPr>
          <w:p>
            <w:pPr>
              <w:jc w:val="right"/>
              <w:ind w:right="218"/>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98,077</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proceeds</w:t>
            </w:r>
          </w:p>
        </w:tc>
        <w:tc>
          <w:tcPr>
            <w:tcW w:w="25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58,056</w:t>
            </w:r>
          </w:p>
        </w:tc>
        <w:tc>
          <w:tcPr>
            <w:tcW w:w="38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61,129</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Revenue recognized</w:t>
            </w:r>
          </w:p>
        </w:tc>
        <w:tc>
          <w:tcPr>
            <w:tcW w:w="2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(48,314)</w:t>
            </w:r>
          </w:p>
        </w:tc>
        <w:tc>
          <w:tcPr>
            <w:tcW w:w="38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(53,513)</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25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(596)</w:t>
            </w:r>
          </w:p>
        </w:tc>
        <w:tc>
          <w:tcPr>
            <w:tcW w:w="38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811</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56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5217160</wp:posOffset>
            </wp:positionH>
            <wp:positionV relativeFrom="paragraph">
              <wp:posOffset>-1172210</wp:posOffset>
            </wp:positionV>
            <wp:extent cx="12700" cy="8890"/>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-1172210</wp:posOffset>
            </wp:positionV>
            <wp:extent cx="12700" cy="8890"/>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-1172210</wp:posOffset>
            </wp:positionV>
            <wp:extent cx="12700" cy="8890"/>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-1172210</wp:posOffset>
            </wp:positionV>
            <wp:extent cx="12700" cy="8890"/>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-14605</wp:posOffset>
            </wp:positionV>
            <wp:extent cx="12700" cy="8890"/>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-14605</wp:posOffset>
            </wp:positionV>
            <wp:extent cx="12700" cy="8890"/>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-14605</wp:posOffset>
            </wp:positionV>
            <wp:extent cx="12700" cy="8890"/>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-14605</wp:posOffset>
            </wp:positionV>
            <wp:extent cx="12700" cy="8890"/>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360"/>
          </w:cols>
          <w:pgMar w:left="240" w:top="383" w:right="299" w:bottom="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7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Ending balance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98,077</w:t>
            </w:r>
          </w:p>
        </w:tc>
        <w:tc>
          <w:tcPr>
            <w:tcW w:w="200" w:type="dxa"/>
            <w:vAlign w:val="bottom"/>
          </w:tcPr>
          <w:p>
            <w:pPr>
              <w:spacing w:after="0"/>
              <w:rPr>
                <w:sz w:val="19"/>
                <w:szCs w:val="19"/>
                <w:color w:val="auto"/>
              </w:rPr>
            </w:pPr>
          </w:p>
        </w:tc>
        <w:tc>
          <w:tcPr>
            <w:tcW w:w="180" w:type="dxa"/>
            <w:vAlign w:val="bottom"/>
          </w:tcPr>
          <w:p>
            <w:pPr>
              <w:jc w:val="right"/>
              <w:ind w:right="52"/>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106,504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0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040" w:type="dxa"/>
            <w:vAlign w:val="bottom"/>
          </w:tcPr>
          <w:p>
            <w:pPr>
              <w:spacing w:after="0"/>
              <w:rPr>
                <w:sz w:val="5"/>
                <w:szCs w:val="5"/>
                <w:color w:val="auto"/>
              </w:rPr>
            </w:pPr>
          </w:p>
        </w:tc>
        <w:tc>
          <w:tcPr>
            <w:tcW w:w="160" w:type="dxa"/>
            <w:vAlign w:val="bottom"/>
            <w:tcBorders>
              <w:left w:val="single" w:sz="8" w:color="808080"/>
            </w:tcBorders>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180" w:type="dxa"/>
            <w:vAlign w:val="bottom"/>
            <w:tcBorders>
              <w:right w:val="single" w:sz="8" w:color="808080"/>
            </w:tcBorders>
            <w:shd w:val="clear" w:color="auto" w:fill="808080"/>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0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 Revenue—Redemption</w:t>
            </w:r>
          </w:p>
        </w:tc>
        <w:tc>
          <w:tcPr>
            <w:tcW w:w="160" w:type="dxa"/>
            <w:vAlign w:val="bottom"/>
            <w:tcBorders>
              <w:lef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Beginning balance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201,255</w:t>
            </w:r>
          </w:p>
        </w:tc>
        <w:tc>
          <w:tcPr>
            <w:tcW w:w="200" w:type="dxa"/>
            <w:vAlign w:val="bottom"/>
          </w:tcPr>
          <w:p>
            <w:pPr>
              <w:spacing w:after="0"/>
              <w:rPr>
                <w:sz w:val="20"/>
                <w:szCs w:val="20"/>
                <w:color w:val="auto"/>
              </w:rPr>
            </w:pPr>
          </w:p>
        </w:tc>
        <w:tc>
          <w:tcPr>
            <w:tcW w:w="180" w:type="dxa"/>
            <w:vAlign w:val="bottom"/>
          </w:tcPr>
          <w:p>
            <w:pPr>
              <w:jc w:val="right"/>
              <w:ind w:right="52"/>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231,472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proceeds</w:t>
            </w:r>
          </w:p>
        </w:tc>
        <w:tc>
          <w:tcPr>
            <w:tcW w:w="160" w:type="dxa"/>
            <w:vAlign w:val="bottom"/>
            <w:tcBorders>
              <w:left w:val="single" w:sz="8" w:color="CCEEFF"/>
            </w:tcBorders>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106,394</w:t>
            </w:r>
          </w:p>
        </w:tc>
        <w:tc>
          <w:tcPr>
            <w:tcW w:w="200" w:type="dxa"/>
            <w:vAlign w:val="bottom"/>
            <w:tcBorders>
              <w:right w:val="single" w:sz="8" w:color="CCEEFF"/>
            </w:tcBorders>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107,390</w:t>
            </w:r>
          </w:p>
        </w:tc>
        <w:tc>
          <w:tcPr>
            <w:tcW w:w="100" w:type="dxa"/>
            <w:vAlign w:val="bottom"/>
            <w:shd w:val="clear" w:color="auto" w:fill="CCEEFF"/>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Revenue recognized</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gridSpan w:val="2"/>
          </w:tcPr>
          <w:p>
            <w:pPr>
              <w:jc w:val="right"/>
              <w:ind w:right="52"/>
              <w:spacing w:after="0"/>
              <w:rPr>
                <w:sz w:val="20"/>
                <w:szCs w:val="20"/>
                <w:color w:val="auto"/>
              </w:rPr>
            </w:pPr>
            <w:r>
              <w:rPr>
                <w:rFonts w:ascii="Times New Roman" w:cs="Times New Roman" w:eastAsia="Times New Roman" w:hAnsi="Times New Roman"/>
                <w:sz w:val="18"/>
                <w:szCs w:val="18"/>
                <w:color w:val="auto"/>
              </w:rPr>
              <w:t>(70,408)</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(89,092)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left w:val="single" w:sz="8" w:color="CCEEFF"/>
            </w:tcBorders>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60" w:type="dxa"/>
            <w:vAlign w:val="bottom"/>
            <w:tcBorders>
              <w:right w:val="single" w:sz="8" w:color="CCEEFF"/>
            </w:tcBorders>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(5,769)</w:t>
            </w:r>
          </w:p>
        </w:tc>
        <w:tc>
          <w:tcPr>
            <w:tcW w:w="180" w:type="dxa"/>
            <w:vAlign w:val="bottom"/>
            <w:tcBorders>
              <w:right w:val="single" w:sz="8" w:color="CCEEFF"/>
            </w:tcBorders>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3,790</w:t>
            </w:r>
          </w:p>
        </w:tc>
        <w:tc>
          <w:tcPr>
            <w:tcW w:w="100" w:type="dxa"/>
            <w:vAlign w:val="bottom"/>
            <w:shd w:val="clear" w:color="auto" w:fill="CCEEFF"/>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04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7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Ending balance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231,472</w:t>
            </w:r>
          </w:p>
        </w:tc>
        <w:tc>
          <w:tcPr>
            <w:tcW w:w="200" w:type="dxa"/>
            <w:vAlign w:val="bottom"/>
          </w:tcPr>
          <w:p>
            <w:pPr>
              <w:spacing w:after="0"/>
              <w:rPr>
                <w:sz w:val="24"/>
                <w:szCs w:val="24"/>
                <w:color w:val="auto"/>
              </w:rPr>
            </w:pPr>
          </w:p>
        </w:tc>
        <w:tc>
          <w:tcPr>
            <w:tcW w:w="180" w:type="dxa"/>
            <w:vAlign w:val="bottom"/>
          </w:tcPr>
          <w:p>
            <w:pPr>
              <w:jc w:val="right"/>
              <w:ind w:right="52"/>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253,560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70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9.  DEBT</w:t>
            </w: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1"/>
        </w:trPr>
        <w:tc>
          <w:tcPr>
            <w:tcW w:w="7060" w:type="dxa"/>
            <w:vAlign w:val="bottom"/>
            <w:gridSpan w:val="2"/>
            <w:vMerge w:val="continue"/>
          </w:tcPr>
          <w:p>
            <w:pPr>
              <w:spacing w:after="0"/>
              <w:rPr>
                <w:sz w:val="5"/>
                <w:szCs w:val="5"/>
                <w:color w:val="auto"/>
              </w:rPr>
            </w:pPr>
          </w:p>
        </w:tc>
        <w:tc>
          <w:tcPr>
            <w:tcW w:w="160" w:type="dxa"/>
            <w:vAlign w:val="bottom"/>
            <w:tcBorders>
              <w:left w:val="single" w:sz="8" w:color="808080"/>
            </w:tcBorders>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180" w:type="dxa"/>
            <w:vAlign w:val="bottom"/>
            <w:tcBorders>
              <w:right w:val="single" w:sz="8" w:color="808080"/>
            </w:tcBorders>
            <w:shd w:val="clear" w:color="auto" w:fill="808080"/>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706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Debt consists of the following:</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20" w:type="dxa"/>
            <w:vAlign w:val="bottom"/>
          </w:tcPr>
          <w:p>
            <w:pPr>
              <w:spacing w:after="0"/>
              <w:rPr>
                <w:sz w:val="24"/>
                <w:szCs w:val="24"/>
                <w:color w:val="auto"/>
              </w:rPr>
            </w:pPr>
          </w:p>
        </w:tc>
        <w:tc>
          <w:tcPr>
            <w:tcW w:w="7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00" w:type="dxa"/>
            <w:vAlign w:val="bottom"/>
            <w:gridSpan w:val="4"/>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70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60" w:type="dxa"/>
            <w:vAlign w:val="bottom"/>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2001</w:t>
            </w: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2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2002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gridSpan w:val="2"/>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70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500" w:type="dxa"/>
            <w:vAlign w:val="bottom"/>
            <w:gridSpan w:val="4"/>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7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gridSpan w:val="2"/>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gridSpan w:val="2"/>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Certificates of deposit</w:t>
            </w:r>
          </w:p>
        </w:tc>
        <w:tc>
          <w:tcPr>
            <w:tcW w:w="420" w:type="dxa"/>
            <w:vAlign w:val="bottom"/>
            <w:tcBorders>
              <w:lef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120,800</w:t>
            </w:r>
          </w:p>
        </w:tc>
        <w:tc>
          <w:tcPr>
            <w:tcW w:w="5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Subordinated notes</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102,000</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52,000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Credit facility</w:t>
            </w:r>
          </w:p>
        </w:tc>
        <w:tc>
          <w:tcPr>
            <w:tcW w:w="160" w:type="dxa"/>
            <w:vAlign w:val="bottom"/>
            <w:tcBorders>
              <w:lef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87,625</w:t>
            </w:r>
          </w:p>
        </w:tc>
        <w:tc>
          <w:tcPr>
            <w:tcW w:w="18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139,500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5,211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0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gridSpan w:val="2"/>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gridSpan w:val="2"/>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310,425</w:t>
            </w:r>
          </w:p>
        </w:tc>
        <w:tc>
          <w:tcPr>
            <w:tcW w:w="18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292,911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gridSpan w:val="3"/>
          </w:tcPr>
          <w:p>
            <w:pPr>
              <w:jc w:val="right"/>
              <w:ind w:right="72"/>
              <w:spacing w:after="0"/>
              <w:rPr>
                <w:sz w:val="20"/>
                <w:szCs w:val="20"/>
                <w:color w:val="auto"/>
              </w:rPr>
            </w:pPr>
            <w:r>
              <w:rPr>
                <w:rFonts w:ascii="Times New Roman" w:cs="Times New Roman" w:eastAsia="Times New Roman" w:hAnsi="Times New Roman"/>
                <w:sz w:val="18"/>
                <w:szCs w:val="18"/>
                <w:color w:val="auto"/>
              </w:rPr>
              <w:t>(111,325)</w:t>
            </w:r>
          </w:p>
        </w:tc>
        <w:tc>
          <w:tcPr>
            <w:tcW w:w="360" w:type="dxa"/>
            <w:vAlign w:val="bottom"/>
          </w:tcPr>
          <w:p>
            <w:pPr>
              <w:spacing w:after="0"/>
              <w:rPr>
                <w:sz w:val="19"/>
                <w:szCs w:val="19"/>
                <w:color w:val="auto"/>
              </w:rPr>
            </w:pPr>
          </w:p>
        </w:tc>
        <w:tc>
          <w:tcPr>
            <w:tcW w:w="96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(184,993)</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0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gridSpan w:val="2"/>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gridSpan w:val="2"/>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0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 term portion</w:t>
            </w:r>
          </w:p>
        </w:tc>
        <w:tc>
          <w:tcPr>
            <w:tcW w:w="420" w:type="dxa"/>
            <w:vAlign w:val="bottom"/>
            <w:tcBorders>
              <w:lef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199,100</w:t>
            </w:r>
          </w:p>
        </w:tc>
        <w:tc>
          <w:tcPr>
            <w:tcW w:w="5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107,918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040" w:type="dxa"/>
            <w:vAlign w:val="bottom"/>
          </w:tcPr>
          <w:p>
            <w:pPr>
              <w:spacing w:after="0"/>
              <w:rPr>
                <w:sz w:val="5"/>
                <w:szCs w:val="5"/>
                <w:color w:val="auto"/>
              </w:rPr>
            </w:pPr>
          </w:p>
        </w:tc>
        <w:tc>
          <w:tcPr>
            <w:tcW w:w="16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200" w:type="dxa"/>
            <w:vAlign w:val="bottom"/>
            <w:tcBorders>
              <w:right w:val="single" w:sz="8" w:color="808080"/>
            </w:tcBorders>
            <w:shd w:val="clear" w:color="auto" w:fill="808080"/>
          </w:tcPr>
          <w:p>
            <w:pPr>
              <w:spacing w:after="0"/>
              <w:rPr>
                <w:sz w:val="5"/>
                <w:szCs w:val="5"/>
                <w:color w:val="auto"/>
              </w:rPr>
            </w:pPr>
          </w:p>
        </w:tc>
        <w:tc>
          <w:tcPr>
            <w:tcW w:w="180" w:type="dxa"/>
            <w:vAlign w:val="bottom"/>
            <w:tcBorders>
              <w:right w:val="single" w:sz="8" w:color="808080"/>
            </w:tcBorders>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5217160</wp:posOffset>
            </wp:positionH>
            <wp:positionV relativeFrom="paragraph">
              <wp:posOffset>-3213100</wp:posOffset>
            </wp:positionV>
            <wp:extent cx="12700" cy="8890"/>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-3213100</wp:posOffset>
            </wp:positionV>
            <wp:extent cx="12700" cy="8890"/>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-3213100</wp:posOffset>
            </wp:positionV>
            <wp:extent cx="12700" cy="8890"/>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-3213100</wp:posOffset>
            </wp:positionV>
            <wp:extent cx="12700" cy="8890"/>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-1952625</wp:posOffset>
            </wp:positionV>
            <wp:extent cx="12700" cy="8890"/>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-1952625</wp:posOffset>
            </wp:positionV>
            <wp:extent cx="12700" cy="8890"/>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-1703705</wp:posOffset>
            </wp:positionV>
            <wp:extent cx="12700" cy="8890"/>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-1703705</wp:posOffset>
            </wp:positionV>
            <wp:extent cx="12700" cy="8890"/>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-1703705</wp:posOffset>
            </wp:positionV>
            <wp:extent cx="12700" cy="8890"/>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-1703705</wp:posOffset>
            </wp:positionV>
            <wp:extent cx="12700" cy="8890"/>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-751840</wp:posOffset>
            </wp:positionV>
            <wp:extent cx="12700" cy="8890"/>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-751840</wp:posOffset>
            </wp:positionV>
            <wp:extent cx="12700" cy="8890"/>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-751840</wp:posOffset>
            </wp:positionV>
            <wp:extent cx="12700" cy="8890"/>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-751840</wp:posOffset>
            </wp:positionV>
            <wp:extent cx="12700" cy="8890"/>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-323215</wp:posOffset>
            </wp:positionV>
            <wp:extent cx="12700" cy="8890"/>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-323215</wp:posOffset>
            </wp:positionV>
            <wp:extent cx="12700" cy="8890"/>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-323215</wp:posOffset>
            </wp:positionV>
            <wp:extent cx="12700" cy="8890"/>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-323215</wp:posOffset>
            </wp:positionV>
            <wp:extent cx="12700" cy="8890"/>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3" w:lineRule="exact"/>
        <w:rPr>
          <w:sz w:val="20"/>
          <w:szCs w:val="20"/>
          <w:color w:val="auto"/>
        </w:rPr>
      </w:pPr>
    </w:p>
    <w:p>
      <w:pPr>
        <w:ind w:right="120" w:firstLine="351"/>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Certificates of Deposit</w:t>
      </w:r>
      <w:r>
        <w:rPr>
          <w:rFonts w:ascii="Times New Roman" w:cs="Times New Roman" w:eastAsia="Times New Roman" w:hAnsi="Times New Roman"/>
          <w:sz w:val="18"/>
          <w:szCs w:val="18"/>
          <w:color w:val="auto"/>
        </w:rPr>
        <w:t>—Terms of the certificates of deposit range from three months to 24 months with annual interest rates ranging from 2.8% to 7.5% 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December 31, 2001 and from 2.0% to 6.1% at December 31, 2002. Interest is paid monthly and at maturity.</w:t>
      </w:r>
    </w:p>
    <w:p>
      <w:pPr>
        <w:spacing w:after="0" w:line="165" w:lineRule="exact"/>
        <w:rPr>
          <w:sz w:val="20"/>
          <w:szCs w:val="20"/>
          <w:color w:val="auto"/>
        </w:rPr>
      </w:pPr>
    </w:p>
    <w:p>
      <w:pPr>
        <w:ind w:right="220" w:firstLine="351"/>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Subordinated Notes</w:t>
      </w:r>
      <w:r>
        <w:rPr>
          <w:rFonts w:ascii="Times New Roman" w:cs="Times New Roman" w:eastAsia="Times New Roman" w:hAnsi="Times New Roman"/>
          <w:sz w:val="18"/>
          <w:szCs w:val="18"/>
          <w:color w:val="auto"/>
        </w:rPr>
        <w:t>—The Company has a subordinated note with its largest stockholder in the principal amount of $52.0 million. Such note bears annual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interest at 10% payable semi-annually. The note is to be repaid in two equal installments in September 2007 and September 2008. The Company may, at its option, prepay the note at its face amount.</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of December 31, 2001, the Company had other outstanding subordinated notes with its two largest stockholders in the aggregate principal amount of</w:t>
      </w:r>
    </w:p>
    <w:p>
      <w:pPr>
        <w:spacing w:after="0" w:line="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$50.0 million. Such notes bore annual interest at 10% payable semiannually. These notes were issued at an aggregate discount of approximately $3.6 million, and such discount was accreted into interest expense using the effective rate of approximately 12% over its life. The Company repaid these notes in 2002.</w:t>
      </w:r>
    </w:p>
    <w:p>
      <w:pPr>
        <w:spacing w:after="0" w:line="18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Credit Facilities</w:t>
      </w:r>
      <w:r>
        <w:rPr>
          <w:rFonts w:ascii="Times New Roman" w:cs="Times New Roman" w:eastAsia="Times New Roman" w:hAnsi="Times New Roman"/>
          <w:sz w:val="18"/>
          <w:szCs w:val="18"/>
          <w:color w:val="auto"/>
        </w:rPr>
        <w:t>—The Company is party to two credit facilities with the same group of lenders. The first facility, which the Company entered into on</w:t>
      </w:r>
    </w:p>
    <w:p>
      <w:pPr>
        <w:spacing w:after="0" w:line="25"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6"/>
          <w:szCs w:val="16"/>
          <w:color w:val="auto"/>
        </w:rPr>
        <w:t>July 24, 1998 and has amended on several occasions since then, provides for $83.5 million of term loans and a $100.0 million revolving commitment. The second facility, which the Company entered into on May 22, 2002, provides for a $50.0 million revolving commitment that matures in May 2003. During 2002, the Company reached an agreement to amend its credit agreement to add a short term $50.0 million 364-day revolver, remove a requirement that Limited Brands maintain ownership of a stated amount of the Company's common stock, and adjust certain other covenants related to leverage ratios, adjusted consolidated net worth, the interest coverage ratio, and allow for prepayment of certain subordinated debt owed to Limited Commerce Corp. and an affiliate of Welsh, Carson, Anderson &amp; Stowe. The covenants contained in the credit facilities are substantially identical. At December 31, 2002, The Company had $139.5 million outstanding under our credit facilities, consisting of $83.5 million of term loans and $56.0 million of borrowings under our $150.0 million revolving loan commitments. Existing borrowings under the term loans and the revolving facilities bear interest at variable rates based on LIBOR plus applicable Euro-dollar</w:t>
      </w:r>
    </w:p>
    <w:p>
      <w:pPr>
        <w:spacing w:after="0" w:line="5" w:lineRule="exact"/>
        <w:rPr>
          <w:sz w:val="20"/>
          <w:szCs w:val="20"/>
          <w:color w:val="auto"/>
        </w:rPr>
      </w:pPr>
    </w:p>
    <w:p>
      <w:pPr>
        <w:ind w:right="100"/>
        <w:spacing w:after="0" w:line="231" w:lineRule="auto"/>
        <w:rPr>
          <w:sz w:val="20"/>
          <w:szCs w:val="20"/>
          <w:color w:val="auto"/>
        </w:rPr>
      </w:pPr>
      <w:r>
        <w:rPr>
          <w:rFonts w:ascii="Times New Roman" w:cs="Times New Roman" w:eastAsia="Times New Roman" w:hAnsi="Times New Roman"/>
          <w:sz w:val="18"/>
          <w:szCs w:val="18"/>
          <w:color w:val="auto"/>
        </w:rPr>
        <w:t xml:space="preserve">margins. Funds borrowed under this credit facility bear interest at the higher of (i) the prime rate for such day or (ii) the sum of </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2</w:t>
      </w:r>
      <w:r>
        <w:rPr>
          <w:rFonts w:ascii="Times New Roman" w:cs="Times New Roman" w:eastAsia="Times New Roman" w:hAnsi="Times New Roman"/>
          <w:sz w:val="18"/>
          <w:szCs w:val="18"/>
          <w:color w:val="auto"/>
        </w:rPr>
        <w:t xml:space="preserve"> of 1% plus the federal funds rate for a base rate loan plus the base rate margin or (iii) the sum of the Euro-dollar margin plus the LIBOR rate applicable to such period for each Euro-dollar loan. Interest is payable quarterly in arrears. In addition, under the terms of the credit facilities, the Company cannot declare or pay dividends or return capital to common stockholders, and are restricted in the amount of any other distribution, payment or delivery of property or cash to common stockholders. The lenders under the credit facilities have a security interest in certain of the Company's operating subsidiaries.</w:t>
      </w:r>
    </w:p>
    <w:p>
      <w:pPr>
        <w:spacing w:after="0" w:line="205" w:lineRule="exact"/>
        <w:rPr>
          <w:sz w:val="20"/>
          <w:szCs w:val="20"/>
          <w:color w:val="auto"/>
        </w:rPr>
      </w:pPr>
    </w:p>
    <w:p>
      <w:pPr>
        <w:ind w:right="280" w:firstLine="351"/>
        <w:spacing w:after="0" w:line="259" w:lineRule="auto"/>
        <w:rPr>
          <w:sz w:val="20"/>
          <w:szCs w:val="20"/>
          <w:color w:val="auto"/>
        </w:rPr>
      </w:pPr>
      <w:r>
        <w:rPr>
          <w:rFonts w:ascii="Times New Roman" w:cs="Times New Roman" w:eastAsia="Times New Roman" w:hAnsi="Times New Roman"/>
          <w:sz w:val="18"/>
          <w:szCs w:val="18"/>
          <w:i w:val="1"/>
          <w:iCs w:val="1"/>
          <w:color w:val="auto"/>
        </w:rPr>
        <w:t>Term Loans</w:t>
      </w:r>
      <w:r>
        <w:rPr>
          <w:rFonts w:ascii="Times New Roman" w:cs="Times New Roman" w:eastAsia="Times New Roman" w:hAnsi="Times New Roman"/>
          <w:sz w:val="18"/>
          <w:szCs w:val="18"/>
          <w:color w:val="auto"/>
        </w:rPr>
        <w:t>—The Company currently has outstanding two separate term loans, with a total outstanding balance of $83.5 million. The $37.5 million term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loan is payable in a final lump sum payment of $37.5 million on July 25, 2003. The $46.0 million term loan is payable in two separate annual installments of $1.0 million with a final lump sum payment of $44.0 million due July 25, 2005. The effective interest rates on the two term loans were 4.6% and 9.3%, respectively, at December 31, 2002.</w:t>
      </w:r>
    </w:p>
    <w:p>
      <w:pPr>
        <w:spacing w:after="0" w:line="18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364-day Revolver</w:t>
      </w:r>
      <w:r>
        <w:rPr>
          <w:rFonts w:ascii="Times New Roman" w:cs="Times New Roman" w:eastAsia="Times New Roman" w:hAnsi="Times New Roman"/>
          <w:sz w:val="18"/>
          <w:szCs w:val="18"/>
          <w:color w:val="auto"/>
        </w:rPr>
        <w:t>—The 364-day Revolver has $50.0 million capacity of which none was outstanding at December 31, 2002.</w:t>
      </w:r>
    </w:p>
    <w:p>
      <w:pPr>
        <w:spacing w:after="0" w:line="225" w:lineRule="exact"/>
        <w:rPr>
          <w:sz w:val="20"/>
          <w:szCs w:val="20"/>
          <w:color w:val="auto"/>
        </w:rPr>
      </w:pPr>
    </w:p>
    <w:p>
      <w:pPr>
        <w:ind w:right="180" w:firstLine="351"/>
        <w:spacing w:after="0" w:line="277" w:lineRule="auto"/>
        <w:rPr>
          <w:sz w:val="20"/>
          <w:szCs w:val="20"/>
          <w:color w:val="auto"/>
        </w:rPr>
      </w:pPr>
      <w:r>
        <w:rPr>
          <w:rFonts w:ascii="Times New Roman" w:cs="Times New Roman" w:eastAsia="Times New Roman" w:hAnsi="Times New Roman"/>
          <w:sz w:val="18"/>
          <w:szCs w:val="18"/>
          <w:i w:val="1"/>
          <w:iCs w:val="1"/>
          <w:color w:val="auto"/>
        </w:rPr>
        <w:t>Line of Credit</w:t>
      </w:r>
      <w:r>
        <w:rPr>
          <w:rFonts w:ascii="Times New Roman" w:cs="Times New Roman" w:eastAsia="Times New Roman" w:hAnsi="Times New Roman"/>
          <w:sz w:val="18"/>
          <w:szCs w:val="18"/>
          <w:color w:val="auto"/>
        </w:rPr>
        <w:t>—The line of credit agreement has $100.0 million, capacity of which $56.0 million was outstanding at December 31, 2002 At December 31,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2002, the effective interest rate on borrowings under the revolving loan facilities was approximately 3.1%.</w:t>
      </w:r>
    </w:p>
    <w:p>
      <w:pPr>
        <w:spacing w:after="0" w:line="16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Other</w:t>
      </w:r>
      <w:r>
        <w:rPr>
          <w:rFonts w:ascii="Times New Roman" w:cs="Times New Roman" w:eastAsia="Times New Roman" w:hAnsi="Times New Roman"/>
          <w:sz w:val="18"/>
          <w:szCs w:val="18"/>
          <w:color w:val="auto"/>
        </w:rPr>
        <w:t>—The Company has other minor borrowings with varying interest rates.</w:t>
      </w:r>
    </w:p>
    <w:p>
      <w:pPr>
        <w:sectPr>
          <w:pgSz w:w="11900" w:h="16838" w:orient="portrait"/>
          <w:cols w:equalWidth="0" w:num="1">
            <w:col w:w="11380"/>
          </w:cols>
          <w:pgMar w:left="240" w:top="125" w:right="279" w:bottom="0" w:gutter="0" w:footer="0" w:header="0"/>
        </w:sectPr>
      </w:pPr>
    </w:p>
    <w:bookmarkStart w:id="42" w:name="page43"/>
    <w:bookmarkEnd w:id="42"/>
    <w:p>
      <w:pPr>
        <w:jc w:val="center"/>
        <w:ind w:right="-419"/>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9.  DEBT (Continued)</w:t>
            </w: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020" w:type="dxa"/>
            <w:vAlign w:val="bottom"/>
          </w:tcPr>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Maturities</w:t>
            </w:r>
            <w:r>
              <w:rPr>
                <w:rFonts w:ascii="Times New Roman" w:cs="Times New Roman" w:eastAsia="Times New Roman" w:hAnsi="Times New Roman"/>
                <w:sz w:val="18"/>
                <w:szCs w:val="18"/>
                <w:color w:val="auto"/>
              </w:rPr>
              <w:t>—Debt at December 31, 2002 matures as follows (in thousands):</w:t>
            </w: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8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2003</w:t>
            </w:r>
          </w:p>
        </w:tc>
        <w:tc>
          <w:tcPr>
            <w:tcW w:w="30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186,533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2004</w:t>
            </w: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2005</w:t>
            </w: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2006</w:t>
            </w: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2007</w:t>
            </w: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802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0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292,911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0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020" w:type="dxa"/>
            <w:vAlign w:val="bottom"/>
            <w:tcBorders>
              <w:right w:val="single" w:sz="8" w:color="808080"/>
            </w:tcBorders>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5791835</wp:posOffset>
            </wp:positionH>
            <wp:positionV relativeFrom="paragraph">
              <wp:posOffset>-323215</wp:posOffset>
            </wp:positionV>
            <wp:extent cx="12700" cy="8890"/>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-323215</wp:posOffset>
            </wp:positionV>
            <wp:extent cx="12700" cy="8890"/>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INCOME TAXES</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Company files a consolidated federal income tax return. Components of the provision (benefit) for income taxes are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43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740" w:type="dxa"/>
            <w:vAlign w:val="bottom"/>
            <w:gridSpan w:val="5"/>
          </w:tcPr>
          <w:p>
            <w:pPr>
              <w:jc w:val="center"/>
              <w:ind w:right="178"/>
              <w:spacing w:after="0"/>
              <w:rPr>
                <w:sz w:val="20"/>
                <w:szCs w:val="20"/>
                <w:color w:val="auto"/>
              </w:rPr>
            </w:pPr>
            <w:r>
              <w:rPr>
                <w:rFonts w:ascii="Times New Roman" w:cs="Times New Roman" w:eastAsia="Times New Roman" w:hAnsi="Times New Roman"/>
                <w:sz w:val="14"/>
                <w:szCs w:val="14"/>
                <w:b w:val="1"/>
                <w:bCs w:val="1"/>
                <w:color w:val="auto"/>
                <w:w w:val="94"/>
              </w:rPr>
              <w:t>Year Ended December 31,</w:t>
            </w: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320" w:type="dxa"/>
            <w:vAlign w:val="bottom"/>
          </w:tcPr>
          <w:p>
            <w:pPr>
              <w:spacing w:after="0"/>
              <w:rPr>
                <w:sz w:val="9"/>
                <w:szCs w:val="9"/>
                <w:color w:val="auto"/>
              </w:rPr>
            </w:pPr>
          </w:p>
        </w:tc>
        <w:tc>
          <w:tcPr>
            <w:tcW w:w="188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4320" w:type="dxa"/>
            <w:vAlign w:val="bottom"/>
          </w:tcPr>
          <w:p>
            <w:pPr>
              <w:spacing w:after="0"/>
              <w:rPr>
                <w:sz w:val="23"/>
                <w:szCs w:val="23"/>
                <w:color w:val="auto"/>
              </w:rPr>
            </w:pPr>
          </w:p>
        </w:tc>
        <w:tc>
          <w:tcPr>
            <w:tcW w:w="18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2000</w:t>
            </w: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w w:val="92"/>
              </w:rPr>
              <w:t>2001</w:t>
            </w: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2002</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320" w:type="dxa"/>
            <w:vAlign w:val="bottom"/>
          </w:tcPr>
          <w:p>
            <w:pPr>
              <w:spacing w:after="0"/>
              <w:rPr>
                <w:sz w:val="9"/>
                <w:szCs w:val="9"/>
                <w:color w:val="auto"/>
              </w:rPr>
            </w:pPr>
          </w:p>
        </w:tc>
        <w:tc>
          <w:tcPr>
            <w:tcW w:w="188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4320" w:type="dxa"/>
            <w:vAlign w:val="bottom"/>
          </w:tcPr>
          <w:p>
            <w:pPr>
              <w:spacing w:after="0"/>
              <w:rPr>
                <w:sz w:val="23"/>
                <w:szCs w:val="23"/>
                <w:color w:val="auto"/>
              </w:rPr>
            </w:pPr>
          </w:p>
        </w:tc>
        <w:tc>
          <w:tcPr>
            <w:tcW w:w="18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6"/>
              </w:rPr>
              <w:t>(in thousands)</w:t>
            </w: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43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1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2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72"/>
              <w:spacing w:after="0"/>
              <w:rPr>
                <w:sz w:val="20"/>
                <w:szCs w:val="20"/>
                <w:color w:val="auto"/>
              </w:rPr>
            </w:pPr>
            <w:r>
              <w:rPr>
                <w:rFonts w:ascii="Times New Roman" w:cs="Times New Roman" w:eastAsia="Times New Roman" w:hAnsi="Times New Roman"/>
                <w:sz w:val="18"/>
                <w:szCs w:val="18"/>
                <w:color w:val="auto"/>
              </w:rPr>
              <w:t>(1,100)</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(13,783)</w:t>
            </w:r>
          </w:p>
        </w:tc>
        <w:tc>
          <w:tcPr>
            <w:tcW w:w="26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(11,149)</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State/provincial</w:t>
            </w:r>
          </w:p>
        </w:tc>
        <w:tc>
          <w:tcPr>
            <w:tcW w:w="18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2,424</w:t>
            </w: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4,683</w:t>
            </w:r>
          </w:p>
        </w:tc>
        <w:tc>
          <w:tcPr>
            <w:tcW w:w="2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7,343</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w:t>
            </w:r>
          </w:p>
        </w:tc>
        <w:tc>
          <w:tcPr>
            <w:tcW w:w="1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13,631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7,213</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32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860" w:type="dxa"/>
            <w:vAlign w:val="bottom"/>
            <w:tcBorders>
              <w:bottom w:val="single" w:sz="8" w:color="808080"/>
            </w:tcBorders>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98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860" w:type="dxa"/>
            <w:vAlign w:val="bottom"/>
            <w:tcBorders>
              <w:bottom w:val="single" w:sz="8" w:color="808080"/>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320" w:type="dxa"/>
            <w:vAlign w:val="bottom"/>
          </w:tcPr>
          <w:p>
            <w:pPr>
              <w:spacing w:after="0"/>
              <w:rPr>
                <w:sz w:val="9"/>
                <w:szCs w:val="9"/>
                <w:color w:val="auto"/>
              </w:rPr>
            </w:pPr>
          </w:p>
        </w:tc>
        <w:tc>
          <w:tcPr>
            <w:tcW w:w="18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w:t>
            </w:r>
          </w:p>
        </w:tc>
        <w:tc>
          <w:tcPr>
            <w:tcW w:w="18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14,955</w:t>
            </w: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(1,887)</w:t>
            </w: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8,389</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Deferred</w:t>
            </w:r>
          </w:p>
        </w:tc>
        <w:tc>
          <w:tcPr>
            <w:tcW w:w="1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18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7,227</w:t>
            </w: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14,615</w:t>
            </w:r>
          </w:p>
        </w:tc>
        <w:tc>
          <w:tcPr>
            <w:tcW w:w="2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17,064</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State/provincial</w:t>
            </w:r>
          </w:p>
        </w:tc>
        <w:tc>
          <w:tcPr>
            <w:tcW w:w="1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gridSpan w:val="2"/>
          </w:tcPr>
          <w:p>
            <w:pPr>
              <w:jc w:val="right"/>
              <w:ind w:right="72"/>
              <w:spacing w:after="0"/>
              <w:rPr>
                <w:sz w:val="20"/>
                <w:szCs w:val="20"/>
                <w:color w:val="auto"/>
              </w:rPr>
            </w:pPr>
            <w:r>
              <w:rPr>
                <w:rFonts w:ascii="Times New Roman" w:cs="Times New Roman" w:eastAsia="Times New Roman" w:hAnsi="Times New Roman"/>
                <w:sz w:val="18"/>
                <w:szCs w:val="18"/>
                <w:color w:val="auto"/>
              </w:rPr>
              <w:t>(669)</w:t>
            </w:r>
          </w:p>
        </w:tc>
        <w:tc>
          <w:tcPr>
            <w:tcW w:w="120" w:type="dxa"/>
            <w:vAlign w:val="bottom"/>
          </w:tcPr>
          <w:p>
            <w:pPr>
              <w:spacing w:after="0"/>
              <w:rPr>
                <w:sz w:val="20"/>
                <w:szCs w:val="20"/>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(345)</w:t>
            </w:r>
          </w:p>
        </w:tc>
        <w:tc>
          <w:tcPr>
            <w:tcW w:w="260" w:type="dxa"/>
            <w:vAlign w:val="bottom"/>
          </w:tcPr>
          <w:p>
            <w:pPr>
              <w:spacing w:after="0"/>
              <w:rPr>
                <w:sz w:val="20"/>
                <w:szCs w:val="20"/>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(1,161)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w:t>
            </w:r>
          </w:p>
        </w:tc>
        <w:tc>
          <w:tcPr>
            <w:tcW w:w="18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(19,672)</w:t>
            </w:r>
          </w:p>
        </w:tc>
        <w:tc>
          <w:tcPr>
            <w:tcW w:w="12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(771)</w:t>
            </w:r>
          </w:p>
        </w:tc>
        <w:tc>
          <w:tcPr>
            <w:tcW w:w="26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(3,621)</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32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4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deferred</w:t>
            </w:r>
          </w:p>
        </w:tc>
        <w:tc>
          <w:tcPr>
            <w:tcW w:w="1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gridSpan w:val="2"/>
          </w:tcPr>
          <w:p>
            <w:pPr>
              <w:jc w:val="right"/>
              <w:ind w:right="72"/>
              <w:spacing w:after="0"/>
              <w:rPr>
                <w:sz w:val="20"/>
                <w:szCs w:val="20"/>
                <w:color w:val="auto"/>
              </w:rPr>
            </w:pPr>
            <w:r>
              <w:rPr>
                <w:rFonts w:ascii="Times New Roman" w:cs="Times New Roman" w:eastAsia="Times New Roman" w:hAnsi="Times New Roman"/>
                <w:sz w:val="18"/>
                <w:szCs w:val="18"/>
                <w:color w:val="auto"/>
              </w:rPr>
              <w:t>(13,114)</w:t>
            </w:r>
          </w:p>
        </w:tc>
        <w:tc>
          <w:tcPr>
            <w:tcW w:w="1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13,499</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12,282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260" w:type="dxa"/>
            <w:vAlign w:val="bottom"/>
            <w:tcBorders>
              <w:bottom w:val="single" w:sz="8" w:color="808080"/>
            </w:tcBorders>
          </w:tcPr>
          <w:p>
            <w:pPr>
              <w:spacing w:after="0"/>
              <w:rPr>
                <w:sz w:val="12"/>
                <w:szCs w:val="12"/>
                <w:color w:val="auto"/>
              </w:rPr>
            </w:pPr>
          </w:p>
        </w:tc>
        <w:tc>
          <w:tcPr>
            <w:tcW w:w="860" w:type="dxa"/>
            <w:vAlign w:val="bottom"/>
            <w:tcBorders>
              <w:bottom w:val="single" w:sz="8" w:color="808080"/>
            </w:tcBorders>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Borders>
              <w:bottom w:val="single" w:sz="8" w:color="808080"/>
            </w:tcBorders>
          </w:tcPr>
          <w:p>
            <w:pPr>
              <w:spacing w:after="0"/>
              <w:rPr>
                <w:sz w:val="12"/>
                <w:szCs w:val="12"/>
                <w:color w:val="auto"/>
              </w:rPr>
            </w:pPr>
          </w:p>
        </w:tc>
        <w:tc>
          <w:tcPr>
            <w:tcW w:w="980" w:type="dxa"/>
            <w:vAlign w:val="bottom"/>
            <w:tcBorders>
              <w:bottom w:val="single" w:sz="8" w:color="808080"/>
            </w:tcBorders>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Borders>
              <w:bottom w:val="single" w:sz="8" w:color="808080"/>
            </w:tcBorders>
          </w:tcPr>
          <w:p>
            <w:pPr>
              <w:spacing w:after="0"/>
              <w:rPr>
                <w:sz w:val="12"/>
                <w:szCs w:val="12"/>
                <w:color w:val="auto"/>
              </w:rPr>
            </w:pPr>
          </w:p>
        </w:tc>
        <w:tc>
          <w:tcPr>
            <w:tcW w:w="860" w:type="dxa"/>
            <w:vAlign w:val="bottom"/>
            <w:tcBorders>
              <w:bottom w:val="single" w:sz="8" w:color="808080"/>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320" w:type="dxa"/>
            <w:vAlign w:val="bottom"/>
          </w:tcPr>
          <w:p>
            <w:pPr>
              <w:spacing w:after="0"/>
              <w:rPr>
                <w:sz w:val="9"/>
                <w:szCs w:val="9"/>
                <w:color w:val="auto"/>
              </w:rPr>
            </w:pPr>
          </w:p>
        </w:tc>
        <w:tc>
          <w:tcPr>
            <w:tcW w:w="18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11,612</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 from extraordinary items</w:t>
            </w:r>
          </w:p>
        </w:tc>
        <w:tc>
          <w:tcPr>
            <w:tcW w:w="1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(410)</w:t>
            </w:r>
          </w:p>
        </w:tc>
        <w:tc>
          <w:tcPr>
            <w:tcW w:w="26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(292)</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4320" w:type="dxa"/>
            <w:vAlign w:val="bottom"/>
          </w:tcPr>
          <w:p>
            <w:pPr>
              <w:spacing w:after="0"/>
              <w:rPr>
                <w:sz w:val="9"/>
                <w:szCs w:val="9"/>
                <w:color w:val="auto"/>
              </w:rPr>
            </w:pPr>
          </w:p>
        </w:tc>
        <w:tc>
          <w:tcPr>
            <w:tcW w:w="188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320" w:type="dxa"/>
            <w:vAlign w:val="bottom"/>
          </w:tcPr>
          <w:p>
            <w:pPr>
              <w:spacing w:after="0"/>
              <w:rPr>
                <w:sz w:val="9"/>
                <w:szCs w:val="9"/>
                <w:color w:val="auto"/>
              </w:rPr>
            </w:pPr>
          </w:p>
        </w:tc>
        <w:tc>
          <w:tcPr>
            <w:tcW w:w="18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income tax expense</w:t>
            </w:r>
          </w:p>
        </w:tc>
        <w:tc>
          <w:tcPr>
            <w:tcW w:w="2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11,202</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320" w:type="dxa"/>
            <w:vAlign w:val="bottom"/>
          </w:tcPr>
          <w:p>
            <w:pPr>
              <w:spacing w:after="0"/>
              <w:rPr>
                <w:sz w:val="9"/>
                <w:szCs w:val="9"/>
                <w:color w:val="auto"/>
              </w:rPr>
            </w:pPr>
          </w:p>
        </w:tc>
        <w:tc>
          <w:tcPr>
            <w:tcW w:w="18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320" w:type="dxa"/>
            <w:vAlign w:val="bottom"/>
          </w:tcPr>
          <w:p>
            <w:pPr>
              <w:spacing w:after="0"/>
              <w:rPr>
                <w:sz w:val="5"/>
                <w:szCs w:val="5"/>
                <w:color w:val="auto"/>
              </w:rPr>
            </w:pPr>
          </w:p>
        </w:tc>
        <w:tc>
          <w:tcPr>
            <w:tcW w:w="188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860" w:type="dxa"/>
            <w:vAlign w:val="bottom"/>
            <w:tcBorders>
              <w:right w:val="single" w:sz="8" w:color="808080"/>
            </w:tcBorders>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21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F-22</w:t>
            </w: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6297930</wp:posOffset>
            </wp:positionH>
            <wp:positionV relativeFrom="paragraph">
              <wp:posOffset>-3561080</wp:posOffset>
            </wp:positionV>
            <wp:extent cx="12700" cy="8890"/>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3947795</wp:posOffset>
            </wp:positionH>
            <wp:positionV relativeFrom="paragraph">
              <wp:posOffset>-3561080</wp:posOffset>
            </wp:positionV>
            <wp:extent cx="12700" cy="8890"/>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-3312795</wp:posOffset>
            </wp:positionV>
            <wp:extent cx="12700" cy="8890"/>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3947795</wp:posOffset>
            </wp:positionH>
            <wp:positionV relativeFrom="paragraph">
              <wp:posOffset>-3312795</wp:posOffset>
            </wp:positionV>
            <wp:extent cx="12700" cy="8890"/>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-3312795</wp:posOffset>
            </wp:positionV>
            <wp:extent cx="12700" cy="8890"/>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-3312795</wp:posOffset>
            </wp:positionV>
            <wp:extent cx="12700" cy="8890"/>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-3312795</wp:posOffset>
            </wp:positionV>
            <wp:extent cx="12700" cy="8890"/>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-3312795</wp:posOffset>
            </wp:positionV>
            <wp:extent cx="12700" cy="8890"/>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-2309495</wp:posOffset>
            </wp:positionV>
            <wp:extent cx="12700" cy="8890"/>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3947795</wp:posOffset>
            </wp:positionH>
            <wp:positionV relativeFrom="paragraph">
              <wp:posOffset>-2309495</wp:posOffset>
            </wp:positionV>
            <wp:extent cx="12700" cy="8890"/>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-2309495</wp:posOffset>
            </wp:positionV>
            <wp:extent cx="12700" cy="8890"/>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-2309495</wp:posOffset>
            </wp:positionV>
            <wp:extent cx="12700" cy="8890"/>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-2309495</wp:posOffset>
            </wp:positionV>
            <wp:extent cx="12700" cy="8890"/>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-2309495</wp:posOffset>
            </wp:positionV>
            <wp:extent cx="12700" cy="8890"/>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-1400175</wp:posOffset>
            </wp:positionV>
            <wp:extent cx="12700" cy="8890"/>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3947795</wp:posOffset>
            </wp:positionH>
            <wp:positionV relativeFrom="paragraph">
              <wp:posOffset>-1400175</wp:posOffset>
            </wp:positionV>
            <wp:extent cx="12700" cy="8890"/>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-1400175</wp:posOffset>
            </wp:positionV>
            <wp:extent cx="12700" cy="8890"/>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-1400175</wp:posOffset>
            </wp:positionV>
            <wp:extent cx="12700" cy="8890"/>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-1400175</wp:posOffset>
            </wp:positionV>
            <wp:extent cx="12700" cy="8890"/>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-1400175</wp:posOffset>
            </wp:positionV>
            <wp:extent cx="12700" cy="8890"/>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-1091565</wp:posOffset>
            </wp:positionV>
            <wp:extent cx="12700" cy="8890"/>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3947795</wp:posOffset>
            </wp:positionH>
            <wp:positionV relativeFrom="paragraph">
              <wp:posOffset>-1091565</wp:posOffset>
            </wp:positionV>
            <wp:extent cx="12700" cy="8890"/>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-1091565</wp:posOffset>
            </wp:positionV>
            <wp:extent cx="12700" cy="8890"/>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-1091565</wp:posOffset>
            </wp:positionV>
            <wp:extent cx="12700" cy="8890"/>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-1091565</wp:posOffset>
            </wp:positionV>
            <wp:extent cx="12700" cy="8890"/>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-1091565</wp:posOffset>
            </wp:positionV>
            <wp:extent cx="12700" cy="8890"/>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-662940</wp:posOffset>
            </wp:positionV>
            <wp:extent cx="12700" cy="8890"/>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3947795</wp:posOffset>
            </wp:positionH>
            <wp:positionV relativeFrom="paragraph">
              <wp:posOffset>-662940</wp:posOffset>
            </wp:positionV>
            <wp:extent cx="12700" cy="8890"/>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-662940</wp:posOffset>
            </wp:positionV>
            <wp:extent cx="12700" cy="8890"/>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-662940</wp:posOffset>
            </wp:positionV>
            <wp:extent cx="12700" cy="8890"/>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-662940</wp:posOffset>
            </wp:positionV>
            <wp:extent cx="12700" cy="8890"/>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-662940</wp:posOffset>
            </wp:positionV>
            <wp:extent cx="12700" cy="8890"/>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136525</wp:posOffset>
            </wp:positionV>
            <wp:extent cx="7250430" cy="21590"/>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firstLine="341"/>
        <w:spacing w:after="0" w:line="275" w:lineRule="auto"/>
        <w:rPr>
          <w:sz w:val="20"/>
          <w:szCs w:val="20"/>
          <w:color w:val="auto"/>
        </w:rPr>
      </w:pPr>
      <w:r>
        <w:rPr>
          <w:rFonts w:ascii="Times New Roman" w:cs="Times New Roman" w:eastAsia="Times New Roman" w:hAnsi="Times New Roman"/>
          <w:sz w:val="18"/>
          <w:szCs w:val="18"/>
          <w:color w:val="auto"/>
        </w:rPr>
        <w:t>A reconciliation of recorded federal income tax expense (benefit) to the expected amount computed by applying the federal statutory rate of 35% for all periods to income (loss) before income taxes is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6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80" w:type="dxa"/>
            <w:vAlign w:val="bottom"/>
            <w:gridSpan w:val="5"/>
          </w:tcPr>
          <w:p>
            <w:pPr>
              <w:jc w:val="right"/>
              <w:ind w:right="78"/>
              <w:spacing w:after="0"/>
              <w:rPr>
                <w:sz w:val="20"/>
                <w:szCs w:val="20"/>
                <w:color w:val="auto"/>
              </w:rPr>
            </w:pPr>
            <w:r>
              <w:rPr>
                <w:rFonts w:ascii="Times New Roman" w:cs="Times New Roman" w:eastAsia="Times New Roman" w:hAnsi="Times New Roman"/>
                <w:sz w:val="14"/>
                <w:szCs w:val="14"/>
                <w:b w:val="1"/>
                <w:bCs w:val="1"/>
                <w:color w:val="auto"/>
                <w:w w:val="95"/>
              </w:rPr>
              <w:t>Year Ended December 31,</w:t>
            </w: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5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65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gridSpan w:val="2"/>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2000</w:t>
            </w: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ind w:right="298"/>
              <w:spacing w:after="0"/>
              <w:rPr>
                <w:sz w:val="20"/>
                <w:szCs w:val="20"/>
                <w:color w:val="auto"/>
              </w:rPr>
            </w:pPr>
            <w:r>
              <w:rPr>
                <w:rFonts w:ascii="Times New Roman" w:cs="Times New Roman" w:eastAsia="Times New Roman" w:hAnsi="Times New Roman"/>
                <w:sz w:val="14"/>
                <w:szCs w:val="14"/>
                <w:b w:val="1"/>
                <w:bCs w:val="1"/>
                <w:color w:val="auto"/>
              </w:rPr>
              <w:t>2001</w:t>
            </w: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2002</w:t>
            </w:r>
          </w:p>
        </w:tc>
        <w:tc>
          <w:tcPr>
            <w:tcW w:w="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5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65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6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expense (benefit) at statutory rate</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right w:val="single" w:sz="8" w:color="CCEEFF"/>
            </w:tcBorders>
            <w:gridSpan w:val="3"/>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(6,819)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1,398</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Increase (decrease) in income taxes resulting from:</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State and foreign income taxes</w:t>
            </w:r>
          </w:p>
        </w:tc>
        <w:tc>
          <w:tcPr>
            <w:tcW w:w="22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1,552</w:t>
            </w:r>
          </w:p>
        </w:tc>
        <w:tc>
          <w:tcPr>
            <w:tcW w:w="20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1,740</w:t>
            </w:r>
          </w:p>
        </w:tc>
        <w:tc>
          <w:tcPr>
            <w:tcW w:w="2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3,362</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Non-deductible (taxable) foreign losses (gains)</w:t>
            </w:r>
          </w:p>
        </w:tc>
        <w:tc>
          <w:tcPr>
            <w:tcW w:w="22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1,339</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(1,930)</w:t>
            </w:r>
          </w:p>
        </w:tc>
        <w:tc>
          <w:tcPr>
            <w:tcW w:w="260" w:type="dxa"/>
            <w:vAlign w:val="bottom"/>
          </w:tcPr>
          <w:p>
            <w:pPr>
              <w:spacing w:after="0"/>
              <w:rPr>
                <w:sz w:val="20"/>
                <w:szCs w:val="20"/>
                <w:color w:val="auto"/>
              </w:rPr>
            </w:pP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(1,860)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Non-deductible acquired goodwill and other intangibles</w:t>
            </w:r>
          </w:p>
        </w:tc>
        <w:tc>
          <w:tcPr>
            <w:tcW w:w="22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4,718</w:t>
            </w:r>
          </w:p>
        </w:tc>
        <w:tc>
          <w:tcPr>
            <w:tcW w:w="20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5,013</w:t>
            </w:r>
          </w:p>
        </w:tc>
        <w:tc>
          <w:tcPr>
            <w:tcW w:w="2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rate reduction impact</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gridSpan w:val="2"/>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5,706</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4,094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net</w:t>
            </w:r>
          </w:p>
        </w:tc>
        <w:tc>
          <w:tcPr>
            <w:tcW w:w="22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w:t>
            </w:r>
          </w:p>
        </w:tc>
        <w:tc>
          <w:tcPr>
            <w:tcW w:w="20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(315)</w:t>
            </w:r>
          </w:p>
        </w:tc>
        <w:tc>
          <w:tcPr>
            <w:tcW w:w="260" w:type="dxa"/>
            <w:vAlign w:val="bottom"/>
            <w:shd w:val="clear" w:color="auto" w:fill="CCEEFF"/>
          </w:tcPr>
          <w:p>
            <w:pPr>
              <w:spacing w:after="0"/>
              <w:rPr>
                <w:sz w:val="21"/>
                <w:szCs w:val="21"/>
                <w:color w:val="auto"/>
              </w:rPr>
            </w:pPr>
          </w:p>
        </w:tc>
        <w:tc>
          <w:tcPr>
            <w:tcW w:w="9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(1,758)</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5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6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1,841</w:t>
            </w:r>
          </w:p>
        </w:tc>
        <w:tc>
          <w:tcPr>
            <w:tcW w:w="2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11,612</w:t>
            </w:r>
          </w:p>
        </w:tc>
        <w:tc>
          <w:tcPr>
            <w:tcW w:w="200" w:type="dxa"/>
            <w:vAlign w:val="bottom"/>
          </w:tcPr>
          <w:p>
            <w:pPr>
              <w:spacing w:after="0"/>
              <w:rPr>
                <w:sz w:val="24"/>
                <w:szCs w:val="24"/>
                <w:color w:val="auto"/>
              </w:rPr>
            </w:pPr>
          </w:p>
        </w:tc>
        <w:tc>
          <w:tcPr>
            <w:tcW w:w="26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20,671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6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52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6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Deferred tax assets and liabilities consist of the following:</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20" w:type="dxa"/>
            <w:vAlign w:val="bottom"/>
          </w:tcPr>
          <w:p>
            <w:pPr>
              <w:spacing w:after="0"/>
              <w:rPr>
                <w:sz w:val="24"/>
                <w:szCs w:val="24"/>
                <w:color w:val="auto"/>
              </w:rPr>
            </w:pPr>
          </w:p>
        </w:tc>
        <w:tc>
          <w:tcPr>
            <w:tcW w:w="6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6297930</wp:posOffset>
            </wp:positionH>
            <wp:positionV relativeFrom="paragraph">
              <wp:posOffset>-2698750</wp:posOffset>
            </wp:positionV>
            <wp:extent cx="12700" cy="8890"/>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4153535</wp:posOffset>
            </wp:positionH>
            <wp:positionV relativeFrom="paragraph">
              <wp:posOffset>-2698750</wp:posOffset>
            </wp:positionV>
            <wp:extent cx="12700" cy="8890"/>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-2449830</wp:posOffset>
            </wp:positionV>
            <wp:extent cx="12700" cy="8890"/>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4153535</wp:posOffset>
            </wp:positionH>
            <wp:positionV relativeFrom="paragraph">
              <wp:posOffset>-2449830</wp:posOffset>
            </wp:positionV>
            <wp:extent cx="12700" cy="8890"/>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-2449830</wp:posOffset>
            </wp:positionV>
            <wp:extent cx="12700" cy="8890"/>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-2449830</wp:posOffset>
            </wp:positionV>
            <wp:extent cx="12700" cy="8890"/>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8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-2449830</wp:posOffset>
            </wp:positionV>
            <wp:extent cx="12700" cy="8890"/>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8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-2449830</wp:posOffset>
            </wp:positionV>
            <wp:extent cx="12700" cy="8890"/>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-1000760</wp:posOffset>
            </wp:positionV>
            <wp:extent cx="12700" cy="8890"/>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4153535</wp:posOffset>
            </wp:positionH>
            <wp:positionV relativeFrom="paragraph">
              <wp:posOffset>-1000760</wp:posOffset>
            </wp:positionV>
            <wp:extent cx="12700" cy="8890"/>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-1000760</wp:posOffset>
            </wp:positionV>
            <wp:extent cx="12700" cy="8890"/>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-1000760</wp:posOffset>
            </wp:positionV>
            <wp:extent cx="12700" cy="8890"/>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-1000760</wp:posOffset>
            </wp:positionV>
            <wp:extent cx="12700" cy="8890"/>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-1000760</wp:posOffset>
            </wp:positionV>
            <wp:extent cx="12700" cy="8890"/>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-14605</wp:posOffset>
            </wp:positionV>
            <wp:extent cx="12700" cy="8890"/>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-14605</wp:posOffset>
            </wp:positionV>
            <wp:extent cx="12700" cy="8890"/>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0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000"/>
          </w:cols>
          <w:pgMar w:left="240" w:top="125" w:right="659" w:bottom="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458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2001</w:t>
            </w: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2002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580" w:type="dxa"/>
            <w:vAlign w:val="bottom"/>
          </w:tcPr>
          <w:p>
            <w:pPr>
              <w:spacing w:after="0"/>
              <w:rPr>
                <w:sz w:val="9"/>
                <w:szCs w:val="9"/>
                <w:color w:val="auto"/>
              </w:rPr>
            </w:pPr>
          </w:p>
        </w:tc>
        <w:tc>
          <w:tcPr>
            <w:tcW w:w="248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4580" w:type="dxa"/>
            <w:vAlign w:val="bottom"/>
          </w:tcPr>
          <w:p>
            <w:pPr>
              <w:spacing w:after="0"/>
              <w:rPr>
                <w:sz w:val="23"/>
                <w:szCs w:val="23"/>
                <w:color w:val="auto"/>
              </w:rPr>
            </w:pPr>
          </w:p>
        </w:tc>
        <w:tc>
          <w:tcPr>
            <w:tcW w:w="24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458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248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2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44,754</w:t>
            </w:r>
          </w:p>
        </w:tc>
        <w:tc>
          <w:tcPr>
            <w:tcW w:w="180" w:type="dxa"/>
            <w:vAlign w:val="bottom"/>
          </w:tcPr>
          <w:p>
            <w:pPr>
              <w:spacing w:after="0"/>
              <w:rPr>
                <w:sz w:val="20"/>
                <w:szCs w:val="20"/>
                <w:color w:val="auto"/>
              </w:rPr>
            </w:pPr>
          </w:p>
        </w:tc>
        <w:tc>
          <w:tcPr>
            <w:tcW w:w="380" w:type="dxa"/>
            <w:vAlign w:val="bottom"/>
          </w:tcPr>
          <w:p>
            <w:pPr>
              <w:jc w:val="right"/>
              <w:ind w:right="218"/>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50,603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2480" w:type="dxa"/>
            <w:vAlign w:val="bottom"/>
            <w:tcBorders>
              <w:right w:val="single" w:sz="8" w:color="CCEEFF"/>
            </w:tcBorders>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1,951</w:t>
            </w:r>
          </w:p>
        </w:tc>
        <w:tc>
          <w:tcPr>
            <w:tcW w:w="1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2,385</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Intangible assets</w:t>
            </w:r>
          </w:p>
        </w:tc>
        <w:tc>
          <w:tcPr>
            <w:tcW w:w="2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12,944</w:t>
            </w: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2480" w:type="dxa"/>
            <w:vAlign w:val="bottom"/>
            <w:tcBorders>
              <w:right w:val="single" w:sz="8" w:color="CCEEFF"/>
            </w:tcBorders>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37,415</w:t>
            </w:r>
          </w:p>
        </w:tc>
        <w:tc>
          <w:tcPr>
            <w:tcW w:w="1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41,797</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w:t>
            </w:r>
          </w:p>
        </w:tc>
        <w:tc>
          <w:tcPr>
            <w:tcW w:w="2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2,907</w:t>
            </w: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Derivatives</w:t>
            </w:r>
          </w:p>
        </w:tc>
        <w:tc>
          <w:tcPr>
            <w:tcW w:w="2480" w:type="dxa"/>
            <w:vAlign w:val="bottom"/>
            <w:tcBorders>
              <w:right w:val="single" w:sz="8" w:color="CCEEFF"/>
            </w:tcBorders>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2,983</w:t>
            </w:r>
          </w:p>
        </w:tc>
        <w:tc>
          <w:tcPr>
            <w:tcW w:w="1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4,769</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2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5,337</w:t>
            </w: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2480" w:type="dxa"/>
            <w:vAlign w:val="bottom"/>
            <w:tcBorders>
              <w:right w:val="single" w:sz="8" w:color="CCEEFF"/>
            </w:tcBorders>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5,651</w:t>
            </w:r>
          </w:p>
        </w:tc>
        <w:tc>
          <w:tcPr>
            <w:tcW w:w="1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6,699</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58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4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2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113,942</w:t>
            </w: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118,757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260" w:type="dxa"/>
            <w:vAlign w:val="bottom"/>
            <w:tcBorders>
              <w:bottom w:val="single" w:sz="8" w:color="808080"/>
            </w:tcBorders>
          </w:tcPr>
          <w:p>
            <w:pPr>
              <w:spacing w:after="0"/>
              <w:rPr>
                <w:sz w:val="12"/>
                <w:szCs w:val="12"/>
                <w:color w:val="auto"/>
              </w:rPr>
            </w:pPr>
          </w:p>
        </w:tc>
        <w:tc>
          <w:tcPr>
            <w:tcW w:w="900" w:type="dxa"/>
            <w:vAlign w:val="bottom"/>
            <w:tcBorders>
              <w:bottom w:val="single" w:sz="8" w:color="808080"/>
            </w:tcBorders>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Borders>
              <w:bottom w:val="single" w:sz="8" w:color="808080"/>
            </w:tcBorders>
          </w:tcPr>
          <w:p>
            <w:pPr>
              <w:spacing w:after="0"/>
              <w:rPr>
                <w:sz w:val="12"/>
                <w:szCs w:val="12"/>
                <w:color w:val="auto"/>
              </w:rPr>
            </w:pPr>
          </w:p>
        </w:tc>
        <w:tc>
          <w:tcPr>
            <w:tcW w:w="800" w:type="dxa"/>
            <w:vAlign w:val="bottom"/>
            <w:tcBorders>
              <w:bottom w:val="single" w:sz="8" w:color="808080"/>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580" w:type="dxa"/>
            <w:vAlign w:val="bottom"/>
          </w:tcPr>
          <w:p>
            <w:pPr>
              <w:spacing w:after="0"/>
              <w:rPr>
                <w:sz w:val="9"/>
                <w:szCs w:val="9"/>
                <w:color w:val="auto"/>
              </w:rPr>
            </w:pPr>
          </w:p>
        </w:tc>
        <w:tc>
          <w:tcPr>
            <w:tcW w:w="248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248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income</w:t>
            </w:r>
          </w:p>
        </w:tc>
        <w:tc>
          <w:tcPr>
            <w:tcW w:w="2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25,034</w:t>
            </w: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39,555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Servicing rights</w:t>
            </w:r>
          </w:p>
        </w:tc>
        <w:tc>
          <w:tcPr>
            <w:tcW w:w="2480" w:type="dxa"/>
            <w:vAlign w:val="bottom"/>
            <w:tcBorders>
              <w:right w:val="single" w:sz="8" w:color="CCEEFF"/>
            </w:tcBorders>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15,179</w:t>
            </w:r>
          </w:p>
        </w:tc>
        <w:tc>
          <w:tcPr>
            <w:tcW w:w="1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17,697</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2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58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580" w:type="dxa"/>
            <w:vAlign w:val="bottom"/>
          </w:tcPr>
          <w:p>
            <w:pPr>
              <w:spacing w:after="0"/>
              <w:rPr>
                <w:sz w:val="9"/>
                <w:szCs w:val="9"/>
                <w:color w:val="auto"/>
              </w:rPr>
            </w:pPr>
          </w:p>
        </w:tc>
        <w:tc>
          <w:tcPr>
            <w:tcW w:w="248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2480" w:type="dxa"/>
            <w:vAlign w:val="bottom"/>
            <w:tcBorders>
              <w:right w:val="single" w:sz="8" w:color="CCEEFF"/>
            </w:tcBorders>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40,213</w:t>
            </w:r>
          </w:p>
        </w:tc>
        <w:tc>
          <w:tcPr>
            <w:tcW w:w="1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57,316</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58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4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deferred tax asset before valuation allowance</w:t>
            </w:r>
          </w:p>
        </w:tc>
        <w:tc>
          <w:tcPr>
            <w:tcW w:w="2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73,729</w:t>
            </w: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61,441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4580" w:type="dxa"/>
            <w:vAlign w:val="bottom"/>
          </w:tcPr>
          <w:p>
            <w:pPr>
              <w:spacing w:after="0"/>
              <w:rPr>
                <w:sz w:val="2"/>
                <w:szCs w:val="2"/>
                <w:color w:val="auto"/>
              </w:rPr>
            </w:pPr>
          </w:p>
        </w:tc>
        <w:tc>
          <w:tcPr>
            <w:tcW w:w="2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tcPr>
          <w:p>
            <w:pPr>
              <w:spacing w:after="0"/>
              <w:rPr>
                <w:sz w:val="21"/>
                <w:szCs w:val="21"/>
                <w:color w:val="auto"/>
              </w:rPr>
            </w:pPr>
          </w:p>
        </w:tc>
        <w:tc>
          <w:tcPr>
            <w:tcW w:w="4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Valuation allowance</w:t>
            </w:r>
          </w:p>
        </w:tc>
        <w:tc>
          <w:tcPr>
            <w:tcW w:w="2480" w:type="dxa"/>
            <w:vAlign w:val="bottom"/>
            <w:tcBorders>
              <w:right w:val="single" w:sz="8" w:color="CCEEFF"/>
            </w:tcBorders>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(10,498)</w:t>
            </w:r>
          </w:p>
        </w:tc>
        <w:tc>
          <w:tcPr>
            <w:tcW w:w="38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(13,930)</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58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4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deferred tax asset</w:t>
            </w:r>
          </w:p>
        </w:tc>
        <w:tc>
          <w:tcPr>
            <w:tcW w:w="2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63,231</w:t>
            </w:r>
          </w:p>
        </w:tc>
        <w:tc>
          <w:tcPr>
            <w:tcW w:w="180" w:type="dxa"/>
            <w:vAlign w:val="bottom"/>
          </w:tcPr>
          <w:p>
            <w:pPr>
              <w:spacing w:after="0"/>
              <w:rPr>
                <w:sz w:val="24"/>
                <w:szCs w:val="24"/>
                <w:color w:val="auto"/>
              </w:rPr>
            </w:pPr>
          </w:p>
        </w:tc>
        <w:tc>
          <w:tcPr>
            <w:tcW w:w="380" w:type="dxa"/>
            <w:vAlign w:val="bottom"/>
          </w:tcPr>
          <w:p>
            <w:pPr>
              <w:jc w:val="right"/>
              <w:ind w:right="218"/>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47,511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58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580" w:type="dxa"/>
            <w:vAlign w:val="bottom"/>
          </w:tcPr>
          <w:p>
            <w:pPr>
              <w:spacing w:after="0"/>
              <w:rPr>
                <w:sz w:val="5"/>
                <w:szCs w:val="5"/>
                <w:color w:val="auto"/>
              </w:rPr>
            </w:pPr>
          </w:p>
        </w:tc>
        <w:tc>
          <w:tcPr>
            <w:tcW w:w="2480" w:type="dxa"/>
            <w:vAlign w:val="bottom"/>
            <w:tcBorders>
              <w:right w:val="single" w:sz="8" w:color="808080"/>
            </w:tcBorders>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2740" w:type="dxa"/>
            <w:vAlign w:val="bottom"/>
            <w:gridSpan w:val="2"/>
          </w:tcPr>
          <w:p>
            <w:pPr>
              <w:jc w:val="right"/>
              <w:ind w:right="1460"/>
              <w:spacing w:after="0"/>
              <w:rPr>
                <w:sz w:val="20"/>
                <w:szCs w:val="20"/>
                <w:color w:val="auto"/>
              </w:rPr>
            </w:pPr>
            <w:r>
              <w:rPr>
                <w:rFonts w:ascii="Times New Roman" w:cs="Times New Roman" w:eastAsia="Times New Roman" w:hAnsi="Times New Roman"/>
                <w:sz w:val="18"/>
                <w:szCs w:val="18"/>
                <w:color w:val="auto"/>
              </w:rPr>
              <w:t>F-23</w:t>
            </w: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5217160</wp:posOffset>
            </wp:positionH>
            <wp:positionV relativeFrom="paragraph">
              <wp:posOffset>-4290060</wp:posOffset>
            </wp:positionV>
            <wp:extent cx="12700" cy="8890"/>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-4290060</wp:posOffset>
            </wp:positionV>
            <wp:extent cx="12700" cy="8890"/>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-4290060</wp:posOffset>
            </wp:positionV>
            <wp:extent cx="12700" cy="8890"/>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-4290060</wp:posOffset>
            </wp:positionV>
            <wp:extent cx="12700" cy="8890"/>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-2515235</wp:posOffset>
            </wp:positionV>
            <wp:extent cx="12700" cy="8890"/>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-2515235</wp:posOffset>
            </wp:positionV>
            <wp:extent cx="12700" cy="8890"/>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-2515235</wp:posOffset>
            </wp:positionV>
            <wp:extent cx="12700" cy="8890"/>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-2515235</wp:posOffset>
            </wp:positionV>
            <wp:extent cx="12700" cy="8890"/>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-2206625</wp:posOffset>
            </wp:positionV>
            <wp:extent cx="12700" cy="8890"/>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-2206625</wp:posOffset>
            </wp:positionV>
            <wp:extent cx="12700" cy="8890"/>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-2206625</wp:posOffset>
            </wp:positionV>
            <wp:extent cx="12700" cy="8890"/>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-2206625</wp:posOffset>
            </wp:positionV>
            <wp:extent cx="12700" cy="8890"/>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-1451610</wp:posOffset>
            </wp:positionV>
            <wp:extent cx="12700" cy="8890"/>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-1451610</wp:posOffset>
            </wp:positionV>
            <wp:extent cx="12700" cy="8890"/>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-1451610</wp:posOffset>
            </wp:positionV>
            <wp:extent cx="12700" cy="8890"/>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-1451610</wp:posOffset>
            </wp:positionV>
            <wp:extent cx="12700" cy="8890"/>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-1143000</wp:posOffset>
            </wp:positionV>
            <wp:extent cx="12700" cy="8890"/>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-1143000</wp:posOffset>
            </wp:positionV>
            <wp:extent cx="12700" cy="8890"/>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-1143000</wp:posOffset>
            </wp:positionV>
            <wp:extent cx="12700" cy="8890"/>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-1143000</wp:posOffset>
            </wp:positionV>
            <wp:extent cx="12700" cy="8890"/>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-680085</wp:posOffset>
            </wp:positionV>
            <wp:extent cx="12700" cy="8890"/>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-680085</wp:posOffset>
            </wp:positionV>
            <wp:extent cx="12700" cy="8890"/>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-680085</wp:posOffset>
            </wp:positionV>
            <wp:extent cx="12700" cy="8890"/>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-680085</wp:posOffset>
            </wp:positionV>
            <wp:extent cx="12700" cy="8890"/>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136525</wp:posOffset>
            </wp:positionV>
            <wp:extent cx="7250430" cy="21590"/>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right="100" w:firstLine="341"/>
        <w:spacing w:after="0" w:line="289" w:lineRule="auto"/>
        <w:rPr>
          <w:sz w:val="20"/>
          <w:szCs w:val="20"/>
          <w:color w:val="auto"/>
        </w:rPr>
      </w:pPr>
      <w:r>
        <w:rPr>
          <w:rFonts w:ascii="Times New Roman" w:cs="Times New Roman" w:eastAsia="Times New Roman" w:hAnsi="Times New Roman"/>
          <w:sz w:val="16"/>
          <w:szCs w:val="16"/>
          <w:color w:val="auto"/>
        </w:rPr>
        <w:t>At December 31, 2002, the Company had approximately $76.7 million of federal net operating loss carryforwards ("NOL's"), which expire at various times through 2020. In addition, the Company has approximately $309.9 million of state NOL's which expire at various times through 2022. The utilization of</w:t>
      </w:r>
    </w:p>
    <w:p>
      <w:pPr>
        <w:spacing w:after="0" w:line="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$18 million of the $76.7 million federal NOL's are subject to limitations under Section 382 of the Internal Revenue Code on account of changes in the equity ownership. NOL's for both financial reporting and tax reporting purposes are subject to a valuation allowance established for the tax benefit associated with their respective unrealizable federal and state NOL's. The valuation allowance relates primarily to state NOL's and reduces deferred tax assets to an amount that represents management's best estimate of the amount of such deferred tax assets that more likely than not will be realized.</w:t>
      </w:r>
    </w:p>
    <w:p>
      <w:pPr>
        <w:spacing w:after="0" w:line="192" w:lineRule="exact"/>
        <w:rPr>
          <w:sz w:val="20"/>
          <w:szCs w:val="20"/>
          <w:color w:val="auto"/>
        </w:rPr>
      </w:pPr>
    </w:p>
    <w:p>
      <w:pPr>
        <w:ind w:right="180" w:firstLine="348"/>
        <w:spacing w:after="0" w:line="275" w:lineRule="auto"/>
        <w:rPr>
          <w:sz w:val="20"/>
          <w:szCs w:val="20"/>
          <w:color w:val="auto"/>
        </w:rPr>
      </w:pPr>
      <w:r>
        <w:rPr>
          <w:rFonts w:ascii="Times New Roman" w:cs="Times New Roman" w:eastAsia="Times New Roman" w:hAnsi="Times New Roman"/>
          <w:sz w:val="18"/>
          <w:szCs w:val="18"/>
          <w:color w:val="auto"/>
        </w:rPr>
        <w:t>The Canadian corporate income tax rates for years beginning in 2001 were decreased. The Company recorded $5.7 million and $4.1 million of income tax expense in 2001 and 2002, respectively, to reduce the net deferred tax assets in Canada related to the lower income tax rates.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STOCKHOLDERS' EQUITY</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During March 2000, the stockholders approved an increase in the number of authorized shares from 66,666,667 shares to 200,000,000 shares.</w:t>
      </w:r>
    </w:p>
    <w:p>
      <w:pPr>
        <w:spacing w:after="0" w:line="225" w:lineRule="exact"/>
        <w:rPr>
          <w:sz w:val="20"/>
          <w:szCs w:val="20"/>
          <w:color w:val="auto"/>
        </w:rPr>
      </w:pPr>
    </w:p>
    <w:p>
      <w:pPr>
        <w:ind w:right="60" w:firstLine="351"/>
        <w:spacing w:after="0" w:line="262" w:lineRule="auto"/>
        <w:rPr>
          <w:sz w:val="20"/>
          <w:szCs w:val="20"/>
          <w:color w:val="auto"/>
        </w:rPr>
      </w:pPr>
      <w:r>
        <w:rPr>
          <w:rFonts w:ascii="Times New Roman" w:cs="Times New Roman" w:eastAsia="Times New Roman" w:hAnsi="Times New Roman"/>
          <w:sz w:val="18"/>
          <w:szCs w:val="18"/>
          <w:color w:val="auto"/>
        </w:rPr>
        <w:t>In July 1999, the Company entered into a preferred stock purchase agreement and issued 120,000 shares of its Series A Cumulative Convertible Preferred Stock for proceeds of $120.0 million to an affiliate. In accordance with the terms of the preferred stock, the preferred stock was converted into 11,199,340 shares of common stock in connection with the Company's initial public offering on June 13, 2001.</w:t>
      </w:r>
    </w:p>
    <w:p>
      <w:pPr>
        <w:spacing w:after="0" w:line="186" w:lineRule="exact"/>
        <w:rPr>
          <w:sz w:val="20"/>
          <w:szCs w:val="20"/>
          <w:color w:val="auto"/>
        </w:rPr>
      </w:pPr>
    </w:p>
    <w:p>
      <w:pPr>
        <w:ind w:right="60" w:firstLine="351"/>
        <w:spacing w:after="0" w:line="255" w:lineRule="auto"/>
        <w:rPr>
          <w:sz w:val="20"/>
          <w:szCs w:val="20"/>
          <w:color w:val="auto"/>
        </w:rPr>
      </w:pPr>
      <w:r>
        <w:rPr>
          <w:rFonts w:ascii="Times New Roman" w:cs="Times New Roman" w:eastAsia="Times New Roman" w:hAnsi="Times New Roman"/>
          <w:sz w:val="18"/>
          <w:szCs w:val="18"/>
          <w:color w:val="auto"/>
        </w:rPr>
        <w:t>On June 13, 2001, the Company consummated an initial public offering, which consisted of 14,950,000 shares, including exercise of the underwriters' over-allotment option, of common stock, at a price to the public of $12.00 per share. After deducting expenses and underwriting discounts and commissions, the Company received net offering proceeds of approximately $160.8 million. The Company used proceeds of approximately $90.8 million to repay in full the outstanding balance of a term loan. The Company's Board of Directors authorized a one million share repurchase program in September 2001. The Company repurchased 418,200 shares of its common stock for approximately $6.2 million under this program in 2001. The Company repurchased none of its common stock in 2002.</w:t>
      </w:r>
    </w:p>
    <w:p>
      <w:pPr>
        <w:spacing w:after="0" w:line="1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STOCK COMPENSATION PLANS</w:t>
      </w:r>
    </w:p>
    <w:p>
      <w:pPr>
        <w:spacing w:after="0" w:line="227" w:lineRule="exact"/>
        <w:rPr>
          <w:sz w:val="20"/>
          <w:szCs w:val="20"/>
          <w:color w:val="auto"/>
        </w:rPr>
      </w:pPr>
    </w:p>
    <w:p>
      <w:pPr>
        <w:ind w:firstLine="351"/>
        <w:spacing w:after="0" w:line="301" w:lineRule="auto"/>
        <w:rPr>
          <w:sz w:val="20"/>
          <w:szCs w:val="20"/>
          <w:color w:val="auto"/>
        </w:rPr>
      </w:pPr>
      <w:r>
        <w:rPr>
          <w:rFonts w:ascii="Times New Roman" w:cs="Times New Roman" w:eastAsia="Times New Roman" w:hAnsi="Times New Roman"/>
          <w:sz w:val="16"/>
          <w:szCs w:val="16"/>
          <w:color w:val="auto"/>
        </w:rPr>
        <w:t>Certain of the Company's employees have been granted stock options under the Company's Stock Option and Restricted Stock Purchase Plan (the "Plan"), as amended and restated. The purpose of the Plan is to benefit and advance the interests of the Company by rewarding certain employees for their contributions to the financial success of the Company and thereby motivating them to continue to make such contributions in the future. The stock options generally vest over three to four years and expire 10 years after the date of grant. Terms of all awards are determined by the Board of Directors at the time of award.</w:t>
      </w:r>
    </w:p>
    <w:p>
      <w:pPr>
        <w:spacing w:after="0" w:line="157" w:lineRule="exact"/>
        <w:rPr>
          <w:sz w:val="20"/>
          <w:szCs w:val="20"/>
          <w:color w:val="auto"/>
        </w:rPr>
      </w:pPr>
    </w:p>
    <w:p>
      <w:pPr>
        <w:ind w:right="400" w:firstLine="348"/>
        <w:spacing w:after="0" w:line="275" w:lineRule="auto"/>
        <w:rPr>
          <w:sz w:val="20"/>
          <w:szCs w:val="20"/>
          <w:color w:val="auto"/>
        </w:rPr>
      </w:pPr>
      <w:r>
        <w:rPr>
          <w:rFonts w:ascii="Times New Roman" w:cs="Times New Roman" w:eastAsia="Times New Roman" w:hAnsi="Times New Roman"/>
          <w:sz w:val="18"/>
          <w:szCs w:val="18"/>
          <w:color w:val="auto"/>
        </w:rPr>
        <w:t>The fair value of each option grant is estimated on the date of grant using the Black-Scholes option-pricing model with the following weighted-average assumptions:</w:t>
      </w:r>
    </w:p>
    <w:p>
      <w:pPr>
        <w:spacing w:after="0" w:line="171"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4084955</wp:posOffset>
            </wp:positionH>
            <wp:positionV relativeFrom="paragraph">
              <wp:posOffset>69215</wp:posOffset>
            </wp:positionV>
            <wp:extent cx="1668145" cy="21590"/>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35">
                      <a:extLst>
                        <a:ext uri="{28A0092B-C50C-407E-A947-70E740481C1C}"/>
                      </a:extLst>
                    </a:blip>
                    <a:srcRect/>
                    <a:stretch>
                      <a:fillRect/>
                    </a:stretch>
                  </pic:blipFill>
                  <pic:spPr bwMode="auto">
                    <a:xfrm>
                      <a:off x="0" y="0"/>
                      <a:ext cx="1668145" cy="21590"/>
                    </a:xfrm>
                    <a:prstGeom prst="rect">
                      <a:avLst/>
                    </a:prstGeom>
                    <a:noFill/>
                  </pic:spPr>
                </pic:pic>
              </a:graphicData>
            </a:graphic>
          </wp:anchor>
        </w:drawing>
      </w:r>
    </w:p>
    <w:p>
      <w:pPr>
        <w:spacing w:after="0" w:line="211" w:lineRule="exact"/>
        <w:rPr>
          <w:sz w:val="20"/>
          <w:szCs w:val="20"/>
          <w:color w:val="auto"/>
        </w:rPr>
      </w:pPr>
    </w:p>
    <w:p>
      <w:pPr>
        <w:ind w:left="6680"/>
        <w:spacing w:after="0"/>
        <w:tabs>
          <w:tab w:leader="none" w:pos="7580" w:val="left"/>
          <w:tab w:leader="none" w:pos="8520" w:val="left"/>
        </w:tabs>
        <w:rPr>
          <w:sz w:val="20"/>
          <w:szCs w:val="20"/>
          <w:color w:val="auto"/>
        </w:rPr>
      </w:pPr>
      <w:r>
        <w:rPr>
          <w:rFonts w:ascii="Times New Roman" w:cs="Times New Roman" w:eastAsia="Times New Roman" w:hAnsi="Times New Roman"/>
          <w:sz w:val="14"/>
          <w:szCs w:val="14"/>
          <w:b w:val="1"/>
          <w:bCs w:val="1"/>
          <w:color w:val="auto"/>
        </w:rPr>
        <w:t>2000</w:t>
      </w:r>
      <w:r>
        <w:rPr>
          <w:sz w:val="20"/>
          <w:szCs w:val="20"/>
          <w:color w:val="auto"/>
        </w:rPr>
        <w:tab/>
      </w:r>
      <w:r>
        <w:rPr>
          <w:rFonts w:ascii="Times New Roman" w:cs="Times New Roman" w:eastAsia="Times New Roman" w:hAnsi="Times New Roman"/>
          <w:sz w:val="14"/>
          <w:szCs w:val="14"/>
          <w:b w:val="1"/>
          <w:bCs w:val="1"/>
          <w:color w:val="auto"/>
        </w:rPr>
        <w:t>2001</w:t>
      </w:r>
      <w:r>
        <w:rPr>
          <w:sz w:val="20"/>
          <w:szCs w:val="20"/>
          <w:color w:val="auto"/>
        </w:rPr>
        <w:tab/>
      </w:r>
      <w:r>
        <w:rPr>
          <w:rFonts w:ascii="Times New Roman" w:cs="Times New Roman" w:eastAsia="Times New Roman" w:hAnsi="Times New Roman"/>
          <w:sz w:val="12"/>
          <w:szCs w:val="12"/>
          <w:b w:val="1"/>
          <w:bCs w:val="1"/>
          <w:color w:val="auto"/>
        </w:rPr>
        <w:t>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5866130" cy="19050"/>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36">
                      <a:extLst>
                        <a:ext uri="{28A0092B-C50C-407E-A947-70E740481C1C}"/>
                      </a:extLst>
                    </a:blip>
                    <a:srcRect/>
                    <a:stretch>
                      <a:fillRect/>
                    </a:stretch>
                  </pic:blipFill>
                  <pic:spPr bwMode="auto">
                    <a:xfrm>
                      <a:off x="0" y="0"/>
                      <a:ext cx="5866130" cy="19050"/>
                    </a:xfrm>
                    <a:prstGeom prst="rect">
                      <a:avLst/>
                    </a:prstGeom>
                    <a:noFill/>
                  </pic:spPr>
                </pic:pic>
              </a:graphicData>
            </a:graphic>
          </wp:anchor>
        </w:drawing>
        <w:drawing>
          <wp:anchor simplePos="0" relativeHeight="251657728" behindDoc="1" locked="0" layoutInCell="0" allowOverlap="1">
            <wp:simplePos x="0" y="0"/>
            <wp:positionH relativeFrom="column">
              <wp:posOffset>4084955</wp:posOffset>
            </wp:positionH>
            <wp:positionV relativeFrom="paragraph">
              <wp:posOffset>69215</wp:posOffset>
            </wp:positionV>
            <wp:extent cx="1668145" cy="21590"/>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37">
                      <a:extLst>
                        <a:ext uri="{28A0092B-C50C-407E-A947-70E740481C1C}"/>
                      </a:extLst>
                    </a:blip>
                    <a:srcRect/>
                    <a:stretch>
                      <a:fillRect/>
                    </a:stretch>
                  </pic:blipFill>
                  <pic:spPr bwMode="auto">
                    <a:xfrm>
                      <a:off x="0" y="0"/>
                      <a:ext cx="1668145" cy="21590"/>
                    </a:xfrm>
                    <a:prstGeom prst="rect">
                      <a:avLst/>
                    </a:prstGeom>
                    <a:noFill/>
                  </pic:spPr>
                </pic:pic>
              </a:graphicData>
            </a:graphic>
          </wp:anchor>
        </w:drawing>
      </w:r>
    </w:p>
    <w:p>
      <w:pPr>
        <w:sectPr>
          <w:pgSz w:w="11900" w:h="16838" w:orient="portrait"/>
          <w:cols w:equalWidth="0" w:num="1">
            <w:col w:w="11380"/>
          </w:cols>
          <w:pgMar w:left="240" w:top="150" w:right="279" w:bottom="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spacing w:after="0"/>
              <w:rPr>
                <w:sz w:val="18"/>
                <w:szCs w:val="18"/>
                <w:color w:val="auto"/>
              </w:rPr>
            </w:pPr>
          </w:p>
        </w:tc>
        <w:tc>
          <w:tcPr>
            <w:tcW w:w="400" w:type="dxa"/>
            <w:vAlign w:val="bottom"/>
            <w:gridSpan w:val="2"/>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5"/>
              </w:rPr>
              <w:t>3.5%</w:t>
            </w: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life of options (years)</w:t>
            </w: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7"/>
              </w:rPr>
              <w:t>4.0</w:t>
            </w: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Assumed volatility</w:t>
            </w: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2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100" w:type="dxa"/>
            <w:vAlign w:val="bottom"/>
          </w:tcPr>
          <w:p>
            <w:pPr>
              <w:spacing w:after="0"/>
              <w:rPr>
                <w:sz w:val="18"/>
                <w:szCs w:val="18"/>
                <w:color w:val="auto"/>
              </w:rPr>
            </w:pPr>
          </w:p>
        </w:tc>
        <w:tc>
          <w:tcPr>
            <w:tcW w:w="8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48.0%</w:t>
            </w: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fair value</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3.60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3"/>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5.86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7.28</w:t>
            </w: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5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following table summarizes stock option activity under the Plan:</w:t>
            </w: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2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20" w:type="dxa"/>
            <w:vAlign w:val="bottom"/>
            <w:gridSpan w:val="3"/>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3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gridSpan w:val="2"/>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gridSpan w:val="5"/>
          </w:tcPr>
          <w:p>
            <w:pPr>
              <w:jc w:val="center"/>
              <w:ind w:right="352"/>
              <w:spacing w:after="0"/>
              <w:rPr>
                <w:sz w:val="20"/>
                <w:szCs w:val="20"/>
                <w:color w:val="auto"/>
              </w:rPr>
            </w:pPr>
            <w:r>
              <w:rPr>
                <w:rFonts w:ascii="Times New Roman" w:cs="Times New Roman" w:eastAsia="Times New Roman" w:hAnsi="Times New Roman"/>
                <w:sz w:val="14"/>
                <w:szCs w:val="14"/>
                <w:b w:val="1"/>
                <w:bCs w:val="1"/>
                <w:color w:val="auto"/>
                <w:w w:val="97"/>
              </w:rPr>
              <w:t>Weighted</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40" w:type="dxa"/>
            <w:vAlign w:val="bottom"/>
            <w:gridSpan w:val="5"/>
          </w:tcPr>
          <w:p>
            <w:pPr>
              <w:jc w:val="center"/>
              <w:ind w:right="352"/>
              <w:spacing w:after="0" w:line="149" w:lineRule="exact"/>
              <w:rPr>
                <w:sz w:val="20"/>
                <w:szCs w:val="20"/>
                <w:color w:val="auto"/>
              </w:rPr>
            </w:pPr>
            <w:r>
              <w:rPr>
                <w:rFonts w:ascii="Times New Roman" w:cs="Times New Roman" w:eastAsia="Times New Roman" w:hAnsi="Times New Roman"/>
                <w:sz w:val="14"/>
                <w:szCs w:val="14"/>
                <w:b w:val="1"/>
                <w:bCs w:val="1"/>
                <w:color w:val="auto"/>
                <w:w w:val="94"/>
              </w:rPr>
              <w:t>average</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4"/>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40" w:type="dxa"/>
            <w:vAlign w:val="bottom"/>
            <w:gridSpan w:val="5"/>
          </w:tcPr>
          <w:p>
            <w:pPr>
              <w:jc w:val="center"/>
              <w:ind w:right="352"/>
              <w:spacing w:after="0" w:line="149" w:lineRule="exact"/>
              <w:rPr>
                <w:sz w:val="20"/>
                <w:szCs w:val="20"/>
                <w:color w:val="auto"/>
              </w:rPr>
            </w:pPr>
            <w:r>
              <w:rPr>
                <w:rFonts w:ascii="Times New Roman" w:cs="Times New Roman" w:eastAsia="Times New Roman" w:hAnsi="Times New Roman"/>
                <w:sz w:val="14"/>
                <w:szCs w:val="14"/>
                <w:b w:val="1"/>
                <w:bCs w:val="1"/>
                <w:color w:val="auto"/>
                <w:w w:val="92"/>
              </w:rPr>
              <w:t>exercise</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6"/>
              </w:rPr>
              <w:t>exercise</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720" w:type="dxa"/>
            <w:vAlign w:val="bottom"/>
            <w:gridSpan w:val="2"/>
          </w:tcPr>
          <w:p>
            <w:pPr>
              <w:jc w:val="center"/>
              <w:ind w:left="321"/>
              <w:spacing w:after="0"/>
              <w:rPr>
                <w:sz w:val="20"/>
                <w:szCs w:val="20"/>
                <w:color w:val="auto"/>
              </w:rPr>
            </w:pPr>
            <w:r>
              <w:rPr>
                <w:rFonts w:ascii="Times New Roman" w:cs="Times New Roman" w:eastAsia="Times New Roman" w:hAnsi="Times New Roman"/>
                <w:sz w:val="14"/>
                <w:szCs w:val="14"/>
                <w:b w:val="1"/>
                <w:bCs w:val="1"/>
                <w:color w:val="auto"/>
                <w:w w:val="92"/>
              </w:rPr>
              <w:t>price</w:t>
            </w: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gridSpan w:val="3"/>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2"/>
              </w:rPr>
              <w:t>price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3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Borders>
              <w:bottom w:val="single" w:sz="8" w:color="808080"/>
            </w:tcBorders>
            <w:gridSpan w:val="2"/>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Borders>
              <w:bottom w:val="single" w:sz="8" w:color="808080"/>
            </w:tcBorders>
            <w:gridSpan w:val="2"/>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53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500" w:type="dxa"/>
            <w:vAlign w:val="bottom"/>
            <w:gridSpan w:val="9"/>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w w:val="98"/>
              </w:rPr>
              <w:t>(in thousands, except per share amounts)</w:t>
            </w:r>
          </w:p>
        </w:tc>
        <w:tc>
          <w:tcPr>
            <w:tcW w:w="9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53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January 1, 2000</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2,348</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44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w:t>
            </w:r>
          </w:p>
        </w:tc>
        <w:tc>
          <w:tcPr>
            <w:tcW w:w="2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Granted</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2,648</w:t>
            </w: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14.98</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3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Exercised</w:t>
            </w:r>
          </w:p>
        </w:tc>
        <w:tc>
          <w:tcPr>
            <w:tcW w:w="13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w:t>
            </w:r>
          </w:p>
        </w:tc>
        <w:tc>
          <w:tcPr>
            <w:tcW w:w="6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w:t>
            </w:r>
          </w:p>
        </w:tc>
        <w:tc>
          <w:tcPr>
            <w:tcW w:w="20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4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Cancelled</w:t>
            </w:r>
          </w:p>
        </w:tc>
        <w:tc>
          <w:tcPr>
            <w:tcW w:w="13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(96)</w:t>
            </w: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10.39</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5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42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920" w:type="dxa"/>
            <w:vAlign w:val="bottom"/>
            <w:tcBorders>
              <w:bottom w:val="single" w:sz="8" w:color="808080"/>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3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2000</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4,883</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44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12.45</w:t>
            </w:r>
          </w:p>
        </w:tc>
        <w:tc>
          <w:tcPr>
            <w:tcW w:w="2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1,232</w:t>
            </w:r>
          </w:p>
        </w:tc>
        <w:tc>
          <w:tcPr>
            <w:tcW w:w="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36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Granted</w:t>
            </w:r>
          </w:p>
        </w:tc>
        <w:tc>
          <w:tcPr>
            <w:tcW w:w="1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2,844</w:t>
            </w: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3"/>
              </w:rPr>
              <w:t>12.13</w:t>
            </w: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360" w:type="dxa"/>
            <w:vAlign w:val="bottom"/>
            <w:vMerge w:val="continue"/>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440" w:type="dxa"/>
            <w:vAlign w:val="bottom"/>
            <w:tcBorders>
              <w:right w:val="single" w:sz="8" w:color="808080"/>
            </w:tcBorders>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5360" w:type="dxa"/>
            <w:vAlign w:val="bottom"/>
            <w:vMerge w:val="continue"/>
          </w:tcPr>
          <w:p>
            <w:pPr>
              <w:spacing w:after="0"/>
              <w:rPr>
                <w:sz w:val="24"/>
                <w:szCs w:val="24"/>
                <w:color w:val="auto"/>
              </w:rPr>
            </w:pPr>
          </w:p>
        </w:tc>
        <w:tc>
          <w:tcPr>
            <w:tcW w:w="116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5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tcPr>
          <w:p>
            <w:pPr>
              <w:spacing w:after="0"/>
              <w:rPr>
                <w:sz w:val="21"/>
                <w:szCs w:val="21"/>
                <w:color w:val="auto"/>
              </w:rPr>
            </w:pPr>
          </w:p>
        </w:tc>
        <w:tc>
          <w:tcPr>
            <w:tcW w:w="53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Exercised</w:t>
            </w:r>
          </w:p>
        </w:tc>
        <w:tc>
          <w:tcPr>
            <w:tcW w:w="13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(238)</w:t>
            </w:r>
          </w:p>
        </w:tc>
        <w:tc>
          <w:tcPr>
            <w:tcW w:w="6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10.80</w:t>
            </w:r>
          </w:p>
        </w:tc>
        <w:tc>
          <w:tcPr>
            <w:tcW w:w="20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4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Cancelled</w:t>
            </w:r>
          </w:p>
        </w:tc>
        <w:tc>
          <w:tcPr>
            <w:tcW w:w="13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(970)</w:t>
            </w: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13.07</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5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42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920" w:type="dxa"/>
            <w:vAlign w:val="bottom"/>
            <w:tcBorders>
              <w:bottom w:val="single" w:sz="8" w:color="808080"/>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3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2001</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6,519</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44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12.34</w:t>
            </w:r>
          </w:p>
        </w:tc>
        <w:tc>
          <w:tcPr>
            <w:tcW w:w="2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2,353</w:t>
            </w:r>
          </w:p>
        </w:tc>
        <w:tc>
          <w:tcPr>
            <w:tcW w:w="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36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Granted</w:t>
            </w:r>
          </w:p>
        </w:tc>
        <w:tc>
          <w:tcPr>
            <w:tcW w:w="1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1,485</w:t>
            </w: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3"/>
              </w:rPr>
              <w:t>17.59</w:t>
            </w: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360" w:type="dxa"/>
            <w:vAlign w:val="bottom"/>
            <w:vMerge w:val="continue"/>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440" w:type="dxa"/>
            <w:vAlign w:val="bottom"/>
            <w:tcBorders>
              <w:right w:val="single" w:sz="8" w:color="808080"/>
            </w:tcBorders>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5360" w:type="dxa"/>
            <w:vAlign w:val="bottom"/>
            <w:vMerge w:val="continue"/>
          </w:tcPr>
          <w:p>
            <w:pPr>
              <w:spacing w:after="0"/>
              <w:rPr>
                <w:sz w:val="24"/>
                <w:szCs w:val="24"/>
                <w:color w:val="auto"/>
              </w:rPr>
            </w:pPr>
          </w:p>
        </w:tc>
        <w:tc>
          <w:tcPr>
            <w:tcW w:w="116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5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tcPr>
          <w:p>
            <w:pPr>
              <w:spacing w:after="0"/>
              <w:rPr>
                <w:sz w:val="21"/>
                <w:szCs w:val="21"/>
                <w:color w:val="auto"/>
              </w:rPr>
            </w:pPr>
          </w:p>
        </w:tc>
        <w:tc>
          <w:tcPr>
            <w:tcW w:w="53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Exercised</w:t>
            </w:r>
          </w:p>
        </w:tc>
        <w:tc>
          <w:tcPr>
            <w:tcW w:w="13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(664)</w:t>
            </w:r>
          </w:p>
        </w:tc>
        <w:tc>
          <w:tcPr>
            <w:tcW w:w="6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11.73</w:t>
            </w:r>
          </w:p>
        </w:tc>
        <w:tc>
          <w:tcPr>
            <w:tcW w:w="20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4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Cancelled</w:t>
            </w:r>
          </w:p>
        </w:tc>
        <w:tc>
          <w:tcPr>
            <w:tcW w:w="13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(319)</w:t>
            </w: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13.25</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5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42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920" w:type="dxa"/>
            <w:vAlign w:val="bottom"/>
            <w:tcBorders>
              <w:bottom w:val="single" w:sz="8" w:color="808080"/>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3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2002</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7,021</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44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13.48</w:t>
            </w:r>
          </w:p>
        </w:tc>
        <w:tc>
          <w:tcPr>
            <w:tcW w:w="2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3,418</w:t>
            </w:r>
          </w:p>
        </w:tc>
        <w:tc>
          <w:tcPr>
            <w:tcW w:w="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360" w:type="dxa"/>
            <w:vAlign w:val="bottom"/>
          </w:tcPr>
          <w:p>
            <w:pPr>
              <w:spacing w:after="0"/>
              <w:rPr>
                <w:sz w:val="9"/>
                <w:szCs w:val="9"/>
                <w:color w:val="auto"/>
              </w:rPr>
            </w:pPr>
          </w:p>
        </w:tc>
        <w:tc>
          <w:tcPr>
            <w:tcW w:w="440" w:type="dxa"/>
            <w:vAlign w:val="bottom"/>
          </w:tcPr>
          <w:p>
            <w:pPr>
              <w:spacing w:after="0"/>
              <w:rPr>
                <w:sz w:val="9"/>
                <w:szCs w:val="9"/>
                <w:color w:val="auto"/>
              </w:rPr>
            </w:pPr>
          </w:p>
        </w:tc>
        <w:tc>
          <w:tcPr>
            <w:tcW w:w="920" w:type="dxa"/>
            <w:vAlign w:val="bottom"/>
            <w:gridSpan w:val="2"/>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3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420" w:type="dxa"/>
            <w:vAlign w:val="bottom"/>
            <w:tcBorders>
              <w:right w:val="single" w:sz="8" w:color="808080"/>
            </w:tcBorders>
            <w:shd w:val="clear" w:color="auto" w:fill="808080"/>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440" w:type="dxa"/>
            <w:vAlign w:val="bottom"/>
            <w:tcBorders>
              <w:right w:val="single" w:sz="8" w:color="808080"/>
            </w:tcBorders>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1360" w:type="dxa"/>
            <w:vAlign w:val="bottom"/>
            <w:gridSpan w:val="3"/>
          </w:tcPr>
          <w:p>
            <w:pPr>
              <w:jc w:val="right"/>
              <w:ind w:right="860"/>
              <w:spacing w:after="0"/>
              <w:rPr>
                <w:sz w:val="20"/>
                <w:szCs w:val="20"/>
                <w:color w:val="auto"/>
              </w:rPr>
            </w:pPr>
            <w:r>
              <w:rPr>
                <w:rFonts w:ascii="Times New Roman" w:cs="Times New Roman" w:eastAsia="Times New Roman" w:hAnsi="Times New Roman"/>
                <w:sz w:val="18"/>
                <w:szCs w:val="18"/>
                <w:color w:val="auto"/>
              </w:rPr>
              <w:t>F-25</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4985385</wp:posOffset>
            </wp:positionH>
            <wp:positionV relativeFrom="paragraph">
              <wp:posOffset>-4050030</wp:posOffset>
            </wp:positionV>
            <wp:extent cx="12700" cy="8890"/>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3690620</wp:posOffset>
            </wp:positionH>
            <wp:positionV relativeFrom="paragraph">
              <wp:posOffset>-4050030</wp:posOffset>
            </wp:positionV>
            <wp:extent cx="12700" cy="8890"/>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-4050030</wp:posOffset>
            </wp:positionV>
            <wp:extent cx="12700" cy="8890"/>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-4050030</wp:posOffset>
            </wp:positionV>
            <wp:extent cx="12700" cy="8890"/>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-3518535</wp:posOffset>
            </wp:positionV>
            <wp:extent cx="12700" cy="8890"/>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3690620</wp:posOffset>
            </wp:positionH>
            <wp:positionV relativeFrom="paragraph">
              <wp:posOffset>-3518535</wp:posOffset>
            </wp:positionV>
            <wp:extent cx="12700" cy="8890"/>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-3518535</wp:posOffset>
            </wp:positionV>
            <wp:extent cx="12700" cy="8890"/>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4273550</wp:posOffset>
            </wp:positionH>
            <wp:positionV relativeFrom="paragraph">
              <wp:posOffset>-3518535</wp:posOffset>
            </wp:positionV>
            <wp:extent cx="12700" cy="8890"/>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9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-3518535</wp:posOffset>
            </wp:positionV>
            <wp:extent cx="12700" cy="8890"/>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9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-3518535</wp:posOffset>
            </wp:positionV>
            <wp:extent cx="12700" cy="8890"/>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9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-3518535</wp:posOffset>
            </wp:positionV>
            <wp:extent cx="12700" cy="8890"/>
            <wp:wrapNone/>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9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-3518535</wp:posOffset>
            </wp:positionV>
            <wp:extent cx="12700" cy="8890"/>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9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-2515235</wp:posOffset>
            </wp:positionV>
            <wp:extent cx="12700" cy="8890"/>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9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3690620</wp:posOffset>
            </wp:positionH>
            <wp:positionV relativeFrom="paragraph">
              <wp:posOffset>-2515235</wp:posOffset>
            </wp:positionV>
            <wp:extent cx="12700" cy="8890"/>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9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-2515235</wp:posOffset>
            </wp:positionV>
            <wp:extent cx="12700" cy="8890"/>
            <wp:wrapNone/>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9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4273550</wp:posOffset>
            </wp:positionH>
            <wp:positionV relativeFrom="paragraph">
              <wp:posOffset>-2515235</wp:posOffset>
            </wp:positionV>
            <wp:extent cx="12700" cy="8890"/>
            <wp:wrapNone/>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9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-2515235</wp:posOffset>
            </wp:positionV>
            <wp:extent cx="12700" cy="8890"/>
            <wp:wrapNone/>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9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-2515235</wp:posOffset>
            </wp:positionV>
            <wp:extent cx="12700" cy="8890"/>
            <wp:wrapNone/>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9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-2515235</wp:posOffset>
            </wp:positionV>
            <wp:extent cx="12700" cy="8890"/>
            <wp:wrapNone/>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9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-2515235</wp:posOffset>
            </wp:positionV>
            <wp:extent cx="12700" cy="8890"/>
            <wp:wrapNone/>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9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-1588770</wp:posOffset>
            </wp:positionV>
            <wp:extent cx="12700" cy="8890"/>
            <wp:wrapNone/>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9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3690620</wp:posOffset>
            </wp:positionH>
            <wp:positionV relativeFrom="paragraph">
              <wp:posOffset>-1588770</wp:posOffset>
            </wp:positionV>
            <wp:extent cx="12700" cy="8890"/>
            <wp:wrapNone/>
            <wp:docPr id="952"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pic:cNvPicPr>
                      <a:picLocks noChangeAspect="1" noChangeArrowheads="1"/>
                    </pic:cNvPicPr>
                  </pic:nvPicPr>
                  <pic:blipFill>
                    <a:blip r:embed="rId9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-1588770</wp:posOffset>
            </wp:positionV>
            <wp:extent cx="12700" cy="8890"/>
            <wp:wrapNone/>
            <wp:docPr id="953"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9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4273550</wp:posOffset>
            </wp:positionH>
            <wp:positionV relativeFrom="paragraph">
              <wp:posOffset>-1588770</wp:posOffset>
            </wp:positionV>
            <wp:extent cx="12700" cy="8890"/>
            <wp:wrapNone/>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9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-1588770</wp:posOffset>
            </wp:positionV>
            <wp:extent cx="12700" cy="8890"/>
            <wp:wrapNone/>
            <wp:docPr id="955"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pic:cNvPicPr>
                      <a:picLocks noChangeAspect="1" noChangeArrowheads="1"/>
                    </pic:cNvPicPr>
                  </pic:nvPicPr>
                  <pic:blipFill>
                    <a:blip r:embed="rId9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-1588770</wp:posOffset>
            </wp:positionV>
            <wp:extent cx="12700" cy="8890"/>
            <wp:wrapNone/>
            <wp:docPr id="956" name="Picture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pic:cNvPicPr>
                      <a:picLocks noChangeAspect="1" noChangeArrowheads="1"/>
                    </pic:cNvPicPr>
                  </pic:nvPicPr>
                  <pic:blipFill>
                    <a:blip r:embed="rId9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-1588770</wp:posOffset>
            </wp:positionV>
            <wp:extent cx="12700" cy="8890"/>
            <wp:wrapNone/>
            <wp:docPr id="957" name="Picture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pic:cNvPicPr>
                      <a:picLocks noChangeAspect="1" noChangeArrowheads="1"/>
                    </pic:cNvPicPr>
                  </pic:nvPicPr>
                  <pic:blipFill>
                    <a:blip r:embed="rId9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-1588770</wp:posOffset>
            </wp:positionV>
            <wp:extent cx="12700" cy="8890"/>
            <wp:wrapNone/>
            <wp:docPr id="958" name="Picture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pic:cNvPicPr>
                      <a:picLocks noChangeAspect="1" noChangeArrowheads="1"/>
                    </pic:cNvPicPr>
                  </pic:nvPicPr>
                  <pic:blipFill>
                    <a:blip r:embed="rId9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-662940</wp:posOffset>
            </wp:positionV>
            <wp:extent cx="12700" cy="8890"/>
            <wp:wrapNone/>
            <wp:docPr id="959" name="Picture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pic:cNvPicPr>
                      <a:picLocks noChangeAspect="1" noChangeArrowheads="1"/>
                    </pic:cNvPicPr>
                  </pic:nvPicPr>
                  <pic:blipFill>
                    <a:blip r:embed="rId9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3690620</wp:posOffset>
            </wp:positionH>
            <wp:positionV relativeFrom="paragraph">
              <wp:posOffset>-662940</wp:posOffset>
            </wp:positionV>
            <wp:extent cx="12700" cy="8890"/>
            <wp:wrapNone/>
            <wp:docPr id="960" name="Picture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pic:cNvPicPr>
                      <a:picLocks noChangeAspect="1" noChangeArrowheads="1"/>
                    </pic:cNvPicPr>
                  </pic:nvPicPr>
                  <pic:blipFill>
                    <a:blip r:embed="rId9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-662940</wp:posOffset>
            </wp:positionV>
            <wp:extent cx="12700" cy="8890"/>
            <wp:wrapNone/>
            <wp:docPr id="961" name="Picture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pic:cNvPicPr>
                      <a:picLocks noChangeAspect="1" noChangeArrowheads="1"/>
                    </pic:cNvPicPr>
                  </pic:nvPicPr>
                  <pic:blipFill>
                    <a:blip r:embed="rId9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4273550</wp:posOffset>
            </wp:positionH>
            <wp:positionV relativeFrom="paragraph">
              <wp:posOffset>-662940</wp:posOffset>
            </wp:positionV>
            <wp:extent cx="12700" cy="8890"/>
            <wp:wrapNone/>
            <wp:docPr id="962" name="Picture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pic:cNvPicPr>
                      <a:picLocks noChangeAspect="1" noChangeArrowheads="1"/>
                    </pic:cNvPicPr>
                  </pic:nvPicPr>
                  <pic:blipFill>
                    <a:blip r:embed="rId9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-662940</wp:posOffset>
            </wp:positionV>
            <wp:extent cx="12700" cy="8890"/>
            <wp:wrapNone/>
            <wp:docPr id="963" name="Picture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pic:cNvPicPr>
                      <a:picLocks noChangeAspect="1" noChangeArrowheads="1"/>
                    </pic:cNvPicPr>
                  </pic:nvPicPr>
                  <pic:blipFill>
                    <a:blip r:embed="rId9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-662940</wp:posOffset>
            </wp:positionV>
            <wp:extent cx="12700" cy="8890"/>
            <wp:wrapNone/>
            <wp:docPr id="964" name="Picture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pic:cNvPicPr>
                      <a:picLocks noChangeAspect="1" noChangeArrowheads="1"/>
                    </pic:cNvPicPr>
                  </pic:nvPicPr>
                  <pic:blipFill>
                    <a:blip r:embed="rId9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-662940</wp:posOffset>
            </wp:positionV>
            <wp:extent cx="12700" cy="8890"/>
            <wp:wrapNone/>
            <wp:docPr id="965" name="Picture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pic:cNvPicPr>
                      <a:picLocks noChangeAspect="1" noChangeArrowheads="1"/>
                    </pic:cNvPicPr>
                  </pic:nvPicPr>
                  <pic:blipFill>
                    <a:blip r:embed="rId9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-662940</wp:posOffset>
            </wp:positionV>
            <wp:extent cx="12700" cy="8890"/>
            <wp:wrapNone/>
            <wp:docPr id="966" name="Picture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pic:cNvPicPr>
                      <a:picLocks noChangeAspect="1" noChangeArrowheads="1"/>
                    </pic:cNvPicPr>
                  </pic:nvPicPr>
                  <pic:blipFill>
                    <a:blip r:embed="rId9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136525</wp:posOffset>
            </wp:positionV>
            <wp:extent cx="7250430" cy="21590"/>
            <wp:wrapNone/>
            <wp:docPr id="967" name="Picture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pic:cNvPicPr>
                      <a:picLocks noChangeAspect="1" noChangeArrowheads="1"/>
                    </pic:cNvPicPr>
                  </pic:nvPicPr>
                  <pic:blipFill>
                    <a:blip r:embed="rId9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following table summarizes information concerning currently outstanding and exercisable stock options at December 31, 2002:</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4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1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Exercisable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Remaining</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3"/>
              </w:rPr>
              <w:t>Weighted</w:t>
            </w: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center"/>
              <w:ind w:right="104"/>
              <w:spacing w:after="0"/>
              <w:rPr>
                <w:sz w:val="20"/>
                <w:szCs w:val="20"/>
                <w:color w:val="auto"/>
              </w:rPr>
            </w:pPr>
            <w:r>
              <w:rPr>
                <w:rFonts w:ascii="Times New Roman" w:cs="Times New Roman" w:eastAsia="Times New Roman" w:hAnsi="Times New Roman"/>
                <w:sz w:val="14"/>
                <w:szCs w:val="14"/>
                <w:b w:val="1"/>
                <w:bCs w:val="1"/>
                <w:color w:val="auto"/>
                <w:w w:val="93"/>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6"/>
              </w:rPr>
              <w:t>contractual</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average</w:t>
            </w: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jc w:val="center"/>
              <w:ind w:right="104"/>
              <w:spacing w:after="0" w:line="149" w:lineRule="exact"/>
              <w:rPr>
                <w:sz w:val="20"/>
                <w:szCs w:val="20"/>
                <w:color w:val="auto"/>
              </w:rPr>
            </w:pPr>
            <w:r>
              <w:rPr>
                <w:rFonts w:ascii="Times New Roman" w:cs="Times New Roman" w:eastAsia="Times New Roman" w:hAnsi="Times New Roman"/>
                <w:sz w:val="14"/>
                <w:szCs w:val="14"/>
                <w:b w:val="1"/>
                <w:bCs w:val="1"/>
                <w:color w:val="auto"/>
                <w:w w:val="98"/>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6"/>
              </w:rPr>
              <w:t>life</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w w:val="96"/>
              </w:rPr>
              <w:t>exercise</w:t>
            </w: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jc w:val="center"/>
              <w:ind w:right="104"/>
              <w:spacing w:after="0" w:line="149" w:lineRule="exact"/>
              <w:rPr>
                <w:sz w:val="20"/>
                <w:szCs w:val="20"/>
                <w:color w:val="auto"/>
              </w:rPr>
            </w:pPr>
            <w:r>
              <w:rPr>
                <w:rFonts w:ascii="Times New Roman" w:cs="Times New Roman" w:eastAsia="Times New Roman" w:hAnsi="Times New Roman"/>
                <w:sz w:val="14"/>
                <w:szCs w:val="14"/>
                <w:b w:val="1"/>
                <w:bCs w:val="1"/>
                <w:color w:val="auto"/>
                <w:w w:val="96"/>
              </w:rPr>
              <w:t>exercise</w:t>
            </w:r>
          </w:p>
        </w:tc>
        <w:tc>
          <w:tcPr>
            <w:tcW w:w="0" w:type="dxa"/>
            <w:vAlign w:val="bottom"/>
          </w:tcPr>
          <w:p>
            <w:pPr>
              <w:spacing w:after="0"/>
              <w:rPr>
                <w:sz w:val="1"/>
                <w:szCs w:val="1"/>
                <w:color w:val="auto"/>
              </w:rPr>
            </w:pPr>
          </w:p>
        </w:tc>
      </w:tr>
      <w:tr>
        <w:trPr>
          <w:trHeight w:val="178"/>
        </w:trPr>
        <w:tc>
          <w:tcPr>
            <w:tcW w:w="48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Range of exercise prices</w:t>
            </w:r>
          </w:p>
        </w:tc>
        <w:tc>
          <w:tcPr>
            <w:tcW w:w="9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0"/>
              </w:rPr>
              <w:t>(Years)</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8"/>
              </w:rPr>
              <w:t>price</w:t>
            </w:r>
          </w:p>
        </w:tc>
        <w:tc>
          <w:tcPr>
            <w:tcW w:w="780" w:type="dxa"/>
            <w:vAlign w:val="bottom"/>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jc w:val="center"/>
              <w:ind w:right="104"/>
              <w:spacing w:after="0"/>
              <w:rPr>
                <w:sz w:val="20"/>
                <w:szCs w:val="20"/>
                <w:color w:val="auto"/>
              </w:rPr>
            </w:pPr>
            <w:r>
              <w:rPr>
                <w:rFonts w:ascii="Times New Roman" w:cs="Times New Roman" w:eastAsia="Times New Roman" w:hAnsi="Times New Roman"/>
                <w:sz w:val="14"/>
                <w:szCs w:val="14"/>
                <w:b w:val="1"/>
                <w:bCs w:val="1"/>
                <w:color w:val="auto"/>
                <w:w w:val="98"/>
              </w:rPr>
              <w:t>price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6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200" w:type="dxa"/>
            <w:vAlign w:val="bottom"/>
            <w:gridSpan w:val="2"/>
          </w:tcPr>
          <w:p>
            <w:pPr>
              <w:spacing w:after="0"/>
              <w:rPr>
                <w:sz w:val="9"/>
                <w:szCs w:val="9"/>
                <w:color w:val="auto"/>
              </w:rPr>
            </w:pPr>
          </w:p>
        </w:tc>
        <w:tc>
          <w:tcPr>
            <w:tcW w:w="1080" w:type="dxa"/>
            <w:vAlign w:val="bottom"/>
            <w:tcBorders>
              <w:bottom w:val="single" w:sz="8" w:color="808080"/>
            </w:tcBorders>
            <w:gridSpan w:val="2"/>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46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340" w:type="dxa"/>
            <w:vAlign w:val="bottom"/>
            <w:gridSpan w:val="7"/>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(In thousands, except per share amounts)</w:t>
            </w: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4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$9.00 to $12.00</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3,657</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11.01</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2,222</w:t>
            </w:r>
          </w:p>
        </w:tc>
        <w:tc>
          <w:tcPr>
            <w:tcW w:w="400" w:type="dxa"/>
            <w:vAlign w:val="bottom"/>
            <w:gridSpan w:val="2"/>
            <w:shd w:val="clear" w:color="auto" w:fill="CCEEFF"/>
          </w:tcPr>
          <w:p>
            <w:pPr>
              <w:jc w:val="center"/>
              <w:ind w:left="3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$12.01 to $15.00</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2,714</w:t>
            </w:r>
          </w:p>
        </w:tc>
        <w:tc>
          <w:tcPr>
            <w:tcW w:w="2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14.93</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1,181</w:t>
            </w:r>
          </w:p>
        </w:tc>
        <w:tc>
          <w:tcPr>
            <w:tcW w:w="400" w:type="dxa"/>
            <w:vAlign w:val="bottom"/>
            <w:gridSpan w:val="2"/>
          </w:tcPr>
          <w:p>
            <w:pPr>
              <w:jc w:val="center"/>
              <w:ind w:left="3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$15.01 to $26.00</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9.4</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21.27</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400" w:type="dxa"/>
            <w:vAlign w:val="bottom"/>
            <w:gridSpan w:val="2"/>
            <w:shd w:val="clear" w:color="auto" w:fill="CCEEFF"/>
          </w:tcPr>
          <w:p>
            <w:pPr>
              <w:jc w:val="center"/>
              <w:ind w:left="3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16.45</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7,021</w:t>
            </w: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3,418</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660" w:type="dxa"/>
            <w:vAlign w:val="bottom"/>
          </w:tcPr>
          <w:p>
            <w:pPr>
              <w:spacing w:after="0"/>
              <w:rPr>
                <w:sz w:val="5"/>
                <w:szCs w:val="5"/>
                <w:color w:val="auto"/>
              </w:rPr>
            </w:pPr>
          </w:p>
        </w:tc>
        <w:tc>
          <w:tcPr>
            <w:tcW w:w="200" w:type="dxa"/>
            <w:vAlign w:val="bottom"/>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900" w:type="dxa"/>
            <w:vAlign w:val="bottom"/>
          </w:tcPr>
          <w:p>
            <w:pPr>
              <w:spacing w:after="0"/>
              <w:rPr>
                <w:sz w:val="5"/>
                <w:szCs w:val="5"/>
                <w:color w:val="auto"/>
              </w:rPr>
            </w:pPr>
          </w:p>
        </w:tc>
        <w:tc>
          <w:tcPr>
            <w:tcW w:w="200" w:type="dxa"/>
            <w:vAlign w:val="bottom"/>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9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-1669415</wp:posOffset>
            </wp:positionV>
            <wp:extent cx="12700" cy="8890"/>
            <wp:wrapNone/>
            <wp:docPr id="968" name="Picture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pic:cNvPicPr>
                      <a:picLocks noChangeAspect="1" noChangeArrowheads="1"/>
                    </pic:cNvPicPr>
                  </pic:nvPicPr>
                  <pic:blipFill>
                    <a:blip r:embed="rId9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3098800</wp:posOffset>
            </wp:positionH>
            <wp:positionV relativeFrom="paragraph">
              <wp:posOffset>-1669415</wp:posOffset>
            </wp:positionV>
            <wp:extent cx="12700" cy="8890"/>
            <wp:wrapNone/>
            <wp:docPr id="969" name="Picture 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
                    <pic:cNvPicPr>
                      <a:picLocks noChangeAspect="1" noChangeArrowheads="1"/>
                    </pic:cNvPicPr>
                  </pic:nvPicPr>
                  <pic:blipFill>
                    <a:blip r:embed="rId9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-1669415</wp:posOffset>
            </wp:positionV>
            <wp:extent cx="12700" cy="8890"/>
            <wp:wrapNone/>
            <wp:docPr id="970" name="Picture 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pic:cNvPicPr>
                      <a:picLocks noChangeAspect="1" noChangeArrowheads="1"/>
                    </pic:cNvPicPr>
                  </pic:nvPicPr>
                  <pic:blipFill>
                    <a:blip r:embed="rId9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-1669415</wp:posOffset>
            </wp:positionV>
            <wp:extent cx="12700" cy="8890"/>
            <wp:wrapNone/>
            <wp:docPr id="971" name="Picture 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pic:cNvPicPr>
                      <a:picLocks noChangeAspect="1" noChangeArrowheads="1"/>
                    </pic:cNvPicPr>
                  </pic:nvPicPr>
                  <pic:blipFill>
                    <a:blip r:embed="rId9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2961640</wp:posOffset>
            </wp:positionH>
            <wp:positionV relativeFrom="paragraph">
              <wp:posOffset>-1137920</wp:posOffset>
            </wp:positionV>
            <wp:extent cx="12700" cy="8890"/>
            <wp:wrapNone/>
            <wp:docPr id="972" name="Picture 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
                    <pic:cNvPicPr>
                      <a:picLocks noChangeAspect="1" noChangeArrowheads="1"/>
                    </pic:cNvPicPr>
                  </pic:nvPicPr>
                  <pic:blipFill>
                    <a:blip r:embed="rId9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-1137920</wp:posOffset>
            </wp:positionV>
            <wp:extent cx="12700" cy="8890"/>
            <wp:wrapNone/>
            <wp:docPr id="973" name="Picture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3"/>
                    <pic:cNvPicPr>
                      <a:picLocks noChangeAspect="1" noChangeArrowheads="1"/>
                    </pic:cNvPicPr>
                  </pic:nvPicPr>
                  <pic:blipFill>
                    <a:blip r:embed="rId9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-1137920</wp:posOffset>
            </wp:positionV>
            <wp:extent cx="12700" cy="8890"/>
            <wp:wrapNone/>
            <wp:docPr id="974" name="Picture 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
                    <pic:cNvPicPr>
                      <a:picLocks noChangeAspect="1" noChangeArrowheads="1"/>
                    </pic:cNvPicPr>
                  </pic:nvPicPr>
                  <pic:blipFill>
                    <a:blip r:embed="rId9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3098800</wp:posOffset>
            </wp:positionH>
            <wp:positionV relativeFrom="paragraph">
              <wp:posOffset>-1137920</wp:posOffset>
            </wp:positionV>
            <wp:extent cx="12700" cy="8890"/>
            <wp:wrapNone/>
            <wp:docPr id="975" name="Picture 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5"/>
                    <pic:cNvPicPr>
                      <a:picLocks noChangeAspect="1" noChangeArrowheads="1"/>
                    </pic:cNvPicPr>
                  </pic:nvPicPr>
                  <pic:blipFill>
                    <a:blip r:embed="rId9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-1137920</wp:posOffset>
            </wp:positionV>
            <wp:extent cx="12700" cy="8890"/>
            <wp:wrapNone/>
            <wp:docPr id="976" name="Picture 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pic:cNvPicPr>
                      <a:picLocks noChangeAspect="1" noChangeArrowheads="1"/>
                    </pic:cNvPicPr>
                  </pic:nvPicPr>
                  <pic:blipFill>
                    <a:blip r:embed="rId9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-1137920</wp:posOffset>
            </wp:positionV>
            <wp:extent cx="12700" cy="8890"/>
            <wp:wrapNone/>
            <wp:docPr id="977" name="Picture 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7"/>
                    <pic:cNvPicPr>
                      <a:picLocks noChangeAspect="1" noChangeArrowheads="1"/>
                    </pic:cNvPicPr>
                  </pic:nvPicPr>
                  <pic:blipFill>
                    <a:blip r:embed="rId9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-1137920</wp:posOffset>
            </wp:positionV>
            <wp:extent cx="12700" cy="8890"/>
            <wp:wrapNone/>
            <wp:docPr id="978" name="Picture 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pic:cNvPicPr>
                      <a:picLocks noChangeAspect="1" noChangeArrowheads="1"/>
                    </pic:cNvPicPr>
                  </pic:nvPicPr>
                  <pic:blipFill>
                    <a:blip r:embed="rId9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-1137920</wp:posOffset>
            </wp:positionV>
            <wp:extent cx="12700" cy="8890"/>
            <wp:wrapNone/>
            <wp:docPr id="979" name="Picture 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9"/>
                    <pic:cNvPicPr>
                      <a:picLocks noChangeAspect="1" noChangeArrowheads="1"/>
                    </pic:cNvPicPr>
                  </pic:nvPicPr>
                  <pic:blipFill>
                    <a:blip r:embed="rId9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-1137920</wp:posOffset>
            </wp:positionV>
            <wp:extent cx="12700" cy="8890"/>
            <wp:wrapNone/>
            <wp:docPr id="980" name="Picture 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0"/>
                    <pic:cNvPicPr>
                      <a:picLocks noChangeAspect="1" noChangeArrowheads="1"/>
                    </pic:cNvPicPr>
                  </pic:nvPicPr>
                  <pic:blipFill>
                    <a:blip r:embed="rId9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-1137920</wp:posOffset>
            </wp:positionV>
            <wp:extent cx="12700" cy="8890"/>
            <wp:wrapNone/>
            <wp:docPr id="981" name="Picture 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1"/>
                    <pic:cNvPicPr>
                      <a:picLocks noChangeAspect="1" noChangeArrowheads="1"/>
                    </pic:cNvPicPr>
                  </pic:nvPicPr>
                  <pic:blipFill>
                    <a:blip r:embed="rId9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-1137920</wp:posOffset>
            </wp:positionV>
            <wp:extent cx="12700" cy="8890"/>
            <wp:wrapNone/>
            <wp:docPr id="982" name="Picture 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2"/>
                    <pic:cNvPicPr>
                      <a:picLocks noChangeAspect="1" noChangeArrowheads="1"/>
                    </pic:cNvPicPr>
                  </pic:nvPicPr>
                  <pic:blipFill>
                    <a:blip r:embed="rId9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-1137920</wp:posOffset>
            </wp:positionV>
            <wp:extent cx="12700" cy="8890"/>
            <wp:wrapNone/>
            <wp:docPr id="983" name="Picture 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pic:cNvPicPr>
                      <a:picLocks noChangeAspect="1" noChangeArrowheads="1"/>
                    </pic:cNvPicPr>
                  </pic:nvPicPr>
                  <pic:blipFill>
                    <a:blip r:embed="rId9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-323215</wp:posOffset>
            </wp:positionV>
            <wp:extent cx="12700" cy="8890"/>
            <wp:wrapNone/>
            <wp:docPr id="984" name="Picture 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4"/>
                    <pic:cNvPicPr>
                      <a:picLocks noChangeAspect="1" noChangeArrowheads="1"/>
                    </pic:cNvPicPr>
                  </pic:nvPicPr>
                  <pic:blipFill>
                    <a:blip r:embed="rId9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3098800</wp:posOffset>
            </wp:positionH>
            <wp:positionV relativeFrom="paragraph">
              <wp:posOffset>-323215</wp:posOffset>
            </wp:positionV>
            <wp:extent cx="12700" cy="8890"/>
            <wp:wrapNone/>
            <wp:docPr id="985" name="Picture 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5"/>
                    <pic:cNvPicPr>
                      <a:picLocks noChangeAspect="1" noChangeArrowheads="1"/>
                    </pic:cNvPicPr>
                  </pic:nvPicPr>
                  <pic:blipFill>
                    <a:blip r:embed="rId9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-323215</wp:posOffset>
            </wp:positionV>
            <wp:extent cx="12700" cy="8890"/>
            <wp:wrapNone/>
            <wp:docPr id="986" name="Picture 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6"/>
                    <pic:cNvPicPr>
                      <a:picLocks noChangeAspect="1" noChangeArrowheads="1"/>
                    </pic:cNvPicPr>
                  </pic:nvPicPr>
                  <pic:blipFill>
                    <a:blip r:embed="rId9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-323215</wp:posOffset>
            </wp:positionV>
            <wp:extent cx="12700" cy="8890"/>
            <wp:wrapNone/>
            <wp:docPr id="987" name="Picture 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7"/>
                    <pic:cNvPicPr>
                      <a:picLocks noChangeAspect="1" noChangeArrowheads="1"/>
                    </pic:cNvPicPr>
                  </pic:nvPicPr>
                  <pic:blipFill>
                    <a:blip r:embed="rId99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7" w:lineRule="exact"/>
        <w:rPr>
          <w:sz w:val="20"/>
          <w:szCs w:val="20"/>
          <w:color w:val="auto"/>
        </w:rPr>
      </w:pPr>
    </w:p>
    <w:p>
      <w:pPr>
        <w:ind w:right="220" w:firstLine="348"/>
        <w:spacing w:after="0" w:line="256" w:lineRule="auto"/>
        <w:rPr>
          <w:sz w:val="20"/>
          <w:szCs w:val="20"/>
          <w:color w:val="auto"/>
        </w:rPr>
      </w:pPr>
      <w:r>
        <w:rPr>
          <w:rFonts w:ascii="Times New Roman" w:cs="Times New Roman" w:eastAsia="Times New Roman" w:hAnsi="Times New Roman"/>
          <w:sz w:val="18"/>
          <w:szCs w:val="18"/>
          <w:color w:val="auto"/>
        </w:rPr>
        <w:t>The Plan also provides for the granting of performance-based restricted stock awards to certain officers of the Company. As of December 31, 2002, performance-based restricted stock awards representing an aggregate of 310,760 shares had been granted and were outstanding with 225,440 shares no longer subject to restrictions. The restricted shares subject to these grants will not vest unless specified performance measures tied to either EBITDA or return on stockholders' equity are met. If these performance targets are met, some of these restricted shares will vest at the end of a five year period. However, the Company's Board of Directors may accelerate vesting if certain annual EBITDA performance targets are met.</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EMPLOYEE BENEFIT PLANS</w:t>
      </w:r>
    </w:p>
    <w:p>
      <w:pPr>
        <w:spacing w:after="0" w:line="227" w:lineRule="exact"/>
        <w:rPr>
          <w:sz w:val="20"/>
          <w:szCs w:val="20"/>
          <w:color w:val="auto"/>
        </w:rPr>
      </w:pPr>
    </w:p>
    <w:p>
      <w:pPr>
        <w:ind w:firstLine="348"/>
        <w:spacing w:after="0" w:line="289" w:lineRule="auto"/>
        <w:rPr>
          <w:sz w:val="20"/>
          <w:szCs w:val="20"/>
          <w:color w:val="auto"/>
        </w:rPr>
      </w:pPr>
      <w:r>
        <w:rPr>
          <w:rFonts w:ascii="Times New Roman" w:cs="Times New Roman" w:eastAsia="Times New Roman" w:hAnsi="Times New Roman"/>
          <w:sz w:val="16"/>
          <w:szCs w:val="16"/>
          <w:color w:val="auto"/>
        </w:rPr>
        <w:t>The Company maintains a 401(k) profit sharing plan, which covers all eligible U.S. employees. Participants can, in accordance with Internal Revenue Service ("IRS") guidelines, set aside both pre and post tax savings in this account. In addition to their own savings, the Company contributes to plan participants' accounts in three different ways. First, each pay period the Company matches dollar for dollar on the first three percent set aside by the participant. Second, in addition to the Company match, participants are eligible once a year at the discretion of the Board of Directors for a match based on the second three percent set aside by the plan participant. Third, the Company contributes to each plan participant's account in the form of a retirement contribution that is formula based, factoring in age and years of service with the Company. The maximum annual retirement contribution an employee could potentially receive is 12% of their eligible pay. The participants in the plan can direct their contributions and the Company's matching contribution to nine investment options, including the Company's common stock. Participant contributions vest immediately and the Company's contributions vest based on a five year vesting service schedule. Company contributions for associates age 65 or older vest immediately. Contributions for the years ended December 31, 2000, 2001 and 2002 were $5.5 million,</w:t>
      </w:r>
    </w:p>
    <w:p>
      <w:pPr>
        <w:sectPr>
          <w:pgSz w:w="11900" w:h="16838" w:orient="portrait"/>
          <w:cols w:equalWidth="0" w:num="1">
            <w:col w:w="11320"/>
          </w:cols>
          <w:pgMar w:left="240" w:top="140" w:right="339" w:bottom="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color w:val="auto"/>
        </w:rPr>
        <w:t>$6.9 million and $8.3 million, respectively. The Company also provides a Deferred Profit Sharing Plan for its Canadian employees after one year of service.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contributions range from one to four percent of earnings, based on years of service.</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88" name="Picture 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8"/>
                    <pic:cNvPicPr>
                      <a:picLocks noChangeAspect="1" noChangeArrowheads="1"/>
                    </pic:cNvPicPr>
                  </pic:nvPicPr>
                  <pic:blipFill>
                    <a:blip r:embed="rId9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EMPLOYEE BENEFIT PLANS (Continued)</w:t>
      </w:r>
    </w:p>
    <w:p>
      <w:pPr>
        <w:spacing w:after="0" w:line="227" w:lineRule="exact"/>
        <w:rPr>
          <w:sz w:val="20"/>
          <w:szCs w:val="20"/>
          <w:color w:val="auto"/>
        </w:rPr>
      </w:pPr>
    </w:p>
    <w:p>
      <w:pPr>
        <w:ind w:right="40" w:firstLine="351"/>
        <w:spacing w:after="0" w:line="255" w:lineRule="auto"/>
        <w:rPr>
          <w:sz w:val="20"/>
          <w:szCs w:val="20"/>
          <w:color w:val="auto"/>
        </w:rPr>
      </w:pPr>
      <w:r>
        <w:rPr>
          <w:rFonts w:ascii="Times New Roman" w:cs="Times New Roman" w:eastAsia="Times New Roman" w:hAnsi="Times New Roman"/>
          <w:sz w:val="18"/>
          <w:szCs w:val="18"/>
          <w:color w:val="auto"/>
        </w:rPr>
        <w:t>In February 2001, the Company adopted an Employee Stock Purchase Plan and reserved 1,500,000 shares of common stock for issuance under the plan. In accordance with IRS regulations, the plan permits our eligible employees and those of our designated subsidiaries to purchase the common stock of the Company at a 15% discount to the fair market value through payroll deductions. No employee may purchase more than $25,000 in stock under the plan in any calendar year. The fair market value is determined each quarter as the lesser of the closing price on the first business day of the quarter or the last business day of the quarter. Approximately 133,000 shares of common stock have been purchased under the plan since its adoption, with approximately 106,000 shares purchased in 2002.</w:t>
      </w:r>
    </w:p>
    <w:p>
      <w:pPr>
        <w:spacing w:after="0" w:line="193" w:lineRule="exact"/>
        <w:rPr>
          <w:sz w:val="20"/>
          <w:szCs w:val="20"/>
          <w:color w:val="auto"/>
        </w:rPr>
      </w:pPr>
    </w:p>
    <w:p>
      <w:pPr>
        <w:ind w:right="140" w:firstLine="348"/>
        <w:spacing w:after="0" w:line="262" w:lineRule="auto"/>
        <w:rPr>
          <w:sz w:val="20"/>
          <w:szCs w:val="20"/>
          <w:color w:val="auto"/>
        </w:rPr>
      </w:pPr>
      <w:r>
        <w:rPr>
          <w:rFonts w:ascii="Times New Roman" w:cs="Times New Roman" w:eastAsia="Times New Roman" w:hAnsi="Times New Roman"/>
          <w:sz w:val="18"/>
          <w:szCs w:val="18"/>
          <w:color w:val="auto"/>
        </w:rPr>
        <w:t>The Company also maintains a Supplemental Executive Retirement Plan ("SERP"), which was amended in December 2002, effective January 1, 2003. The SERP provides an opportunity for a select group of management and highly compensated employees to defer on a pre-tax basis a portion of their regular compensation and bonuses payable for services rendered and to receive certain employer contributions.</w:t>
      </w:r>
    </w:p>
    <w:p>
      <w:pPr>
        <w:spacing w:after="0" w:line="184" w:lineRule="exact"/>
        <w:rPr>
          <w:sz w:val="20"/>
          <w:szCs w:val="20"/>
          <w:color w:val="auto"/>
        </w:rPr>
      </w:pPr>
    </w:p>
    <w:p>
      <w:pPr>
        <w:ind w:right="7720" w:firstLine="8"/>
        <w:spacing w:after="0" w:line="565" w:lineRule="auto"/>
        <w:tabs>
          <w:tab w:leader="none" w:pos="307" w:val="left"/>
        </w:tabs>
        <w:numPr>
          <w:ilvl w:val="0"/>
          <w:numId w:val="3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COMMITMENTS AND CONTINGENCIES AIR MILES Reward Program</w:t>
      </w:r>
    </w:p>
    <w:p>
      <w:pPr>
        <w:ind w:right="180" w:firstLine="348"/>
        <w:spacing w:after="0" w:line="262" w:lineRule="auto"/>
        <w:rPr>
          <w:sz w:val="20"/>
          <w:szCs w:val="20"/>
          <w:color w:val="auto"/>
        </w:rPr>
      </w:pPr>
      <w:r>
        <w:rPr>
          <w:rFonts w:ascii="Times New Roman" w:cs="Times New Roman" w:eastAsia="Times New Roman" w:hAnsi="Times New Roman"/>
          <w:sz w:val="18"/>
          <w:szCs w:val="18"/>
          <w:color w:val="auto"/>
        </w:rPr>
        <w:t>The Company has entered into certain contractual arrangements that result in a fee being billed to sponsors upon redemption of AIR MILES reward miles. The Company has obtained revolving letters of credit from certain of these sponsors that expire at various dates. These letters of credit total $65.0 million at December 31, 2002, which exceeds the estimated amount of the obligation to provide travel and other rewards.</w:t>
      </w:r>
    </w:p>
    <w:p>
      <w:pPr>
        <w:spacing w:after="0" w:line="186" w:lineRule="exact"/>
        <w:rPr>
          <w:sz w:val="20"/>
          <w:szCs w:val="20"/>
          <w:color w:val="auto"/>
        </w:rPr>
      </w:pPr>
    </w:p>
    <w:p>
      <w:pPr>
        <w:ind w:right="180" w:firstLine="348"/>
        <w:spacing w:after="0" w:line="275" w:lineRule="auto"/>
        <w:rPr>
          <w:sz w:val="20"/>
          <w:szCs w:val="20"/>
          <w:color w:val="auto"/>
        </w:rPr>
      </w:pPr>
      <w:r>
        <w:rPr>
          <w:rFonts w:ascii="Times New Roman" w:cs="Times New Roman" w:eastAsia="Times New Roman" w:hAnsi="Times New Roman"/>
          <w:sz w:val="18"/>
          <w:szCs w:val="18"/>
          <w:color w:val="auto"/>
        </w:rPr>
        <w:t>The Company currently has an obligation to fund redemption of AIR MILES reward miles as they are redeemed by collectors. The Company believes that the redemption settlement assets are sufficient to meet that obligation.</w:t>
      </w:r>
    </w:p>
    <w:p>
      <w:pPr>
        <w:spacing w:after="0" w:line="174" w:lineRule="exact"/>
        <w:rPr>
          <w:sz w:val="20"/>
          <w:szCs w:val="20"/>
          <w:color w:val="auto"/>
        </w:rPr>
      </w:pPr>
    </w:p>
    <w:p>
      <w:pPr>
        <w:jc w:val="both"/>
        <w:ind w:right="120" w:firstLine="348"/>
        <w:spacing w:after="0" w:line="262" w:lineRule="auto"/>
        <w:rPr>
          <w:sz w:val="20"/>
          <w:szCs w:val="20"/>
          <w:color w:val="auto"/>
        </w:rPr>
      </w:pPr>
      <w:r>
        <w:rPr>
          <w:rFonts w:ascii="Times New Roman" w:cs="Times New Roman" w:eastAsia="Times New Roman" w:hAnsi="Times New Roman"/>
          <w:sz w:val="18"/>
          <w:szCs w:val="18"/>
          <w:color w:val="auto"/>
        </w:rPr>
        <w:t>The Company has entered into certain long-term arrangements to purchase tickets from an airline and other suppliers in connection with redemptions under the AIR MILES Reward Program. These long-term arrangements allow the Company to make purchases at set prices. At December 31, 2002, the Company had no material minimum purchase commitments with these suppliers.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227" w:lineRule="exact"/>
        <w:rPr>
          <w:sz w:val="20"/>
          <w:szCs w:val="20"/>
          <w:color w:val="auto"/>
        </w:rPr>
      </w:pPr>
    </w:p>
    <w:p>
      <w:pPr>
        <w:ind w:right="280" w:firstLine="348"/>
        <w:spacing w:after="0" w:line="262" w:lineRule="auto"/>
        <w:rPr>
          <w:sz w:val="20"/>
          <w:szCs w:val="20"/>
          <w:color w:val="auto"/>
        </w:rPr>
      </w:pPr>
      <w:r>
        <w:rPr>
          <w:rFonts w:ascii="Times New Roman" w:cs="Times New Roman" w:eastAsia="Times New Roman" w:hAnsi="Times New Roman"/>
          <w:sz w:val="18"/>
          <w:szCs w:val="18"/>
          <w:color w:val="auto"/>
        </w:rPr>
        <w:t>The Company leases certain office facilities and equipment under noncancellable operating leases and is generally responsible for property taxes and insurance related to such facilities. Lease expense was $54.7 million, $56.9 million and $47.3 million for the years ended December 31, 2000, 2001 and 2002, respectively.</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89" name="Picture 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9"/>
                    <pic:cNvPicPr>
                      <a:picLocks noChangeAspect="1" noChangeArrowheads="1"/>
                    </pic:cNvPicPr>
                  </pic:nvPicPr>
                  <pic:blipFill>
                    <a:blip r:embed="rId9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Future annual minimum rental payments required under noncancellable operating leases, some of which contain renewal options, as of December 31, 2002 are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8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Year:</w:t>
            </w: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8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8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2003</w:t>
            </w:r>
          </w:p>
        </w:tc>
        <w:tc>
          <w:tcPr>
            <w:tcW w:w="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36,066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Times New Roman" w:cs="Times New Roman" w:eastAsia="Times New Roman" w:hAnsi="Times New Roman"/>
                <w:sz w:val="18"/>
                <w:szCs w:val="18"/>
                <w:color w:val="auto"/>
              </w:rPr>
              <w:t>2004</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2005</w:t>
            </w:r>
          </w:p>
        </w:tc>
        <w:tc>
          <w:tcPr>
            <w:tcW w:w="18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Times New Roman" w:cs="Times New Roman" w:eastAsia="Times New Roman" w:hAnsi="Times New Roman"/>
                <w:sz w:val="18"/>
                <w:szCs w:val="18"/>
                <w:color w:val="auto"/>
              </w:rPr>
              <w:t>2006</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2007</w:t>
            </w:r>
          </w:p>
        </w:tc>
        <w:tc>
          <w:tcPr>
            <w:tcW w:w="18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84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12,975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8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8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118,840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8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840" w:type="dxa"/>
            <w:vAlign w:val="bottom"/>
          </w:tcPr>
          <w:p>
            <w:pPr>
              <w:spacing w:after="0"/>
              <w:rPr>
                <w:sz w:val="5"/>
                <w:szCs w:val="5"/>
                <w:color w:val="auto"/>
              </w:rPr>
            </w:pPr>
          </w:p>
        </w:tc>
        <w:tc>
          <w:tcPr>
            <w:tcW w:w="180" w:type="dxa"/>
            <w:vAlign w:val="bottom"/>
            <w:tcBorders>
              <w:right w:val="single" w:sz="8" w:color="808080"/>
            </w:tcBorders>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4977130</wp:posOffset>
            </wp:positionH>
            <wp:positionV relativeFrom="paragraph">
              <wp:posOffset>-1300480</wp:posOffset>
            </wp:positionV>
            <wp:extent cx="12700" cy="8890"/>
            <wp:wrapNone/>
            <wp:docPr id="990" name="Picture 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0"/>
                    <pic:cNvPicPr>
                      <a:picLocks noChangeAspect="1" noChangeArrowheads="1"/>
                    </pic:cNvPicPr>
                  </pic:nvPicPr>
                  <pic:blipFill>
                    <a:blip r:embed="rId9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-1300480</wp:posOffset>
            </wp:positionV>
            <wp:extent cx="12700" cy="8890"/>
            <wp:wrapNone/>
            <wp:docPr id="991" name="Picture 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1"/>
                    <pic:cNvPicPr>
                      <a:picLocks noChangeAspect="1" noChangeArrowheads="1"/>
                    </pic:cNvPicPr>
                  </pic:nvPicPr>
                  <pic:blipFill>
                    <a:blip r:embed="rId9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-323215</wp:posOffset>
            </wp:positionV>
            <wp:extent cx="12700" cy="8890"/>
            <wp:wrapNone/>
            <wp:docPr id="992" name="Picture 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2"/>
                    <pic:cNvPicPr>
                      <a:picLocks noChangeAspect="1" noChangeArrowheads="1"/>
                    </pic:cNvPicPr>
                  </pic:nvPicPr>
                  <pic:blipFill>
                    <a:blip r:embed="rId9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-323215</wp:posOffset>
            </wp:positionV>
            <wp:extent cx="12700" cy="8890"/>
            <wp:wrapNone/>
            <wp:docPr id="993" name="Picture 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3"/>
                    <pic:cNvPicPr>
                      <a:picLocks noChangeAspect="1" noChangeArrowheads="1"/>
                    </pic:cNvPicPr>
                  </pic:nvPicPr>
                  <pic:blipFill>
                    <a:blip r:embed="rId100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WFNNB</w:t>
      </w:r>
    </w:p>
    <w:p>
      <w:pPr>
        <w:spacing w:after="0" w:line="227" w:lineRule="exact"/>
        <w:rPr>
          <w:sz w:val="20"/>
          <w:szCs w:val="20"/>
          <w:color w:val="auto"/>
        </w:rPr>
      </w:pPr>
    </w:p>
    <w:p>
      <w:pPr>
        <w:ind w:right="60" w:firstLine="348"/>
        <w:spacing w:after="0" w:line="296" w:lineRule="auto"/>
        <w:rPr>
          <w:sz w:val="20"/>
          <w:szCs w:val="20"/>
          <w:color w:val="auto"/>
        </w:rPr>
      </w:pPr>
      <w:r>
        <w:rPr>
          <w:rFonts w:ascii="Times New Roman" w:cs="Times New Roman" w:eastAsia="Times New Roman" w:hAnsi="Times New Roman"/>
          <w:sz w:val="16"/>
          <w:szCs w:val="16"/>
          <w:color w:val="auto"/>
        </w:rPr>
        <w:t>WFNNB is subject to various regulatory capital requirements administered by the federal banking agencies. Failure to meet minimum capital requirements can initiate certain mandatory and possibly additional discretionary actions by regulators that, if undertaken, could have a direct material effect on the Company's financial statements. Under capital adequacy guidelines and the regulatory framework for prompt corrective action, WFNNB must meet specific capital guidelines that involve quantitative measures of its assets, liabilities and certain off-balance-sheet items as calculated under regulatory accounting practices. The capital amounts and classification are also subject to qualitative judgments by the regulators about components, risk weightings, and other factors.</w:t>
      </w:r>
    </w:p>
    <w:p>
      <w:pPr>
        <w:spacing w:after="0" w:line="162" w:lineRule="exact"/>
        <w:rPr>
          <w:sz w:val="20"/>
          <w:szCs w:val="20"/>
          <w:color w:val="auto"/>
        </w:rPr>
      </w:pPr>
    </w:p>
    <w:p>
      <w:pPr>
        <w:ind w:firstLine="351"/>
        <w:spacing w:after="0" w:line="255" w:lineRule="auto"/>
        <w:rPr>
          <w:sz w:val="20"/>
          <w:szCs w:val="20"/>
          <w:color w:val="auto"/>
        </w:rPr>
      </w:pPr>
      <w:r>
        <w:rPr>
          <w:rFonts w:ascii="Times New Roman" w:cs="Times New Roman" w:eastAsia="Times New Roman" w:hAnsi="Times New Roman"/>
          <w:sz w:val="18"/>
          <w:szCs w:val="18"/>
          <w:color w:val="auto"/>
        </w:rPr>
        <w:t>Before WFNNB can pay dividends to ADSC, it must obtain prior regulatory approval if all dividends declared in any calendar year would exceed its net profits for that year plus its retained net profits for the preceding two calendar years, less any transfers to surplus. In addition, WFNNB may only pay dividends to the extent that retained net profits, including the portion transferred to surplus, exceed bad debts. Moreover, to pay any dividend, WFNNB must maintain adequate capital above regulatory guidelines. Further, if a regulatory authority believes that WFNNB is engaged in or is about to engage in an unsafe or unsound banking practice, which, depending on its financial condition, could include the payment of dividends, the authority may require, after notice and hearing, that WFNNB cease and desist from the unsafe practice.</w:t>
      </w:r>
    </w:p>
    <w:p>
      <w:pPr>
        <w:sectPr>
          <w:pgSz w:w="11900" w:h="16838" w:orient="portrait"/>
          <w:cols w:equalWidth="0" w:num="1">
            <w:col w:w="11400"/>
          </w:cols>
          <w:pgMar w:left="240" w:top="125" w:right="259" w:bottom="122" w:gutter="0" w:footer="0" w:header="0"/>
        </w:sectPr>
      </w:pPr>
    </w:p>
    <w:bookmarkStart w:id="46" w:name="page47"/>
    <w:bookmarkEnd w:id="46"/>
    <w:p>
      <w:pPr>
        <w:ind w:right="60" w:firstLine="351"/>
        <w:spacing w:after="0" w:line="254" w:lineRule="auto"/>
        <w:rPr>
          <w:sz w:val="20"/>
          <w:szCs w:val="20"/>
          <w:color w:val="auto"/>
        </w:rPr>
      </w:pPr>
      <w:r>
        <w:rPr>
          <w:rFonts w:ascii="Times New Roman" w:cs="Times New Roman" w:eastAsia="Times New Roman" w:hAnsi="Times New Roman"/>
          <w:sz w:val="18"/>
          <w:szCs w:val="18"/>
          <w:color w:val="auto"/>
        </w:rPr>
        <w:t>Quantitative measures established by regulation to ensure capital adequacy require WFNNB to maintain minimum amounts and ratios of total and Tier 1 capital (as defined in the regulations) to risk weighted assets (as defined) and of Tier 1 capital to average assets (as defined) ("total capital ratio", "Tier 1 capital ratio" and "leverage ratio", respectively). Under the regulations, a "well capitalized" institution must have a Tier 1 capital ratio of at least 6%, a total capital ratio of at least 10% and a leverage ratio of at least 5% and not be subject to a capital directive order. An "adequately capitalized" institution must have a Tier 1 capital ratio of at least 4%, a total capital ratio of at least 8% and a leverage ratio of at least 4%, but 3% is allowed in some cases. Under these guidelines, WFNNB is considered well capitalized. As of December 31, 2002, WFNNB's Tier 1 capital ratio was 19.2%, total capital ratio was 19.7% and leverage ratio was 46.1%, and WFNNB was not subject to a capital directive order.</w:t>
      </w:r>
    </w:p>
    <w:p>
      <w:pPr>
        <w:spacing w:after="0" w:line="1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94" name="Picture 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4"/>
                    <pic:cNvPicPr>
                      <a:picLocks noChangeAspect="1" noChangeArrowheads="1"/>
                    </pic:cNvPicPr>
                  </pic:nvPicPr>
                  <pic:blipFill>
                    <a:blip r:embed="rId10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Cardholders</w:t>
      </w:r>
    </w:p>
    <w:p>
      <w:pPr>
        <w:spacing w:after="0" w:line="227" w:lineRule="exact"/>
        <w:rPr>
          <w:sz w:val="20"/>
          <w:szCs w:val="20"/>
          <w:color w:val="auto"/>
        </w:rPr>
      </w:pPr>
    </w:p>
    <w:p>
      <w:pPr>
        <w:ind w:firstLine="348"/>
        <w:spacing w:after="0" w:line="262" w:lineRule="auto"/>
        <w:rPr>
          <w:sz w:val="20"/>
          <w:szCs w:val="20"/>
          <w:color w:val="auto"/>
        </w:rPr>
      </w:pPr>
      <w:r>
        <w:rPr>
          <w:rFonts w:ascii="Times New Roman" w:cs="Times New Roman" w:eastAsia="Times New Roman" w:hAnsi="Times New Roman"/>
          <w:sz w:val="18"/>
          <w:szCs w:val="18"/>
          <w:color w:val="auto"/>
        </w:rPr>
        <w:t>The Company's Credit Services segment is active in originating private label credit cards in the United States. The Company reviews each potential customer's credit application and evaluates the applicant's financial history and ability and perceived willingness to repay. Credit card loans are made primarily on an unsecured basis. Card holders reside throughout the United States and are not significantly concentrated in any one area.</w:t>
      </w:r>
    </w:p>
    <w:p>
      <w:pPr>
        <w:spacing w:after="0" w:line="186" w:lineRule="exact"/>
        <w:rPr>
          <w:sz w:val="20"/>
          <w:szCs w:val="20"/>
          <w:color w:val="auto"/>
        </w:rPr>
      </w:pPr>
    </w:p>
    <w:p>
      <w:pPr>
        <w:ind w:right="40" w:firstLine="351"/>
        <w:spacing w:after="0" w:line="258" w:lineRule="auto"/>
        <w:rPr>
          <w:sz w:val="20"/>
          <w:szCs w:val="20"/>
          <w:color w:val="auto"/>
        </w:rPr>
      </w:pPr>
      <w:r>
        <w:rPr>
          <w:rFonts w:ascii="Times New Roman" w:cs="Times New Roman" w:eastAsia="Times New Roman" w:hAnsi="Times New Roman"/>
          <w:sz w:val="18"/>
          <w:szCs w:val="18"/>
          <w:color w:val="auto"/>
        </w:rPr>
        <w:t>Holders of credit cards issued by the Company have available lines of credit, which vary by cardholders, that can be used for purchases of merchandise offered for sale by clients of the Company. These lines of credit represent elements of risk in excess of the amount recognized in the financial statements. The lines of credit are subject to change or cancellation by the Company. As of December 31, 2002, WFNNB had approximately 23.6 million accountholders , having an unused line of credit averaging $725 per account.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FINANCIAL INSTRUMENTS</w:t>
      </w:r>
    </w:p>
    <w:p>
      <w:pPr>
        <w:spacing w:after="0" w:line="227" w:lineRule="exact"/>
        <w:rPr>
          <w:sz w:val="20"/>
          <w:szCs w:val="20"/>
          <w:color w:val="auto"/>
        </w:rPr>
      </w:pPr>
    </w:p>
    <w:p>
      <w:pPr>
        <w:ind w:right="60" w:firstLine="348"/>
        <w:spacing w:after="0" w:line="258" w:lineRule="auto"/>
        <w:rPr>
          <w:sz w:val="20"/>
          <w:szCs w:val="20"/>
          <w:color w:val="auto"/>
        </w:rPr>
      </w:pPr>
      <w:r>
        <w:rPr>
          <w:rFonts w:ascii="Times New Roman" w:cs="Times New Roman" w:eastAsia="Times New Roman" w:hAnsi="Times New Roman"/>
          <w:sz w:val="18"/>
          <w:szCs w:val="18"/>
          <w:color w:val="auto"/>
        </w:rPr>
        <w:t>The Company is a party to financial instruments with off-balance sheet risk in the normal course of business to meet the financial needs of its customers and to reduce its own exposure to fluctuations in interest rates. These financial instruments include commitments to extend credit through charge cards and interest rate swaps. Such instruments involve, to varying degrees, elements of credit and interest rate risk in excess of the amount recognized in the balance sheet. The contract or notional amounts of these instruments reflect the extent of the Company's involvement in particular classes of financial instruments.</w:t>
      </w:r>
    </w:p>
    <w:p>
      <w:pPr>
        <w:spacing w:after="0" w:line="18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r>
        <w:rPr>
          <w:rFonts w:ascii="Times New Roman" w:cs="Times New Roman" w:eastAsia="Times New Roman" w:hAnsi="Times New Roman"/>
          <w:sz w:val="18"/>
          <w:szCs w:val="18"/>
          <w:color w:val="auto"/>
        </w:rPr>
        <w:t>—The estimated fair values of the Company's financial instruments were as follows: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43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80" w:type="dxa"/>
            <w:vAlign w:val="bottom"/>
            <w:gridSpan w:val="4"/>
          </w:tcPr>
          <w:p>
            <w:pPr>
              <w:jc w:val="right"/>
              <w:ind w:right="75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34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gridSpan w:val="2"/>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gridSpan w:val="2"/>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43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2001</w:t>
            </w:r>
          </w:p>
        </w:tc>
        <w:tc>
          <w:tcPr>
            <w:tcW w:w="9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2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2002</w:t>
            </w: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34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ind w:right="378"/>
              <w:spacing w:after="0"/>
              <w:rPr>
                <w:sz w:val="20"/>
                <w:szCs w:val="20"/>
                <w:color w:val="auto"/>
              </w:rPr>
            </w:pPr>
            <w:r>
              <w:rPr>
                <w:rFonts w:ascii="Times New Roman" w:cs="Times New Roman" w:eastAsia="Times New Roman" w:hAnsi="Times New Roman"/>
                <w:sz w:val="14"/>
                <w:szCs w:val="14"/>
                <w:b w:val="1"/>
                <w:bCs w:val="1"/>
                <w:color w:val="auto"/>
              </w:rPr>
              <w:t>Fair</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3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ind w:right="33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34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Borders>
              <w:bottom w:val="single" w:sz="8" w:color="808080"/>
            </w:tcBorders>
            <w:gridSpan w:val="2"/>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43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280" w:type="dxa"/>
            <w:vAlign w:val="bottom"/>
            <w:gridSpan w:val="4"/>
          </w:tcPr>
          <w:p>
            <w:pPr>
              <w:jc w:val="right"/>
              <w:ind w:right="737"/>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43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117,535</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117,535</w:t>
            </w: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30,439</w:t>
            </w: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30,439</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3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Due from card associations</w:t>
            </w:r>
          </w:p>
        </w:tc>
        <w:tc>
          <w:tcPr>
            <w:tcW w:w="8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46,554</w:t>
            </w:r>
          </w:p>
        </w:tc>
        <w:tc>
          <w:tcPr>
            <w:tcW w:w="2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46,554</w:t>
            </w:r>
          </w:p>
        </w:tc>
        <w:tc>
          <w:tcPr>
            <w:tcW w:w="2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27,294</w:t>
            </w:r>
          </w:p>
        </w:tc>
        <w:tc>
          <w:tcPr>
            <w:tcW w:w="2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27,294</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Trade receivables</w:t>
            </w: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88,444</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88,444</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89,097</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89,097</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3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Seller's interest and credit card receivables, net</w:t>
            </w:r>
          </w:p>
        </w:tc>
        <w:tc>
          <w:tcPr>
            <w:tcW w:w="8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128,793</w:t>
            </w:r>
          </w:p>
        </w:tc>
        <w:tc>
          <w:tcPr>
            <w:tcW w:w="2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128,793</w:t>
            </w:r>
          </w:p>
        </w:tc>
        <w:tc>
          <w:tcPr>
            <w:tcW w:w="2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147,899</w:t>
            </w:r>
          </w:p>
        </w:tc>
        <w:tc>
          <w:tcPr>
            <w:tcW w:w="2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147,899</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Redemption settlement assets</w:t>
            </w: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150,330</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150,330</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166,293</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166,293</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3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Due from securitizations</w:t>
            </w:r>
          </w:p>
        </w:tc>
        <w:tc>
          <w:tcPr>
            <w:tcW w:w="8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216,140</w:t>
            </w:r>
          </w:p>
        </w:tc>
        <w:tc>
          <w:tcPr>
            <w:tcW w:w="2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216,140</w:t>
            </w:r>
          </w:p>
        </w:tc>
        <w:tc>
          <w:tcPr>
            <w:tcW w:w="2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235,890</w:t>
            </w:r>
          </w:p>
        </w:tc>
        <w:tc>
          <w:tcPr>
            <w:tcW w:w="2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235,890</w:t>
            </w:r>
          </w:p>
        </w:tc>
        <w:tc>
          <w:tcPr>
            <w:tcW w:w="0" w:type="dxa"/>
            <w:vAlign w:val="bottom"/>
          </w:tcPr>
          <w:p>
            <w:pPr>
              <w:spacing w:after="0"/>
              <w:rPr>
                <w:sz w:val="1"/>
                <w:szCs w:val="1"/>
                <w:color w:val="auto"/>
              </w:rPr>
            </w:pPr>
          </w:p>
        </w:tc>
      </w:tr>
      <w:tr>
        <w:trPr>
          <w:trHeight w:val="458"/>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Financial liabilities</w:t>
            </w: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3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8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82,290</w:t>
            </w:r>
          </w:p>
        </w:tc>
        <w:tc>
          <w:tcPr>
            <w:tcW w:w="2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82,290</w:t>
            </w:r>
          </w:p>
        </w:tc>
        <w:tc>
          <w:tcPr>
            <w:tcW w:w="2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72,586</w:t>
            </w:r>
          </w:p>
        </w:tc>
        <w:tc>
          <w:tcPr>
            <w:tcW w:w="2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72,586</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Merchant settlement obligations</w:t>
            </w: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137,711</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137,711</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49,063</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49,063</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3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Derivatives</w:t>
            </w:r>
          </w:p>
        </w:tc>
        <w:tc>
          <w:tcPr>
            <w:tcW w:w="8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10,930</w:t>
            </w:r>
          </w:p>
        </w:tc>
        <w:tc>
          <w:tcPr>
            <w:tcW w:w="2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10,930</w:t>
            </w:r>
          </w:p>
        </w:tc>
        <w:tc>
          <w:tcPr>
            <w:tcW w:w="2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13,040</w:t>
            </w:r>
          </w:p>
        </w:tc>
        <w:tc>
          <w:tcPr>
            <w:tcW w:w="2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13,040</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Debt</w:t>
            </w: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310,425</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310,425</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292,911</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292,911</w:t>
            </w: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right"/>
              <w:ind w:right="397"/>
              <w:spacing w:after="0"/>
              <w:rPr>
                <w:sz w:val="20"/>
                <w:szCs w:val="20"/>
                <w:color w:val="auto"/>
              </w:rPr>
            </w:pPr>
            <w:r>
              <w:rPr>
                <w:rFonts w:ascii="Times New Roman" w:cs="Times New Roman" w:eastAsia="Times New Roman" w:hAnsi="Times New Roman"/>
                <w:sz w:val="18"/>
                <w:szCs w:val="18"/>
                <w:color w:val="auto"/>
              </w:rPr>
              <w:t>F-29</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6657975</wp:posOffset>
            </wp:positionH>
            <wp:positionV relativeFrom="paragraph">
              <wp:posOffset>-3166745</wp:posOffset>
            </wp:positionV>
            <wp:extent cx="12700" cy="8890"/>
            <wp:wrapNone/>
            <wp:docPr id="995" name="Picture 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5"/>
                    <pic:cNvPicPr>
                      <a:picLocks noChangeAspect="1" noChangeArrowheads="1"/>
                    </pic:cNvPicPr>
                  </pic:nvPicPr>
                  <pic:blipFill>
                    <a:blip r:embed="rId10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3313430</wp:posOffset>
            </wp:positionH>
            <wp:positionV relativeFrom="paragraph">
              <wp:posOffset>-3166745</wp:posOffset>
            </wp:positionV>
            <wp:extent cx="12700" cy="8890"/>
            <wp:wrapNone/>
            <wp:docPr id="996" name="Picture 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6"/>
                    <pic:cNvPicPr>
                      <a:picLocks noChangeAspect="1" noChangeArrowheads="1"/>
                    </pic:cNvPicPr>
                  </pic:nvPicPr>
                  <pic:blipFill>
                    <a:blip r:embed="rId10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-2918460</wp:posOffset>
            </wp:positionV>
            <wp:extent cx="12700" cy="8890"/>
            <wp:wrapNone/>
            <wp:docPr id="997" name="Picture 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7"/>
                    <pic:cNvPicPr>
                      <a:picLocks noChangeAspect="1" noChangeArrowheads="1"/>
                    </pic:cNvPicPr>
                  </pic:nvPicPr>
                  <pic:blipFill>
                    <a:blip r:embed="rId10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3313430</wp:posOffset>
            </wp:positionH>
            <wp:positionV relativeFrom="paragraph">
              <wp:posOffset>-2918460</wp:posOffset>
            </wp:positionV>
            <wp:extent cx="12700" cy="8890"/>
            <wp:wrapNone/>
            <wp:docPr id="998" name="Picture 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8"/>
                    <pic:cNvPicPr>
                      <a:picLocks noChangeAspect="1" noChangeArrowheads="1"/>
                    </pic:cNvPicPr>
                  </pic:nvPicPr>
                  <pic:blipFill>
                    <a:blip r:embed="rId10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-2918460</wp:posOffset>
            </wp:positionV>
            <wp:extent cx="12700" cy="8890"/>
            <wp:wrapNone/>
            <wp:docPr id="999" name="Picture 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9"/>
                    <pic:cNvPicPr>
                      <a:picLocks noChangeAspect="1" noChangeArrowheads="1"/>
                    </pic:cNvPicPr>
                  </pic:nvPicPr>
                  <pic:blipFill>
                    <a:blip r:embed="rId10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-2918460</wp:posOffset>
            </wp:positionV>
            <wp:extent cx="12700" cy="8890"/>
            <wp:wrapNone/>
            <wp:docPr id="1000" name="Picture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0"/>
                    <pic:cNvPicPr>
                      <a:picLocks noChangeAspect="1" noChangeArrowheads="1"/>
                    </pic:cNvPicPr>
                  </pic:nvPicPr>
                  <pic:blipFill>
                    <a:blip r:embed="rId10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4033520</wp:posOffset>
            </wp:positionH>
            <wp:positionV relativeFrom="paragraph">
              <wp:posOffset>-2574925</wp:posOffset>
            </wp:positionV>
            <wp:extent cx="12700" cy="8890"/>
            <wp:wrapNone/>
            <wp:docPr id="1001" name="Picture 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1"/>
                    <pic:cNvPicPr>
                      <a:picLocks noChangeAspect="1" noChangeArrowheads="1"/>
                    </pic:cNvPicPr>
                  </pic:nvPicPr>
                  <pic:blipFill>
                    <a:blip r:embed="rId10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3313430</wp:posOffset>
            </wp:positionH>
            <wp:positionV relativeFrom="paragraph">
              <wp:posOffset>-2574925</wp:posOffset>
            </wp:positionV>
            <wp:extent cx="12700" cy="8890"/>
            <wp:wrapNone/>
            <wp:docPr id="1002" name="Picture 1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2"/>
                    <pic:cNvPicPr>
                      <a:picLocks noChangeAspect="1" noChangeArrowheads="1"/>
                    </pic:cNvPicPr>
                  </pic:nvPicPr>
                  <pic:blipFill>
                    <a:blip r:embed="rId10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-2574925</wp:posOffset>
            </wp:positionV>
            <wp:extent cx="12700" cy="8890"/>
            <wp:wrapNone/>
            <wp:docPr id="1003" name="Picture 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3"/>
                    <pic:cNvPicPr>
                      <a:picLocks noChangeAspect="1" noChangeArrowheads="1"/>
                    </pic:cNvPicPr>
                  </pic:nvPicPr>
                  <pic:blipFill>
                    <a:blip r:embed="rId10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4170680</wp:posOffset>
            </wp:positionH>
            <wp:positionV relativeFrom="paragraph">
              <wp:posOffset>-2574925</wp:posOffset>
            </wp:positionV>
            <wp:extent cx="12700" cy="8890"/>
            <wp:wrapNone/>
            <wp:docPr id="1004" name="Picture 1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4"/>
                    <pic:cNvPicPr>
                      <a:picLocks noChangeAspect="1" noChangeArrowheads="1"/>
                    </pic:cNvPicPr>
                  </pic:nvPicPr>
                  <pic:blipFill>
                    <a:blip r:embed="rId10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-2574925</wp:posOffset>
            </wp:positionV>
            <wp:extent cx="12700" cy="8890"/>
            <wp:wrapNone/>
            <wp:docPr id="1005" name="Picture 1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5"/>
                    <pic:cNvPicPr>
                      <a:picLocks noChangeAspect="1" noChangeArrowheads="1"/>
                    </pic:cNvPicPr>
                  </pic:nvPicPr>
                  <pic:blipFill>
                    <a:blip r:embed="rId10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-2574925</wp:posOffset>
            </wp:positionV>
            <wp:extent cx="12700" cy="8890"/>
            <wp:wrapNone/>
            <wp:docPr id="1006" name="Picture 1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6"/>
                    <pic:cNvPicPr>
                      <a:picLocks noChangeAspect="1" noChangeArrowheads="1"/>
                    </pic:cNvPicPr>
                  </pic:nvPicPr>
                  <pic:blipFill>
                    <a:blip r:embed="rId10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-2574925</wp:posOffset>
            </wp:positionV>
            <wp:extent cx="12700" cy="8890"/>
            <wp:wrapNone/>
            <wp:docPr id="1007" name="Picture 1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7"/>
                    <pic:cNvPicPr>
                      <a:picLocks noChangeAspect="1" noChangeArrowheads="1"/>
                    </pic:cNvPicPr>
                  </pic:nvPicPr>
                  <pic:blipFill>
                    <a:blip r:embed="rId10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-2574925</wp:posOffset>
            </wp:positionV>
            <wp:extent cx="12700" cy="8890"/>
            <wp:wrapNone/>
            <wp:docPr id="1008" name="Picture 1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8"/>
                    <pic:cNvPicPr>
                      <a:picLocks noChangeAspect="1" noChangeArrowheads="1"/>
                    </pic:cNvPicPr>
                  </pic:nvPicPr>
                  <pic:blipFill>
                    <a:blip r:embed="rId10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136525</wp:posOffset>
            </wp:positionV>
            <wp:extent cx="7250430" cy="21590"/>
            <wp:wrapNone/>
            <wp:docPr id="1009" name="Picture 1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9"/>
                    <pic:cNvPicPr>
                      <a:picLocks noChangeAspect="1" noChangeArrowheads="1"/>
                    </pic:cNvPicPr>
                  </pic:nvPicPr>
                  <pic:blipFill>
                    <a:blip r:embed="rId10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following methods and assumptions were used by the Company in estimating fair values of financial instruments as disclosed herein:</w:t>
      </w:r>
    </w:p>
    <w:p>
      <w:pPr>
        <w:spacing w:after="0" w:line="221" w:lineRule="exact"/>
        <w:rPr>
          <w:sz w:val="20"/>
          <w:szCs w:val="20"/>
          <w:color w:val="auto"/>
        </w:rPr>
      </w:pPr>
    </w:p>
    <w:p>
      <w:pPr>
        <w:ind w:right="80" w:firstLine="351"/>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Cash and cash equivalents, due from card associations, trade receivables, accounts payable, and merchant settlement obligations</w:t>
      </w:r>
      <w:r>
        <w:rPr>
          <w:rFonts w:ascii="Times New Roman" w:cs="Times New Roman" w:eastAsia="Times New Roman" w:hAnsi="Times New Roman"/>
          <w:sz w:val="18"/>
          <w:szCs w:val="18"/>
          <w:color w:val="auto"/>
        </w:rPr>
        <w:t>—The carrying amount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approximates fair value due to the short maturity.</w:t>
      </w:r>
    </w:p>
    <w:p>
      <w:pPr>
        <w:spacing w:after="0" w:line="165" w:lineRule="exact"/>
        <w:rPr>
          <w:sz w:val="20"/>
          <w:szCs w:val="20"/>
          <w:color w:val="auto"/>
        </w:rPr>
      </w:pPr>
    </w:p>
    <w:p>
      <w:pPr>
        <w:ind w:right="420" w:firstLine="351"/>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Seller's interest and credit card receivables</w:t>
      </w:r>
      <w:r>
        <w:rPr>
          <w:rFonts w:ascii="Times New Roman" w:cs="Times New Roman" w:eastAsia="Times New Roman" w:hAnsi="Times New Roman"/>
          <w:sz w:val="18"/>
          <w:szCs w:val="18"/>
          <w:color w:val="auto"/>
        </w:rPr>
        <w:t>—The carrying amount of credit card receivables approximates fair value due to the short maturity, and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average interest rates approximate current market origination rates.</w:t>
      </w:r>
    </w:p>
    <w:p>
      <w:pPr>
        <w:spacing w:after="0" w:line="16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Redemption settlement assets</w:t>
      </w:r>
      <w:r>
        <w:rPr>
          <w:rFonts w:ascii="Times New Roman" w:cs="Times New Roman" w:eastAsia="Times New Roman" w:hAnsi="Times New Roman"/>
          <w:sz w:val="18"/>
          <w:szCs w:val="18"/>
          <w:color w:val="auto"/>
        </w:rPr>
        <w:t>—Fair value for securities are based on quoted market prices.</w:t>
      </w:r>
    </w:p>
    <w:p>
      <w:pPr>
        <w:spacing w:after="0" w:line="225" w:lineRule="exact"/>
        <w:rPr>
          <w:sz w:val="20"/>
          <w:szCs w:val="20"/>
          <w:color w:val="auto"/>
        </w:rPr>
      </w:pPr>
    </w:p>
    <w:p>
      <w:pPr>
        <w:ind w:right="60" w:firstLine="351"/>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Due from securitizations</w:t>
      </w:r>
      <w:r>
        <w:rPr>
          <w:rFonts w:ascii="Times New Roman" w:cs="Times New Roman" w:eastAsia="Times New Roman" w:hAnsi="Times New Roman"/>
          <w:sz w:val="18"/>
          <w:szCs w:val="18"/>
          <w:color w:val="auto"/>
        </w:rPr>
        <w:t>—The spread deposits and I/O strips are recorded at their fair value. The carrying amount of excess funding deposits approximates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its fair value due to the relatively short maturity period and average interest rates, which approximate current market rates.</w:t>
      </w:r>
    </w:p>
    <w:p>
      <w:pPr>
        <w:spacing w:after="0" w:line="16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Derivatives</w:t>
      </w:r>
      <w:r>
        <w:rPr>
          <w:rFonts w:ascii="Times New Roman" w:cs="Times New Roman" w:eastAsia="Times New Roman" w:hAnsi="Times New Roman"/>
          <w:sz w:val="18"/>
          <w:szCs w:val="18"/>
          <w:color w:val="auto"/>
        </w:rPr>
        <w:t>—The fair value was estimated based on the cost to the Company to terminate the agreements.</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Debt</w:t>
      </w:r>
      <w:r>
        <w:rPr>
          <w:rFonts w:ascii="Times New Roman" w:cs="Times New Roman" w:eastAsia="Times New Roman" w:hAnsi="Times New Roman"/>
          <w:sz w:val="18"/>
          <w:szCs w:val="18"/>
          <w:color w:val="auto"/>
        </w:rPr>
        <w:t>—The fair value was estimated based on the current rates available to the Company for debt with similar remaining maturities.</w:t>
      </w:r>
    </w:p>
    <w:p>
      <w:pPr>
        <w:sectPr>
          <w:pgSz w:w="11900" w:h="16838" w:orient="portrait"/>
          <w:cols w:equalWidth="0" w:num="1">
            <w:col w:w="11400"/>
          </w:cols>
          <w:pgMar w:left="240" w:top="125" w:right="259" w:bottom="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color w:val="auto"/>
        </w:rPr>
        <w:t>16. DERIVATIVES</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following briefly outlines the terms of borrowing related derivative financial instruments as of December 31, 2002:</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00" w:type="dxa"/>
            <w:vAlign w:val="bottom"/>
          </w:tcPr>
          <w:p>
            <w:pPr>
              <w:jc w:val="center"/>
              <w:ind w:right="181"/>
              <w:spacing w:after="0"/>
              <w:rPr>
                <w:sz w:val="20"/>
                <w:szCs w:val="20"/>
                <w:color w:val="auto"/>
              </w:rPr>
            </w:pPr>
            <w:r>
              <w:rPr>
                <w:rFonts w:ascii="Times New Roman" w:cs="Times New Roman" w:eastAsia="Times New Roman" w:hAnsi="Times New Roman"/>
                <w:sz w:val="14"/>
                <w:szCs w:val="14"/>
                <w:b w:val="1"/>
                <w:bCs w:val="1"/>
                <w:color w:val="auto"/>
                <w:w w:val="96"/>
              </w:rPr>
              <w:t>Outstanding</w:t>
            </w:r>
          </w:p>
        </w:tc>
        <w:tc>
          <w:tcPr>
            <w:tcW w:w="2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49"/>
        </w:trPr>
        <w:tc>
          <w:tcPr>
            <w:tcW w:w="3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tcPr>
          <w:p>
            <w:pPr>
              <w:jc w:val="center"/>
              <w:ind w:right="181"/>
              <w:spacing w:after="0" w:line="149" w:lineRule="exact"/>
              <w:rPr>
                <w:sz w:val="20"/>
                <w:szCs w:val="20"/>
                <w:color w:val="auto"/>
              </w:rPr>
            </w:pPr>
            <w:r>
              <w:rPr>
                <w:rFonts w:ascii="Times New Roman" w:cs="Times New Roman" w:eastAsia="Times New Roman" w:hAnsi="Times New Roman"/>
                <w:sz w:val="14"/>
                <w:szCs w:val="14"/>
                <w:b w:val="1"/>
                <w:bCs w:val="1"/>
                <w:color w:val="auto"/>
                <w:w w:val="93"/>
              </w:rPr>
              <w:t>Notional</w:t>
            </w:r>
          </w:p>
        </w:tc>
        <w:tc>
          <w:tcPr>
            <w:tcW w:w="220" w:type="dxa"/>
            <w:vAlign w:val="bottom"/>
          </w:tcPr>
          <w:p>
            <w:pPr>
              <w:spacing w:after="0"/>
              <w:rPr>
                <w:sz w:val="12"/>
                <w:szCs w:val="12"/>
                <w:color w:val="auto"/>
              </w:rPr>
            </w:pPr>
          </w:p>
        </w:tc>
        <w:tc>
          <w:tcPr>
            <w:tcW w:w="1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Maturity</w:t>
            </w:r>
          </w:p>
        </w:tc>
        <w:tc>
          <w:tcPr>
            <w:tcW w:w="200" w:type="dxa"/>
            <w:vAlign w:val="bottom"/>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Fixed/variable</w:t>
            </w:r>
          </w:p>
        </w:tc>
        <w:tc>
          <w:tcPr>
            <w:tcW w:w="220" w:type="dxa"/>
            <w:vAlign w:val="bottom"/>
          </w:tcPr>
          <w:p>
            <w:pPr>
              <w:spacing w:after="0"/>
              <w:rPr>
                <w:sz w:val="12"/>
                <w:szCs w:val="12"/>
                <w:color w:val="auto"/>
              </w:rPr>
            </w:pPr>
          </w:p>
        </w:tc>
        <w:tc>
          <w:tcPr>
            <w:tcW w:w="1580" w:type="dxa"/>
            <w:vAlign w:val="bottom"/>
            <w:gridSpan w:val="2"/>
          </w:tcPr>
          <w:p>
            <w:pPr>
              <w:jc w:val="right"/>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Fixed/variable</w:t>
            </w:r>
          </w:p>
        </w:tc>
      </w:tr>
      <w:tr>
        <w:trPr>
          <w:trHeight w:val="178"/>
        </w:trPr>
        <w:tc>
          <w:tcPr>
            <w:tcW w:w="3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tcPr>
          <w:p>
            <w:pPr>
              <w:jc w:val="center"/>
              <w:ind w:right="181"/>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220" w:type="dxa"/>
            <w:vAlign w:val="bottom"/>
          </w:tcPr>
          <w:p>
            <w:pPr>
              <w:spacing w:after="0"/>
              <w:rPr>
                <w:sz w:val="15"/>
                <w:szCs w:val="15"/>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Date</w:t>
            </w:r>
          </w:p>
        </w:tc>
        <w:tc>
          <w:tcPr>
            <w:tcW w:w="200" w:type="dxa"/>
            <w:vAlign w:val="bottom"/>
          </w:tcPr>
          <w:p>
            <w:pPr>
              <w:spacing w:after="0"/>
              <w:rPr>
                <w:sz w:val="15"/>
                <w:szCs w:val="15"/>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rate received</w:t>
            </w:r>
          </w:p>
        </w:tc>
        <w:tc>
          <w:tcPr>
            <w:tcW w:w="220" w:type="dxa"/>
            <w:vAlign w:val="bottom"/>
          </w:tcPr>
          <w:p>
            <w:pPr>
              <w:spacing w:after="0"/>
              <w:rPr>
                <w:sz w:val="15"/>
                <w:szCs w:val="15"/>
                <w:color w:val="auto"/>
              </w:rPr>
            </w:pPr>
          </w:p>
        </w:tc>
        <w:tc>
          <w:tcPr>
            <w:tcW w:w="158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rate paid</w:t>
            </w:r>
          </w:p>
        </w:tc>
      </w:tr>
      <w:tr>
        <w:trPr>
          <w:trHeight w:val="105"/>
        </w:trPr>
        <w:tc>
          <w:tcPr>
            <w:tcW w:w="324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6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44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r>
      <w:tr>
        <w:trPr>
          <w:trHeight w:val="307"/>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derivative</w:t>
            </w: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12"/>
        </w:trPr>
        <w:tc>
          <w:tcPr>
            <w:tcW w:w="3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200,000,000</w:t>
            </w:r>
          </w:p>
        </w:tc>
        <w:tc>
          <w:tcPr>
            <w:tcW w:w="18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May 15, 2004</w:t>
            </w:r>
          </w:p>
        </w:tc>
        <w:tc>
          <w:tcPr>
            <w:tcW w:w="18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LIBOR</w:t>
            </w: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6.720%</w:t>
            </w:r>
          </w:p>
        </w:tc>
      </w:tr>
      <w:tr>
        <w:trPr>
          <w:trHeight w:val="220"/>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derivatives</w:t>
            </w:r>
          </w:p>
        </w:tc>
        <w:tc>
          <w:tcPr>
            <w:tcW w:w="1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16"/>
        </w:trPr>
        <w:tc>
          <w:tcPr>
            <w:tcW w:w="3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37,500,000</w:t>
            </w:r>
          </w:p>
        </w:tc>
        <w:tc>
          <w:tcPr>
            <w:tcW w:w="18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July 25, 2003</w:t>
            </w:r>
          </w:p>
        </w:tc>
        <w:tc>
          <w:tcPr>
            <w:tcW w:w="18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LIBOR +1.50%</w:t>
            </w:r>
          </w:p>
        </w:tc>
        <w:tc>
          <w:tcPr>
            <w:tcW w:w="220" w:type="dxa"/>
            <w:vAlign w:val="bottom"/>
          </w:tcPr>
          <w:p>
            <w:pPr>
              <w:spacing w:after="0"/>
              <w:rPr>
                <w:sz w:val="18"/>
                <w:szCs w:val="18"/>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CDOR +1.76%</w:t>
            </w:r>
          </w:p>
        </w:tc>
      </w:tr>
      <w:tr>
        <w:trPr>
          <w:trHeight w:val="228"/>
        </w:trPr>
        <w:tc>
          <w:tcPr>
            <w:tcW w:w="3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46,000,000</w:t>
            </w:r>
          </w:p>
        </w:tc>
        <w:tc>
          <w:tcPr>
            <w:tcW w:w="18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July 25, 2005</w:t>
            </w:r>
          </w:p>
        </w:tc>
        <w:tc>
          <w:tcPr>
            <w:tcW w:w="18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LIBOR +3.25%</w:t>
            </w: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9.265%</w:t>
            </w:r>
          </w:p>
        </w:tc>
      </w:tr>
      <w:tr>
        <w:trPr>
          <w:trHeight w:val="120"/>
        </w:trPr>
        <w:tc>
          <w:tcPr>
            <w:tcW w:w="324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319"/>
        </w:trPr>
        <w:tc>
          <w:tcPr>
            <w:tcW w:w="3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83,500,000</w:t>
            </w:r>
          </w:p>
        </w:tc>
        <w:tc>
          <w:tcPr>
            <w:tcW w:w="2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07"/>
        </w:trPr>
        <w:tc>
          <w:tcPr>
            <w:tcW w:w="3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40" w:type="dxa"/>
            <w:vAlign w:val="bottom"/>
          </w:tcPr>
          <w:p>
            <w:pPr>
              <w:spacing w:after="0"/>
              <w:rPr>
                <w:sz w:val="9"/>
                <w:szCs w:val="9"/>
                <w:color w:val="auto"/>
              </w:rPr>
            </w:pPr>
          </w:p>
        </w:tc>
      </w:tr>
      <w:tr>
        <w:trPr>
          <w:trHeight w:val="61"/>
        </w:trPr>
        <w:tc>
          <w:tcPr>
            <w:tcW w:w="324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3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6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40" w:type="dxa"/>
            <w:vAlign w:val="bottom"/>
          </w:tcPr>
          <w:p>
            <w:pPr>
              <w:spacing w:after="0"/>
              <w:rPr>
                <w:sz w:val="5"/>
                <w:szCs w:val="5"/>
                <w:color w:val="auto"/>
              </w:rPr>
            </w:pPr>
          </w:p>
        </w:tc>
        <w:tc>
          <w:tcPr>
            <w:tcW w:w="140" w:type="dxa"/>
            <w:vAlign w:val="bottom"/>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3039110</wp:posOffset>
            </wp:positionH>
            <wp:positionV relativeFrom="paragraph">
              <wp:posOffset>-1163320</wp:posOffset>
            </wp:positionV>
            <wp:extent cx="12700" cy="8890"/>
            <wp:wrapNone/>
            <wp:docPr id="1010" name="Picture 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0"/>
                    <pic:cNvPicPr>
                      <a:picLocks noChangeAspect="1" noChangeArrowheads="1"/>
                    </pic:cNvPicPr>
                  </pic:nvPicPr>
                  <pic:blipFill>
                    <a:blip r:embed="rId10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2052955</wp:posOffset>
            </wp:positionH>
            <wp:positionV relativeFrom="paragraph">
              <wp:posOffset>-1163320</wp:posOffset>
            </wp:positionV>
            <wp:extent cx="12700" cy="8890"/>
            <wp:wrapNone/>
            <wp:docPr id="1011" name="Picture 1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1"/>
                    <pic:cNvPicPr>
                      <a:picLocks noChangeAspect="1" noChangeArrowheads="1"/>
                    </pic:cNvPicPr>
                  </pic:nvPicPr>
                  <pic:blipFill>
                    <a:blip r:embed="rId10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-1163320</wp:posOffset>
            </wp:positionV>
            <wp:extent cx="12700" cy="8890"/>
            <wp:wrapNone/>
            <wp:docPr id="1012" name="Picture 1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2"/>
                    <pic:cNvPicPr>
                      <a:picLocks noChangeAspect="1" noChangeArrowheads="1"/>
                    </pic:cNvPicPr>
                  </pic:nvPicPr>
                  <pic:blipFill>
                    <a:blip r:embed="rId10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3184525</wp:posOffset>
            </wp:positionH>
            <wp:positionV relativeFrom="paragraph">
              <wp:posOffset>-1163320</wp:posOffset>
            </wp:positionV>
            <wp:extent cx="12700" cy="8890"/>
            <wp:wrapNone/>
            <wp:docPr id="1013" name="Picture 1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3"/>
                    <pic:cNvPicPr>
                      <a:picLocks noChangeAspect="1" noChangeArrowheads="1"/>
                    </pic:cNvPicPr>
                  </pic:nvPicPr>
                  <pic:blipFill>
                    <a:blip r:embed="rId10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-1163320</wp:posOffset>
            </wp:positionV>
            <wp:extent cx="12700" cy="8890"/>
            <wp:wrapNone/>
            <wp:docPr id="1014" name="Picture 1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4"/>
                    <pic:cNvPicPr>
                      <a:picLocks noChangeAspect="1" noChangeArrowheads="1"/>
                    </pic:cNvPicPr>
                  </pic:nvPicPr>
                  <pic:blipFill>
                    <a:blip r:embed="rId10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-1163320</wp:posOffset>
            </wp:positionV>
            <wp:extent cx="12700" cy="8890"/>
            <wp:wrapNone/>
            <wp:docPr id="1015" name="Picture 1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5"/>
                    <pic:cNvPicPr>
                      <a:picLocks noChangeAspect="1" noChangeArrowheads="1"/>
                    </pic:cNvPicPr>
                  </pic:nvPicPr>
                  <pic:blipFill>
                    <a:blip r:embed="rId10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-1163320</wp:posOffset>
            </wp:positionV>
            <wp:extent cx="12700" cy="8890"/>
            <wp:wrapNone/>
            <wp:docPr id="1016" name="Picture 1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6"/>
                    <pic:cNvPicPr>
                      <a:picLocks noChangeAspect="1" noChangeArrowheads="1"/>
                    </pic:cNvPicPr>
                  </pic:nvPicPr>
                  <pic:blipFill>
                    <a:blip r:embed="rId10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-1163320</wp:posOffset>
            </wp:positionV>
            <wp:extent cx="12700" cy="8890"/>
            <wp:wrapNone/>
            <wp:docPr id="1017" name="Picture 1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7"/>
                    <pic:cNvPicPr>
                      <a:picLocks noChangeAspect="1" noChangeArrowheads="1"/>
                    </pic:cNvPicPr>
                  </pic:nvPicPr>
                  <pic:blipFill>
                    <a:blip r:embed="rId10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3039110</wp:posOffset>
            </wp:positionH>
            <wp:positionV relativeFrom="paragraph">
              <wp:posOffset>-323215</wp:posOffset>
            </wp:positionV>
            <wp:extent cx="12700" cy="8890"/>
            <wp:wrapNone/>
            <wp:docPr id="1018" name="Picture 1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8"/>
                    <pic:cNvPicPr>
                      <a:picLocks noChangeAspect="1" noChangeArrowheads="1"/>
                    </pic:cNvPicPr>
                  </pic:nvPicPr>
                  <pic:blipFill>
                    <a:blip r:embed="rId10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2052955</wp:posOffset>
            </wp:positionH>
            <wp:positionV relativeFrom="paragraph">
              <wp:posOffset>-323215</wp:posOffset>
            </wp:positionV>
            <wp:extent cx="12700" cy="8890"/>
            <wp:wrapNone/>
            <wp:docPr id="1019" name="Picture 1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9"/>
                    <pic:cNvPicPr>
                      <a:picLocks noChangeAspect="1" noChangeArrowheads="1"/>
                    </pic:cNvPicPr>
                  </pic:nvPicPr>
                  <pic:blipFill>
                    <a:blip r:embed="rId10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7" w:lineRule="exact"/>
        <w:rPr>
          <w:sz w:val="20"/>
          <w:szCs w:val="20"/>
          <w:color w:val="auto"/>
        </w:rPr>
      </w:pPr>
    </w:p>
    <w:p>
      <w:pPr>
        <w:ind w:right="20" w:firstLine="348"/>
        <w:spacing w:after="0" w:line="253" w:lineRule="auto"/>
        <w:rPr>
          <w:sz w:val="20"/>
          <w:szCs w:val="20"/>
          <w:color w:val="auto"/>
        </w:rPr>
      </w:pPr>
      <w:r>
        <w:rPr>
          <w:rFonts w:ascii="Times New Roman" w:cs="Times New Roman" w:eastAsia="Times New Roman" w:hAnsi="Times New Roman"/>
          <w:sz w:val="18"/>
          <w:szCs w:val="18"/>
          <w:color w:val="auto"/>
        </w:rPr>
        <w:t>The Company utilizes certain derivative financial instruments to enhance its ability to manage risks that exist as part of ongoing business operations. Effective January 1, 2001, with the adoption of SFAS No. 133, the Company recognizes all derivatives on the balance sheet at their fair value. The estimated fair value of the derivatives is based primarily on dealer quotations. The Company presently uses derivatives to mitigate cash flow risks with respect to changes in foreign exchange and interest rates. On the date the derivative contract is entered into, the Company designates the derivative as a hedge of a forecasted transaction (cash flow hedge) or as a hedge of a change in fair value (fair value hedge). Changes in the fair value of a derivative that is designated and qualifies as a cash flow hedge are recorded in other comprehensive income (loss) and reclassified into earnings in the same period or periods during which the hedged transaction affects earnings. Changes in the fair value of a derivative that is designated and qualifies as a fair value hedge are generally recorded immediately in earnings along with the corresponding change in fair value of the hedged item. Amounts on the balance sheet are recorded as a component of "Other liabilities." Changes in the fair value of a derivative that is not</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20" name="Picture 1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0"/>
                    <pic:cNvPicPr>
                      <a:picLocks noChangeAspect="1" noChangeArrowheads="1"/>
                    </pic:cNvPicPr>
                  </pic:nvPicPr>
                  <pic:blipFill>
                    <a:blip r:embed="rId10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00"/>
        <w:spacing w:after="0" w:line="275" w:lineRule="auto"/>
        <w:rPr>
          <w:sz w:val="20"/>
          <w:szCs w:val="20"/>
          <w:color w:val="auto"/>
        </w:rPr>
      </w:pPr>
      <w:r>
        <w:rPr>
          <w:rFonts w:ascii="Times New Roman" w:cs="Times New Roman" w:eastAsia="Times New Roman" w:hAnsi="Times New Roman"/>
          <w:sz w:val="18"/>
          <w:szCs w:val="18"/>
          <w:color w:val="auto"/>
        </w:rPr>
        <w:t>designated as a hedge are recorded immediately in earnings. Derivative instruments are entered into for periods consistent with related underlying exposures and do not constitute positions independent of those exposures. The Company does not enter into contracts for speculative purposes.</w:t>
      </w:r>
    </w:p>
    <w:p>
      <w:pPr>
        <w:spacing w:after="0" w:line="174" w:lineRule="exact"/>
        <w:rPr>
          <w:sz w:val="20"/>
          <w:szCs w:val="20"/>
          <w:color w:val="auto"/>
        </w:rPr>
      </w:pPr>
    </w:p>
    <w:p>
      <w:pPr>
        <w:ind w:firstLine="348"/>
        <w:spacing w:after="0" w:line="256" w:lineRule="auto"/>
        <w:rPr>
          <w:sz w:val="20"/>
          <w:szCs w:val="20"/>
          <w:color w:val="auto"/>
        </w:rPr>
      </w:pPr>
      <w:r>
        <w:rPr>
          <w:rFonts w:ascii="Times New Roman" w:cs="Times New Roman" w:eastAsia="Times New Roman" w:hAnsi="Times New Roman"/>
          <w:sz w:val="18"/>
          <w:szCs w:val="18"/>
          <w:color w:val="auto"/>
        </w:rPr>
        <w:t>The Company's policy is to minimize its cash flow exposure to adverse changes in interest rates and foreign exchange rates. The Company's objective is to engage in risk management strategies that provide adequate downside protection. The Company does not believe that its derivative financial instruments expose it to more than a nominal amount of credit risk, as the counterparties are established, well-capitalized financial institutions with a major rating agency credit rating of "A" or better. The credit risk inherent in these agreements represents the possibility that a loss may occur from the nonperformance of a counterparty to the agreements.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Derivative</w:t>
      </w:r>
    </w:p>
    <w:p>
      <w:pPr>
        <w:spacing w:after="0" w:line="229" w:lineRule="exact"/>
        <w:rPr>
          <w:sz w:val="20"/>
          <w:szCs w:val="20"/>
          <w:color w:val="auto"/>
        </w:rPr>
      </w:pPr>
    </w:p>
    <w:p>
      <w:pPr>
        <w:ind w:firstLine="351"/>
        <w:spacing w:after="0" w:line="284" w:lineRule="auto"/>
        <w:rPr>
          <w:sz w:val="20"/>
          <w:szCs w:val="20"/>
          <w:color w:val="auto"/>
        </w:rPr>
      </w:pPr>
      <w:r>
        <w:rPr>
          <w:rFonts w:ascii="Times New Roman" w:cs="Times New Roman" w:eastAsia="Times New Roman" w:hAnsi="Times New Roman"/>
          <w:sz w:val="16"/>
          <w:szCs w:val="16"/>
          <w:color w:val="auto"/>
        </w:rPr>
        <w:t>SFAS No. 133, as amended, specifies criteria that must be met in order to apply any of the three forms of hedge accounting. The Company uses derivatives to hedge exposures when it makes economic sense to do so, including circumstances in which the hedging relationship does not qualify for hedge accounting. The Company has an interest rate swap agreement, which serves to effectively convert the variable rates on debt related to World Financial Network Credit Card Master Trust to fixed rate amounts but which does not qualify for hedge accounting under SFAS No. 133, as amended. Under SFAS No. 133, as amended, derivatives that do not qualify for hedge accounting are marked to market through earnings. The aggregate notional amount of the interest rate swap agreement was $200.0 million. The swap term ends mid-2004. Upon adoption of SFAS No. 133, as amended, the Company recorded a transition adjustment to OCI of $4.0 million, net of tax, to recognize the fair value loss that existed at that time. The Company recognized approximately $13.0 million, before tax, and</w:t>
      </w:r>
    </w:p>
    <w:p>
      <w:pPr>
        <w:spacing w:after="0" w:line="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$10.2 million, before tax, in additional fair value losses related to this agreement for the years ended December 31, 2001 and 2002, respectively. During the year ending December 31, 2003, approximately $1.1 million, net of tax, of losses in other comprehensive income (loss) related to the interest rate swap are expected to be reclassified into earnings.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Derivatives</w:t>
      </w:r>
    </w:p>
    <w:p>
      <w:pPr>
        <w:spacing w:after="0" w:line="229" w:lineRule="exact"/>
        <w:rPr>
          <w:sz w:val="20"/>
          <w:szCs w:val="20"/>
          <w:color w:val="auto"/>
        </w:rPr>
      </w:pPr>
    </w:p>
    <w:p>
      <w:pPr>
        <w:ind w:right="120" w:firstLine="348"/>
        <w:spacing w:after="0" w:line="262" w:lineRule="auto"/>
        <w:rPr>
          <w:sz w:val="20"/>
          <w:szCs w:val="20"/>
          <w:color w:val="auto"/>
        </w:rPr>
      </w:pPr>
      <w:r>
        <w:rPr>
          <w:rFonts w:ascii="Times New Roman" w:cs="Times New Roman" w:eastAsia="Times New Roman" w:hAnsi="Times New Roman"/>
          <w:sz w:val="18"/>
          <w:szCs w:val="18"/>
          <w:color w:val="auto"/>
        </w:rPr>
        <w:t>The Company's cash flows are exposed to foreign currency risk primarily from transactions denominated in the Canadian dollar. The Company utilizes two cross-currency swaps to hedge its balance sheet exposure on $83.5 million of U.S. dollar denominated debt payable by its Canadian subsidiary. The cross-currency swaps reduce in proportion to the debt repayment schedule.</w:t>
      </w:r>
    </w:p>
    <w:p>
      <w:pPr>
        <w:spacing w:after="0" w:line="200" w:lineRule="exact"/>
        <w:rPr>
          <w:sz w:val="20"/>
          <w:szCs w:val="20"/>
          <w:color w:val="auto"/>
        </w:rPr>
      </w:pPr>
    </w:p>
    <w:p>
      <w:pPr>
        <w:ind w:left="1080" w:right="260" w:hanging="532"/>
        <w:spacing w:after="0" w:line="275"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cross-currency swap with a notional amount of $37.5 million does not meet the accounting criteria to be designated as a hedge; however, fair value adjustments recorded in earnings offset the related foreign currency transaction gains and losses.</w:t>
      </w:r>
    </w:p>
    <w:p>
      <w:pPr>
        <w:spacing w:after="0" w:line="200" w:lineRule="exact"/>
        <w:rPr>
          <w:rFonts w:ascii="Times New Roman" w:cs="Times New Roman" w:eastAsia="Times New Roman" w:hAnsi="Times New Roman"/>
          <w:sz w:val="18"/>
          <w:szCs w:val="18"/>
          <w:color w:val="auto"/>
        </w:rPr>
      </w:pPr>
    </w:p>
    <w:p>
      <w:pPr>
        <w:jc w:val="both"/>
        <w:ind w:left="1080" w:right="120" w:hanging="532"/>
        <w:spacing w:after="0" w:line="262"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cross-currency swap with a notional value of $46.0 million hedges interest rate risk by effectively converting variable rate interest paid to fixed rate amounts and is designated as a cash flow hedge. Changes in the fair value are reported in other comprehensive income (loss). These amounts are reclassified into earnings in the same period in which the foreign currency transaction gains or losses occur.</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Treasury Locks</w:t>
      </w:r>
    </w:p>
    <w:p>
      <w:pPr>
        <w:spacing w:after="0" w:line="229" w:lineRule="exact"/>
        <w:rPr>
          <w:sz w:val="20"/>
          <w:szCs w:val="20"/>
          <w:color w:val="auto"/>
        </w:rPr>
      </w:pPr>
    </w:p>
    <w:p>
      <w:pPr>
        <w:ind w:right="340" w:firstLine="341"/>
        <w:spacing w:after="0" w:line="258" w:lineRule="auto"/>
        <w:rPr>
          <w:sz w:val="20"/>
          <w:szCs w:val="20"/>
          <w:color w:val="auto"/>
        </w:rPr>
      </w:pPr>
      <w:r>
        <w:rPr>
          <w:rFonts w:ascii="Times New Roman" w:cs="Times New Roman" w:eastAsia="Times New Roman" w:hAnsi="Times New Roman"/>
          <w:sz w:val="18"/>
          <w:szCs w:val="18"/>
          <w:color w:val="auto"/>
        </w:rPr>
        <w:t>As of December 31, 2002, the Company had approximately $841,000 of unamortized treasury lock gains recorded in accumulated other comprehensive income. The treasury locks were entered into to mitigate interest rate fluctuations related to a $313 million offering of asset-backed certificates that mature in 2003. The treasury lock gains are being amortized over the life on the asset-backed certificates. Accordingly, the effective interest rate of the asset-backed certificates changed from approximately 7.0% to 6.2%.</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21" name="Picture 1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1"/>
                    <pic:cNvPicPr>
                      <a:picLocks noChangeAspect="1" noChangeArrowheads="1"/>
                    </pic:cNvPicPr>
                  </pic:nvPicPr>
                  <pic:blipFill>
                    <a:blip r:embed="rId10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3" w:right="259" w:bottom="59" w:gutter="0" w:footer="0" w:header="0"/>
        </w:sectPr>
      </w:pPr>
    </w:p>
    <w:bookmarkStart w:id="48" w:name="page49"/>
    <w:bookmarkEnd w:id="48"/>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PARENT-ONLY FINANCIAL STATEMENTS</w:t>
      </w:r>
    </w:p>
    <w:p>
      <w:pPr>
        <w:spacing w:after="0" w:line="227" w:lineRule="exact"/>
        <w:rPr>
          <w:sz w:val="20"/>
          <w:szCs w:val="20"/>
          <w:color w:val="auto"/>
        </w:rPr>
      </w:pPr>
    </w:p>
    <w:p>
      <w:pPr>
        <w:ind w:right="200" w:firstLine="341"/>
        <w:spacing w:after="0" w:line="275" w:lineRule="auto"/>
        <w:rPr>
          <w:sz w:val="20"/>
          <w:szCs w:val="20"/>
          <w:color w:val="auto"/>
        </w:rPr>
      </w:pPr>
      <w:r>
        <w:rPr>
          <w:rFonts w:ascii="Times New Roman" w:cs="Times New Roman" w:eastAsia="Times New Roman" w:hAnsi="Times New Roman"/>
          <w:sz w:val="18"/>
          <w:szCs w:val="18"/>
          <w:color w:val="auto"/>
        </w:rPr>
        <w:t>ADSC provides guarantees under the credit facilities on behalf of certain of its subsidiaries. The stand alone parent-only financial statements are presented below.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Balance Sheets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6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5"/>
              </w:rPr>
              <w:t>December 31,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gridSpan w:val="2"/>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gridSpan w:val="2"/>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6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60" w:type="dxa"/>
            <w:vAlign w:val="bottom"/>
            <w:gridSpan w:val="6"/>
          </w:tcPr>
          <w:p>
            <w:pPr>
              <w:jc w:val="right"/>
              <w:ind w:right="386"/>
              <w:spacing w:after="0"/>
              <w:rPr>
                <w:sz w:val="20"/>
                <w:szCs w:val="20"/>
                <w:color w:val="auto"/>
              </w:rPr>
            </w:pPr>
            <w:r>
              <w:rPr>
                <w:rFonts w:ascii="Times New Roman" w:cs="Times New Roman" w:eastAsia="Times New Roman" w:hAnsi="Times New Roman"/>
                <w:sz w:val="14"/>
                <w:szCs w:val="14"/>
                <w:b w:val="1"/>
                <w:bCs w:val="1"/>
                <w:color w:val="auto"/>
              </w:rPr>
              <w:t>2001</w:t>
            </w:r>
          </w:p>
        </w:tc>
        <w:tc>
          <w:tcPr>
            <w:tcW w:w="90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2002</w:t>
            </w:r>
          </w:p>
        </w:tc>
        <w:tc>
          <w:tcPr>
            <w:tcW w:w="4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6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20" w:type="dxa"/>
            <w:vAlign w:val="bottom"/>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6"/>
              </w:rPr>
              <w:t>(in thousands)</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6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in subsidiaries</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264,274</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218,027</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Intercompany receivables</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346,659</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436,445</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6,250</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4,280</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6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gridSpan w:val="2"/>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617,183</w:t>
            </w:r>
          </w:p>
        </w:tc>
        <w:tc>
          <w:tcPr>
            <w:tcW w:w="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658,755</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6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1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Borders>
              <w:right w:val="single" w:sz="8" w:color="808080"/>
            </w:tcBorders>
          </w:tcPr>
          <w:p>
            <w:pPr>
              <w:spacing w:after="0"/>
              <w:rPr>
                <w:sz w:val="5"/>
                <w:szCs w:val="5"/>
                <w:color w:val="auto"/>
              </w:rPr>
            </w:pPr>
          </w:p>
        </w:tc>
        <w:tc>
          <w:tcPr>
            <w:tcW w:w="440" w:type="dxa"/>
            <w:vAlign w:val="bottom"/>
            <w:tcBorders>
              <w:right w:val="single" w:sz="8" w:color="808080"/>
            </w:tcBorders>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40" w:type="dxa"/>
            <w:vAlign w:val="bottom"/>
            <w:tcBorders>
              <w:right w:val="single" w:sz="8" w:color="808080"/>
            </w:tcBorders>
            <w:shd w:val="clear" w:color="auto" w:fill="808080"/>
          </w:tcPr>
          <w:p>
            <w:pPr>
              <w:spacing w:after="0"/>
              <w:rPr>
                <w:sz w:val="5"/>
                <w:szCs w:val="5"/>
                <w:color w:val="auto"/>
              </w:rPr>
            </w:pPr>
          </w:p>
        </w:tc>
        <w:tc>
          <w:tcPr>
            <w:tcW w:w="520" w:type="dxa"/>
            <w:vAlign w:val="bottom"/>
            <w:tcBorders>
              <w:right w:val="single" w:sz="8" w:color="808080"/>
            </w:tcBorders>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Current debt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56,000</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and subordinated debt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102,000</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52,000</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9,455</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8,017</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6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00" w:type="dxa"/>
            <w:vAlign w:val="bottom"/>
            <w:tcBorders>
              <w:right w:val="single" w:sz="8" w:color="CCEEFF"/>
            </w:tcBorders>
            <w:shd w:val="clear" w:color="auto" w:fill="CCEEFF"/>
          </w:tcPr>
          <w:p>
            <w:pPr>
              <w:spacing w:after="0"/>
              <w:rPr>
                <w:sz w:val="21"/>
                <w:szCs w:val="21"/>
                <w:color w:val="auto"/>
              </w:rPr>
            </w:pPr>
          </w:p>
        </w:tc>
        <w:tc>
          <w:tcPr>
            <w:tcW w:w="44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4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111,455</w:t>
            </w:r>
          </w:p>
        </w:tc>
        <w:tc>
          <w:tcPr>
            <w:tcW w:w="16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116,017</w:t>
            </w: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505,728</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542,738</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6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40" w:type="dxa"/>
            <w:vAlign w:val="bottom"/>
            <w:tcBorders>
              <w:right w:val="single" w:sz="8" w:color="CCEEFF"/>
            </w:tcBorders>
            <w:gridSpan w:val="2"/>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64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617,183</w:t>
            </w:r>
          </w:p>
        </w:tc>
        <w:tc>
          <w:tcPr>
            <w:tcW w:w="6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6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658,755</w:t>
            </w: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5"/>
        </w:trPr>
        <w:tc>
          <w:tcPr>
            <w:tcW w:w="62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Statements of Income</w:t>
            </w: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620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Borders>
              <w:right w:val="single" w:sz="8" w:color="808080"/>
            </w:tcBorders>
          </w:tcPr>
          <w:p>
            <w:pPr>
              <w:spacing w:after="0"/>
              <w:rPr>
                <w:sz w:val="5"/>
                <w:szCs w:val="5"/>
                <w:color w:val="auto"/>
              </w:rPr>
            </w:pPr>
          </w:p>
        </w:tc>
        <w:tc>
          <w:tcPr>
            <w:tcW w:w="440" w:type="dxa"/>
            <w:vAlign w:val="bottom"/>
            <w:tcBorders>
              <w:right w:val="single" w:sz="8" w:color="808080"/>
            </w:tcBorders>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40" w:type="dxa"/>
            <w:vAlign w:val="bottom"/>
            <w:tcBorders>
              <w:right w:val="single" w:sz="8" w:color="808080"/>
            </w:tcBorders>
            <w:shd w:val="clear" w:color="auto" w:fill="808080"/>
          </w:tcPr>
          <w:p>
            <w:pPr>
              <w:spacing w:after="0"/>
              <w:rPr>
                <w:sz w:val="5"/>
                <w:szCs w:val="5"/>
                <w:color w:val="auto"/>
              </w:rPr>
            </w:pPr>
          </w:p>
        </w:tc>
        <w:tc>
          <w:tcPr>
            <w:tcW w:w="520" w:type="dxa"/>
            <w:vAlign w:val="bottom"/>
            <w:tcBorders>
              <w:right w:val="single" w:sz="8" w:color="808080"/>
            </w:tcBorders>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620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20" w:type="dxa"/>
            <w:vAlign w:val="bottom"/>
          </w:tcPr>
          <w:p>
            <w:pPr>
              <w:spacing w:after="0"/>
              <w:rPr>
                <w:sz w:val="24"/>
                <w:szCs w:val="24"/>
                <w:color w:val="auto"/>
              </w:rPr>
            </w:pPr>
          </w:p>
        </w:tc>
        <w:tc>
          <w:tcPr>
            <w:tcW w:w="6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20" w:type="dxa"/>
            <w:vAlign w:val="bottom"/>
            <w:gridSpan w:val="8"/>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Year Ended December 31,</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gridSpan w:val="3"/>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gridSpan w:val="2"/>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6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2000</w:t>
            </w:r>
          </w:p>
        </w:tc>
        <w:tc>
          <w:tcPr>
            <w:tcW w:w="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40" w:type="dxa"/>
            <w:vAlign w:val="bottom"/>
            <w:gridSpan w:val="5"/>
          </w:tcPr>
          <w:p>
            <w:pPr>
              <w:jc w:val="center"/>
              <w:ind w:left="15"/>
              <w:spacing w:after="0"/>
              <w:rPr>
                <w:sz w:val="20"/>
                <w:szCs w:val="20"/>
                <w:color w:val="auto"/>
              </w:rPr>
            </w:pPr>
            <w:r>
              <w:rPr>
                <w:rFonts w:ascii="Times New Roman" w:cs="Times New Roman" w:eastAsia="Times New Roman" w:hAnsi="Times New Roman"/>
                <w:sz w:val="14"/>
                <w:szCs w:val="14"/>
                <w:b w:val="1"/>
                <w:bCs w:val="1"/>
                <w:color w:val="auto"/>
                <w:w w:val="92"/>
              </w:rPr>
              <w:t>2001</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gridSpan w:val="3"/>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2002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120" w:type="dxa"/>
            <w:vAlign w:val="bottom"/>
            <w:tcBorders>
              <w:bottom w:val="single" w:sz="8" w:color="808080"/>
            </w:tcBorders>
            <w:gridSpan w:val="3"/>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6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20" w:type="dxa"/>
            <w:vAlign w:val="bottom"/>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6"/>
              </w:rPr>
              <w:t>(in thousands)</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6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0" w:type="dxa"/>
            <w:vAlign w:val="bottom"/>
            <w:gridSpan w:val="2"/>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from loans to subsidiaries</w:t>
            </w:r>
          </w:p>
        </w:tc>
        <w:tc>
          <w:tcPr>
            <w:tcW w:w="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24,648</w:t>
            </w:r>
          </w:p>
        </w:tc>
        <w:tc>
          <w:tcPr>
            <w:tcW w:w="80" w:type="dxa"/>
            <w:vAlign w:val="bottom"/>
            <w:shd w:val="clear" w:color="auto" w:fill="CCEEFF"/>
          </w:tcPr>
          <w:p>
            <w:pPr>
              <w:spacing w:after="0"/>
              <w:rPr>
                <w:sz w:val="18"/>
                <w:szCs w:val="18"/>
                <w:color w:val="auto"/>
              </w:rPr>
            </w:pPr>
          </w:p>
        </w:tc>
        <w:tc>
          <w:tcPr>
            <w:tcW w:w="640" w:type="dxa"/>
            <w:vAlign w:val="bottom"/>
            <w:tcBorders>
              <w:right w:val="single" w:sz="8" w:color="CCEEFF"/>
            </w:tcBorders>
            <w:gridSpan w:val="3"/>
            <w:shd w:val="clear" w:color="auto" w:fill="CCEEFF"/>
          </w:tcPr>
          <w:p>
            <w:pPr>
              <w:jc w:val="right"/>
              <w:ind w:right="366"/>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27,237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30,517</w:t>
            </w:r>
          </w:p>
        </w:tc>
        <w:tc>
          <w:tcPr>
            <w:tcW w:w="100" w:type="dxa"/>
            <w:vAlign w:val="bottom"/>
            <w:shd w:val="clear" w:color="auto" w:fill="CCEEFF"/>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Dividends from subsidiaries</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32,000</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1,900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6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gridSpan w:val="2"/>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gridSpan w:val="2"/>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revenue</w:t>
            </w:r>
          </w:p>
        </w:tc>
        <w:tc>
          <w:tcPr>
            <w:tcW w:w="2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4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56,648</w:t>
            </w: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tcBorders>
              <w:right w:val="single" w:sz="8" w:color="CCEEFF"/>
            </w:tcBorders>
            <w:shd w:val="clear" w:color="auto" w:fill="CCEEFF"/>
          </w:tcPr>
          <w:p>
            <w:pPr>
              <w:spacing w:after="0"/>
              <w:rPr>
                <w:sz w:val="21"/>
                <w:szCs w:val="21"/>
                <w:color w:val="auto"/>
              </w:rPr>
            </w:pPr>
          </w:p>
        </w:tc>
        <w:tc>
          <w:tcPr>
            <w:tcW w:w="520" w:type="dxa"/>
            <w:vAlign w:val="bottom"/>
            <w:tcBorders>
              <w:right w:val="single" w:sz="8" w:color="CCEEFF"/>
            </w:tcBorders>
            <w:shd w:val="clear" w:color="auto" w:fill="CCEEFF"/>
          </w:tcPr>
          <w:p>
            <w:pPr>
              <w:spacing w:after="0"/>
              <w:rPr>
                <w:sz w:val="21"/>
                <w:szCs w:val="21"/>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29,137</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86,917</w:t>
            </w:r>
          </w:p>
        </w:tc>
        <w:tc>
          <w:tcPr>
            <w:tcW w:w="100" w:type="dxa"/>
            <w:vAlign w:val="bottom"/>
            <w:shd w:val="clear" w:color="auto" w:fill="CCEEFF"/>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24,296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16,324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100" w:type="dxa"/>
            <w:vAlign w:val="bottom"/>
            <w:shd w:val="clear" w:color="auto" w:fill="CCEEFF"/>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gridSpan w:val="2"/>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gridSpan w:val="2"/>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6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expense</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25,266</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16,475</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10,993</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6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gridSpan w:val="2"/>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gridSpan w:val="2"/>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8"/>
              </w:rPr>
              <w:t>Income before income taxes, equity in undistributed net income and extraordinary item</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31,382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12,662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75,924</w:t>
            </w:r>
          </w:p>
        </w:tc>
        <w:tc>
          <w:tcPr>
            <w:tcW w:w="100" w:type="dxa"/>
            <w:vAlign w:val="bottom"/>
            <w:shd w:val="clear" w:color="auto" w:fill="CCEEFF"/>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4,475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6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gridSpan w:val="2"/>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gridSpan w:val="2"/>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equity in undistributed net income and extraordinary item</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30,842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70,002</w:t>
            </w:r>
          </w:p>
        </w:tc>
        <w:tc>
          <w:tcPr>
            <w:tcW w:w="100" w:type="dxa"/>
            <w:vAlign w:val="bottom"/>
            <w:shd w:val="clear" w:color="auto" w:fill="CCEEFF"/>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Extraordinary item, net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2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(615)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(542)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in undistributed net income of subsidiaries</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(52,165)</w:t>
            </w:r>
          </w:p>
        </w:tc>
        <w:tc>
          <w:tcPr>
            <w:tcW w:w="8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spacing w:after="0"/>
              <w:rPr>
                <w:sz w:val="18"/>
                <w:szCs w:val="18"/>
                <w:color w:val="auto"/>
              </w:rPr>
            </w:pPr>
          </w:p>
        </w:tc>
        <w:tc>
          <w:tcPr>
            <w:tcW w:w="7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(15,804)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(43,257)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6200" w:type="dxa"/>
            <w:vAlign w:val="bottom"/>
            <w:gridSpan w:val="2"/>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gridSpan w:val="2"/>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gridSpan w:val="2"/>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(21,323)</w:t>
            </w:r>
          </w:p>
        </w:tc>
        <w:tc>
          <w:tcPr>
            <w:tcW w:w="640" w:type="dxa"/>
            <w:vAlign w:val="bottom"/>
            <w:gridSpan w:val="3"/>
          </w:tcPr>
          <w:p>
            <w:pPr>
              <w:jc w:val="right"/>
              <w:ind w:right="36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(8,232)</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26,203</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180" w:type="dxa"/>
            <w:vAlign w:val="bottom"/>
            <w:vMerge w:val="restart"/>
          </w:tcPr>
          <w:p>
            <w:pPr>
              <w:ind w:left="5520"/>
              <w:spacing w:after="0"/>
              <w:rPr>
                <w:sz w:val="20"/>
                <w:szCs w:val="20"/>
                <w:color w:val="auto"/>
              </w:rPr>
            </w:pPr>
            <w:r>
              <w:rPr>
                <w:rFonts w:ascii="Times New Roman" w:cs="Times New Roman" w:eastAsia="Times New Roman" w:hAnsi="Times New Roman"/>
                <w:sz w:val="18"/>
                <w:szCs w:val="18"/>
                <w:color w:val="auto"/>
              </w:rPr>
              <w:t>F-32</w:t>
            </w: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18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440" w:type="dxa"/>
            <w:vAlign w:val="bottom"/>
            <w:tcBorders>
              <w:right w:val="single" w:sz="8" w:color="808080"/>
            </w:tcBorders>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Borders>
              <w:right w:val="single" w:sz="8" w:color="808080"/>
            </w:tcBorders>
          </w:tcPr>
          <w:p>
            <w:pPr>
              <w:spacing w:after="0"/>
              <w:rPr>
                <w:sz w:val="5"/>
                <w:szCs w:val="5"/>
                <w:color w:val="auto"/>
              </w:rPr>
            </w:pPr>
          </w:p>
        </w:tc>
        <w:tc>
          <w:tcPr>
            <w:tcW w:w="520" w:type="dxa"/>
            <w:vAlign w:val="bottom"/>
            <w:tcBorders>
              <w:right w:val="single" w:sz="8" w:color="808080"/>
            </w:tcBorders>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61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1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427"/>
        </w:trPr>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Statements of Cash Flows</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20" w:type="dxa"/>
            <w:vAlign w:val="bottom"/>
          </w:tcPr>
          <w:p>
            <w:pPr>
              <w:spacing w:after="0"/>
              <w:rPr>
                <w:sz w:val="24"/>
                <w:szCs w:val="24"/>
                <w:color w:val="auto"/>
              </w:rPr>
            </w:pPr>
          </w:p>
        </w:tc>
        <w:tc>
          <w:tcPr>
            <w:tcW w:w="6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20" w:type="dxa"/>
            <w:vAlign w:val="bottom"/>
            <w:gridSpan w:val="8"/>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Year Ended December 31,</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1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gridSpan w:val="4"/>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6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00" w:type="dxa"/>
            <w:vAlign w:val="bottom"/>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2000</w:t>
            </w:r>
          </w:p>
        </w:tc>
        <w:tc>
          <w:tcPr>
            <w:tcW w:w="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40" w:type="dxa"/>
            <w:vAlign w:val="bottom"/>
            <w:gridSpan w:val="5"/>
          </w:tcPr>
          <w:p>
            <w:pPr>
              <w:jc w:val="center"/>
              <w:ind w:left="95"/>
              <w:spacing w:after="0"/>
              <w:rPr>
                <w:sz w:val="20"/>
                <w:szCs w:val="20"/>
                <w:color w:val="auto"/>
              </w:rPr>
            </w:pPr>
            <w:r>
              <w:rPr>
                <w:rFonts w:ascii="Times New Roman" w:cs="Times New Roman" w:eastAsia="Times New Roman" w:hAnsi="Times New Roman"/>
                <w:sz w:val="14"/>
                <w:szCs w:val="14"/>
                <w:b w:val="1"/>
                <w:bCs w:val="1"/>
                <w:color w:val="auto"/>
                <w:w w:val="92"/>
              </w:rPr>
              <w:t>2001</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0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2002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1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gridSpan w:val="4"/>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6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2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6"/>
              </w:rPr>
              <w:t>(in thousands)</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6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gridSpan w:val="2"/>
          </w:tcPr>
          <w:p>
            <w:pPr>
              <w:spacing w:after="0"/>
              <w:rPr>
                <w:sz w:val="20"/>
                <w:szCs w:val="20"/>
                <w:color w:val="auto"/>
              </w:rPr>
            </w:pPr>
          </w:p>
        </w:tc>
        <w:tc>
          <w:tcPr>
            <w:tcW w:w="800" w:type="dxa"/>
            <w:vAlign w:val="bottom"/>
            <w:gridSpan w:val="4"/>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gridSpan w:val="3"/>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99,338</w:t>
            </w:r>
          </w:p>
        </w:tc>
        <w:tc>
          <w:tcPr>
            <w:tcW w:w="80" w:type="dxa"/>
            <w:vAlign w:val="bottom"/>
            <w:shd w:val="clear" w:color="auto" w:fill="CCEEFF"/>
          </w:tcPr>
          <w:p>
            <w:pPr>
              <w:spacing w:after="0"/>
              <w:rPr>
                <w:sz w:val="18"/>
                <w:szCs w:val="18"/>
                <w:color w:val="auto"/>
              </w:rPr>
            </w:pPr>
          </w:p>
        </w:tc>
        <w:tc>
          <w:tcPr>
            <w:tcW w:w="640" w:type="dxa"/>
            <w:vAlign w:val="bottom"/>
            <w:tcBorders>
              <w:right w:val="single" w:sz="8" w:color="CCEEFF"/>
            </w:tcBorders>
            <w:gridSpan w:val="3"/>
            <w:shd w:val="clear" w:color="auto" w:fill="CCEEFF"/>
          </w:tcPr>
          <w:p>
            <w:pPr>
              <w:jc w:val="right"/>
              <w:ind w:right="40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4"/>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(51,060)</w:t>
            </w:r>
          </w:p>
        </w:tc>
        <w:tc>
          <w:tcPr>
            <w:tcW w:w="5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8,153</w:t>
            </w:r>
          </w:p>
        </w:tc>
        <w:tc>
          <w:tcPr>
            <w:tcW w:w="100" w:type="dxa"/>
            <w:vAlign w:val="bottom"/>
            <w:shd w:val="clear" w:color="auto" w:fill="CCEEFF"/>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paid for corporate acquisitions</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w:t>
            </w:r>
          </w:p>
        </w:tc>
        <w:tc>
          <w:tcPr>
            <w:tcW w:w="100" w:type="dxa"/>
            <w:vAlign w:val="bottom"/>
            <w:shd w:val="clear" w:color="auto" w:fill="CCEEFF"/>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Loans to subsidiaries</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3"/>
          </w:tcPr>
          <w:p>
            <w:pPr>
              <w:jc w:val="right"/>
              <w:ind w:right="12"/>
              <w:spacing w:after="0"/>
              <w:rPr>
                <w:sz w:val="20"/>
                <w:szCs w:val="20"/>
                <w:color w:val="auto"/>
              </w:rPr>
            </w:pPr>
            <w:r>
              <w:rPr>
                <w:rFonts w:ascii="Times New Roman" w:cs="Times New Roman" w:eastAsia="Times New Roman" w:hAnsi="Times New Roman"/>
                <w:sz w:val="18"/>
                <w:szCs w:val="18"/>
                <w:color w:val="auto"/>
              </w:rPr>
              <w:t>(93,000)</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(25,000)</w:t>
            </w: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61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1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00" w:type="dxa"/>
            <w:vAlign w:val="bottom"/>
            <w:tcBorders>
              <w:right w:val="single" w:sz="8" w:color="CCEEFF"/>
            </w:tcBorders>
            <w:shd w:val="clear" w:color="auto" w:fill="CCEEFF"/>
          </w:tcPr>
          <w:p>
            <w:pPr>
              <w:spacing w:after="0"/>
              <w:rPr>
                <w:sz w:val="13"/>
                <w:szCs w:val="13"/>
                <w:color w:val="auto"/>
              </w:rPr>
            </w:pPr>
          </w:p>
        </w:tc>
        <w:tc>
          <w:tcPr>
            <w:tcW w:w="44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tcBorders>
              <w:right w:val="single" w:sz="8" w:color="CCEEFF"/>
            </w:tcBorders>
            <w:shd w:val="clear" w:color="auto" w:fill="CCEEFF"/>
          </w:tcPr>
          <w:p>
            <w:pPr>
              <w:spacing w:after="0"/>
              <w:rPr>
                <w:sz w:val="13"/>
                <w:szCs w:val="13"/>
                <w:color w:val="auto"/>
              </w:rPr>
            </w:pPr>
          </w:p>
        </w:tc>
        <w:tc>
          <w:tcPr>
            <w:tcW w:w="520" w:type="dxa"/>
            <w:vAlign w:val="bottom"/>
            <w:tcBorders>
              <w:right w:val="single" w:sz="8" w:color="CCEEFF"/>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6074410</wp:posOffset>
            </wp:positionH>
            <wp:positionV relativeFrom="paragraph">
              <wp:posOffset>-9387205</wp:posOffset>
            </wp:positionV>
            <wp:extent cx="12700" cy="8890"/>
            <wp:wrapNone/>
            <wp:docPr id="1022" name="Picture 1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2"/>
                    <pic:cNvPicPr>
                      <a:picLocks noChangeAspect="1" noChangeArrowheads="1"/>
                    </pic:cNvPicPr>
                  </pic:nvPicPr>
                  <pic:blipFill>
                    <a:blip r:embed="rId10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-9387205</wp:posOffset>
            </wp:positionV>
            <wp:extent cx="12700" cy="8890"/>
            <wp:wrapNone/>
            <wp:docPr id="1023" name="Picture 1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10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-9138285</wp:posOffset>
            </wp:positionV>
            <wp:extent cx="12700" cy="8890"/>
            <wp:wrapNone/>
            <wp:docPr id="1024" name="Picture 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4"/>
                    <pic:cNvPicPr>
                      <a:picLocks noChangeAspect="1" noChangeArrowheads="1"/>
                    </pic:cNvPicPr>
                  </pic:nvPicPr>
                  <pic:blipFill>
                    <a:blip r:embed="rId10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-9138285</wp:posOffset>
            </wp:positionV>
            <wp:extent cx="12700" cy="8890"/>
            <wp:wrapNone/>
            <wp:docPr id="1025" name="Picture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5"/>
                    <pic:cNvPicPr>
                      <a:picLocks noChangeAspect="1" noChangeArrowheads="1"/>
                    </pic:cNvPicPr>
                  </pic:nvPicPr>
                  <pic:blipFill>
                    <a:blip r:embed="rId10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-9138285</wp:posOffset>
            </wp:positionV>
            <wp:extent cx="12700" cy="8890"/>
            <wp:wrapNone/>
            <wp:docPr id="1026" name="Picture 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6"/>
                    <pic:cNvPicPr>
                      <a:picLocks noChangeAspect="1" noChangeArrowheads="1"/>
                    </pic:cNvPicPr>
                  </pic:nvPicPr>
                  <pic:blipFill>
                    <a:blip r:embed="rId10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-9138285</wp:posOffset>
            </wp:positionV>
            <wp:extent cx="12700" cy="8890"/>
            <wp:wrapNone/>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7"/>
                    <pic:cNvPicPr>
                      <a:picLocks noChangeAspect="1" noChangeArrowheads="1"/>
                    </pic:cNvPicPr>
                  </pic:nvPicPr>
                  <pic:blipFill>
                    <a:blip r:embed="rId10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-8049260</wp:posOffset>
            </wp:positionV>
            <wp:extent cx="12700" cy="8890"/>
            <wp:wrapNone/>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8"/>
                    <pic:cNvPicPr>
                      <a:picLocks noChangeAspect="1" noChangeArrowheads="1"/>
                    </pic:cNvPicPr>
                  </pic:nvPicPr>
                  <pic:blipFill>
                    <a:blip r:embed="rId10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-8049260</wp:posOffset>
            </wp:positionV>
            <wp:extent cx="12700" cy="8890"/>
            <wp:wrapNone/>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9"/>
                    <pic:cNvPicPr>
                      <a:picLocks noChangeAspect="1" noChangeArrowheads="1"/>
                    </pic:cNvPicPr>
                  </pic:nvPicPr>
                  <pic:blipFill>
                    <a:blip r:embed="rId10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-8049260</wp:posOffset>
            </wp:positionV>
            <wp:extent cx="12700" cy="8890"/>
            <wp:wrapNone/>
            <wp:docPr id="1030" name="Picture 1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0"/>
                    <pic:cNvPicPr>
                      <a:picLocks noChangeAspect="1" noChangeArrowheads="1"/>
                    </pic:cNvPicPr>
                  </pic:nvPicPr>
                  <pic:blipFill>
                    <a:blip r:embed="rId10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-8049260</wp:posOffset>
            </wp:positionV>
            <wp:extent cx="12700" cy="8890"/>
            <wp:wrapNone/>
            <wp:docPr id="1031" name="Picture 1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1"/>
                    <pic:cNvPicPr>
                      <a:picLocks noChangeAspect="1" noChangeArrowheads="1"/>
                    </pic:cNvPicPr>
                  </pic:nvPicPr>
                  <pic:blipFill>
                    <a:blip r:embed="rId10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-7020560</wp:posOffset>
            </wp:positionV>
            <wp:extent cx="12700" cy="8890"/>
            <wp:wrapNone/>
            <wp:docPr id="1032" name="Picture 1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2"/>
                    <pic:cNvPicPr>
                      <a:picLocks noChangeAspect="1" noChangeArrowheads="1"/>
                    </pic:cNvPicPr>
                  </pic:nvPicPr>
                  <pic:blipFill>
                    <a:blip r:embed="rId10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-7020560</wp:posOffset>
            </wp:positionV>
            <wp:extent cx="12700" cy="8890"/>
            <wp:wrapNone/>
            <wp:docPr id="1033" name="Picture 1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3"/>
                    <pic:cNvPicPr>
                      <a:picLocks noChangeAspect="1" noChangeArrowheads="1"/>
                    </pic:cNvPicPr>
                  </pic:nvPicPr>
                  <pic:blipFill>
                    <a:blip r:embed="rId10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-7020560</wp:posOffset>
            </wp:positionV>
            <wp:extent cx="12700" cy="8890"/>
            <wp:wrapNone/>
            <wp:docPr id="1034" name="Picture 1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4"/>
                    <pic:cNvPicPr>
                      <a:picLocks noChangeAspect="1" noChangeArrowheads="1"/>
                    </pic:cNvPicPr>
                  </pic:nvPicPr>
                  <pic:blipFill>
                    <a:blip r:embed="rId10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-7020560</wp:posOffset>
            </wp:positionV>
            <wp:extent cx="12700" cy="8890"/>
            <wp:wrapNone/>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5"/>
                    <pic:cNvPicPr>
                      <a:picLocks noChangeAspect="1" noChangeArrowheads="1"/>
                    </pic:cNvPicPr>
                  </pic:nvPicPr>
                  <pic:blipFill>
                    <a:blip r:embed="rId10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-6574155</wp:posOffset>
            </wp:positionV>
            <wp:extent cx="12700" cy="8890"/>
            <wp:wrapNone/>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6"/>
                    <pic:cNvPicPr>
                      <a:picLocks noChangeAspect="1" noChangeArrowheads="1"/>
                    </pic:cNvPicPr>
                  </pic:nvPicPr>
                  <pic:blipFill>
                    <a:blip r:embed="rId10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-6574155</wp:posOffset>
            </wp:positionV>
            <wp:extent cx="12700" cy="8890"/>
            <wp:wrapNone/>
            <wp:docPr id="1037" name="Picture 1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7"/>
                    <pic:cNvPicPr>
                      <a:picLocks noChangeAspect="1" noChangeArrowheads="1"/>
                    </pic:cNvPicPr>
                  </pic:nvPicPr>
                  <pic:blipFill>
                    <a:blip r:embed="rId10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-6574155</wp:posOffset>
            </wp:positionV>
            <wp:extent cx="12700" cy="8890"/>
            <wp:wrapNone/>
            <wp:docPr id="1038" name="Picture 1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8"/>
                    <pic:cNvPicPr>
                      <a:picLocks noChangeAspect="1" noChangeArrowheads="1"/>
                    </pic:cNvPicPr>
                  </pic:nvPicPr>
                  <pic:blipFill>
                    <a:blip r:embed="rId10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-6574155</wp:posOffset>
            </wp:positionV>
            <wp:extent cx="12700" cy="8890"/>
            <wp:wrapNone/>
            <wp:docPr id="1039" name="Picture 1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9"/>
                    <pic:cNvPicPr>
                      <a:picLocks noChangeAspect="1" noChangeArrowheads="1"/>
                    </pic:cNvPicPr>
                  </pic:nvPicPr>
                  <pic:blipFill>
                    <a:blip r:embed="rId10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-5588000</wp:posOffset>
            </wp:positionV>
            <wp:extent cx="12700" cy="8890"/>
            <wp:wrapNone/>
            <wp:docPr id="1040" name="Picture 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0"/>
                    <pic:cNvPicPr>
                      <a:picLocks noChangeAspect="1" noChangeArrowheads="1"/>
                    </pic:cNvPicPr>
                  </pic:nvPicPr>
                  <pic:blipFill>
                    <a:blip r:embed="rId10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-5588000</wp:posOffset>
            </wp:positionV>
            <wp:extent cx="12700" cy="8890"/>
            <wp:wrapNone/>
            <wp:docPr id="1041" name="Picture 1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1"/>
                    <pic:cNvPicPr>
                      <a:picLocks noChangeAspect="1" noChangeArrowheads="1"/>
                    </pic:cNvPicPr>
                  </pic:nvPicPr>
                  <pic:blipFill>
                    <a:blip r:embed="rId10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-5339715</wp:posOffset>
            </wp:positionV>
            <wp:extent cx="12700" cy="8890"/>
            <wp:wrapNone/>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2"/>
                    <pic:cNvPicPr>
                      <a:picLocks noChangeAspect="1" noChangeArrowheads="1"/>
                    </pic:cNvPicPr>
                  </pic:nvPicPr>
                  <pic:blipFill>
                    <a:blip r:embed="rId10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-5339715</wp:posOffset>
            </wp:positionV>
            <wp:extent cx="12700" cy="8890"/>
            <wp:wrapNone/>
            <wp:docPr id="1043" name="Picture 1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3"/>
                    <pic:cNvPicPr>
                      <a:picLocks noChangeAspect="1" noChangeArrowheads="1"/>
                    </pic:cNvPicPr>
                  </pic:nvPicPr>
                  <pic:blipFill>
                    <a:blip r:embed="rId10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-5339715</wp:posOffset>
            </wp:positionV>
            <wp:extent cx="12700" cy="8890"/>
            <wp:wrapNone/>
            <wp:docPr id="1044" name="Picture 1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4"/>
                    <pic:cNvPicPr>
                      <a:picLocks noChangeAspect="1" noChangeArrowheads="1"/>
                    </pic:cNvPicPr>
                  </pic:nvPicPr>
                  <pic:blipFill>
                    <a:blip r:embed="rId10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-5339715</wp:posOffset>
            </wp:positionV>
            <wp:extent cx="12700" cy="8890"/>
            <wp:wrapNone/>
            <wp:docPr id="1045" name="Picture 1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5"/>
                    <pic:cNvPicPr>
                      <a:picLocks noChangeAspect="1" noChangeArrowheads="1"/>
                    </pic:cNvPicPr>
                  </pic:nvPicPr>
                  <pic:blipFill>
                    <a:blip r:embed="rId10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-5339715</wp:posOffset>
            </wp:positionV>
            <wp:extent cx="12700" cy="8890"/>
            <wp:wrapNone/>
            <wp:docPr id="1046" name="Picture 1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6"/>
                    <pic:cNvPicPr>
                      <a:picLocks noChangeAspect="1" noChangeArrowheads="1"/>
                    </pic:cNvPicPr>
                  </pic:nvPicPr>
                  <pic:blipFill>
                    <a:blip r:embed="rId10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-5339715</wp:posOffset>
            </wp:positionV>
            <wp:extent cx="12700" cy="8890"/>
            <wp:wrapNone/>
            <wp:docPr id="1047" name="Picture 1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7"/>
                    <pic:cNvPicPr>
                      <a:picLocks noChangeAspect="1" noChangeArrowheads="1"/>
                    </pic:cNvPicPr>
                  </pic:nvPicPr>
                  <pic:blipFill>
                    <a:blip r:embed="rId10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-4662170</wp:posOffset>
            </wp:positionV>
            <wp:extent cx="12700" cy="8890"/>
            <wp:wrapNone/>
            <wp:docPr id="1048" name="Picture 1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8"/>
                    <pic:cNvPicPr>
                      <a:picLocks noChangeAspect="1" noChangeArrowheads="1"/>
                    </pic:cNvPicPr>
                  </pic:nvPicPr>
                  <pic:blipFill>
                    <a:blip r:embed="rId10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-4662170</wp:posOffset>
            </wp:positionV>
            <wp:extent cx="12700" cy="8890"/>
            <wp:wrapNone/>
            <wp:docPr id="1049" name="Picture 1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9"/>
                    <pic:cNvPicPr>
                      <a:picLocks noChangeAspect="1" noChangeArrowheads="1"/>
                    </pic:cNvPicPr>
                  </pic:nvPicPr>
                  <pic:blipFill>
                    <a:blip r:embed="rId10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-4662170</wp:posOffset>
            </wp:positionV>
            <wp:extent cx="12700" cy="8890"/>
            <wp:wrapNone/>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0"/>
                    <pic:cNvPicPr>
                      <a:picLocks noChangeAspect="1" noChangeArrowheads="1"/>
                    </pic:cNvPicPr>
                  </pic:nvPicPr>
                  <pic:blipFill>
                    <a:blip r:embed="rId10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-4662170</wp:posOffset>
            </wp:positionV>
            <wp:extent cx="12700" cy="8890"/>
            <wp:wrapNone/>
            <wp:docPr id="1051" name="Picture 1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1"/>
                    <pic:cNvPicPr>
                      <a:picLocks noChangeAspect="1" noChangeArrowheads="1"/>
                    </pic:cNvPicPr>
                  </pic:nvPicPr>
                  <pic:blipFill>
                    <a:blip r:embed="rId10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-4662170</wp:posOffset>
            </wp:positionV>
            <wp:extent cx="12700" cy="8890"/>
            <wp:wrapNone/>
            <wp:docPr id="1052" name="Picture 1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2"/>
                    <pic:cNvPicPr>
                      <a:picLocks noChangeAspect="1" noChangeArrowheads="1"/>
                    </pic:cNvPicPr>
                  </pic:nvPicPr>
                  <pic:blipFill>
                    <a:blip r:embed="rId10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-4662170</wp:posOffset>
            </wp:positionV>
            <wp:extent cx="12700" cy="8890"/>
            <wp:wrapNone/>
            <wp:docPr id="1053" name="Picture 1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3"/>
                    <pic:cNvPicPr>
                      <a:picLocks noChangeAspect="1" noChangeArrowheads="1"/>
                    </pic:cNvPicPr>
                  </pic:nvPicPr>
                  <pic:blipFill>
                    <a:blip r:embed="rId10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-4078605</wp:posOffset>
            </wp:positionV>
            <wp:extent cx="12700" cy="8890"/>
            <wp:wrapNone/>
            <wp:docPr id="1054" name="Picture 1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4"/>
                    <pic:cNvPicPr>
                      <a:picLocks noChangeAspect="1" noChangeArrowheads="1"/>
                    </pic:cNvPicPr>
                  </pic:nvPicPr>
                  <pic:blipFill>
                    <a:blip r:embed="rId10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-4078605</wp:posOffset>
            </wp:positionV>
            <wp:extent cx="12700" cy="8890"/>
            <wp:wrapNone/>
            <wp:docPr id="1055" name="Picture 1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5"/>
                    <pic:cNvPicPr>
                      <a:picLocks noChangeAspect="1" noChangeArrowheads="1"/>
                    </pic:cNvPicPr>
                  </pic:nvPicPr>
                  <pic:blipFill>
                    <a:blip r:embed="rId10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-4078605</wp:posOffset>
            </wp:positionV>
            <wp:extent cx="12700" cy="8890"/>
            <wp:wrapNone/>
            <wp:docPr id="1056" name="Picture 1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6"/>
                    <pic:cNvPicPr>
                      <a:picLocks noChangeAspect="1" noChangeArrowheads="1"/>
                    </pic:cNvPicPr>
                  </pic:nvPicPr>
                  <pic:blipFill>
                    <a:blip r:embed="rId10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-4078605</wp:posOffset>
            </wp:positionV>
            <wp:extent cx="12700" cy="8890"/>
            <wp:wrapNone/>
            <wp:docPr id="1057" name="Picture 1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7"/>
                    <pic:cNvPicPr>
                      <a:picLocks noChangeAspect="1" noChangeArrowheads="1"/>
                    </pic:cNvPicPr>
                  </pic:nvPicPr>
                  <pic:blipFill>
                    <a:blip r:embed="rId10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-4078605</wp:posOffset>
            </wp:positionV>
            <wp:extent cx="12700" cy="8890"/>
            <wp:wrapNone/>
            <wp:docPr id="1058" name="Picture 1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8"/>
                    <pic:cNvPicPr>
                      <a:picLocks noChangeAspect="1" noChangeArrowheads="1"/>
                    </pic:cNvPicPr>
                  </pic:nvPicPr>
                  <pic:blipFill>
                    <a:blip r:embed="rId10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-4078605</wp:posOffset>
            </wp:positionV>
            <wp:extent cx="12700" cy="8890"/>
            <wp:wrapNone/>
            <wp:docPr id="1059" name="Picture 1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9"/>
                    <pic:cNvPicPr>
                      <a:picLocks noChangeAspect="1" noChangeArrowheads="1"/>
                    </pic:cNvPicPr>
                  </pic:nvPicPr>
                  <pic:blipFill>
                    <a:blip r:embed="rId10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-3769995</wp:posOffset>
            </wp:positionV>
            <wp:extent cx="12700" cy="8890"/>
            <wp:wrapNone/>
            <wp:docPr id="1060" name="Picture 1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0"/>
                    <pic:cNvPicPr>
                      <a:picLocks noChangeAspect="1" noChangeArrowheads="1"/>
                    </pic:cNvPicPr>
                  </pic:nvPicPr>
                  <pic:blipFill>
                    <a:blip r:embed="rId10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-3769995</wp:posOffset>
            </wp:positionV>
            <wp:extent cx="12700" cy="8890"/>
            <wp:wrapNone/>
            <wp:docPr id="1061" name="Picture 1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1"/>
                    <pic:cNvPicPr>
                      <a:picLocks noChangeAspect="1" noChangeArrowheads="1"/>
                    </pic:cNvPicPr>
                  </pic:nvPicPr>
                  <pic:blipFill>
                    <a:blip r:embed="rId10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-3769995</wp:posOffset>
            </wp:positionV>
            <wp:extent cx="12700" cy="8890"/>
            <wp:wrapNone/>
            <wp:docPr id="1062" name="Picture 1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2"/>
                    <pic:cNvPicPr>
                      <a:picLocks noChangeAspect="1" noChangeArrowheads="1"/>
                    </pic:cNvPicPr>
                  </pic:nvPicPr>
                  <pic:blipFill>
                    <a:blip r:embed="rId10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-3769995</wp:posOffset>
            </wp:positionV>
            <wp:extent cx="12700" cy="8890"/>
            <wp:wrapNone/>
            <wp:docPr id="1063" name="Picture 1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3"/>
                    <pic:cNvPicPr>
                      <a:picLocks noChangeAspect="1" noChangeArrowheads="1"/>
                    </pic:cNvPicPr>
                  </pic:nvPicPr>
                  <pic:blipFill>
                    <a:blip r:embed="rId10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-3769995</wp:posOffset>
            </wp:positionV>
            <wp:extent cx="12700" cy="8890"/>
            <wp:wrapNone/>
            <wp:docPr id="1064" name="Picture 1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4"/>
                    <pic:cNvPicPr>
                      <a:picLocks noChangeAspect="1" noChangeArrowheads="1"/>
                    </pic:cNvPicPr>
                  </pic:nvPicPr>
                  <pic:blipFill>
                    <a:blip r:embed="rId10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-3769995</wp:posOffset>
            </wp:positionV>
            <wp:extent cx="12700" cy="8890"/>
            <wp:wrapNone/>
            <wp:docPr id="1065" name="Picture 1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5"/>
                    <pic:cNvPicPr>
                      <a:picLocks noChangeAspect="1" noChangeArrowheads="1"/>
                    </pic:cNvPicPr>
                  </pic:nvPicPr>
                  <pic:blipFill>
                    <a:blip r:embed="rId10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-3341370</wp:posOffset>
            </wp:positionV>
            <wp:extent cx="12700" cy="8890"/>
            <wp:wrapNone/>
            <wp:docPr id="1066" name="Picture 1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6"/>
                    <pic:cNvPicPr>
                      <a:picLocks noChangeAspect="1" noChangeArrowheads="1"/>
                    </pic:cNvPicPr>
                  </pic:nvPicPr>
                  <pic:blipFill>
                    <a:blip r:embed="rId10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-3341370</wp:posOffset>
            </wp:positionV>
            <wp:extent cx="12700" cy="8890"/>
            <wp:wrapNone/>
            <wp:docPr id="1067" name="Picture 1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7"/>
                    <pic:cNvPicPr>
                      <a:picLocks noChangeAspect="1" noChangeArrowheads="1"/>
                    </pic:cNvPicPr>
                  </pic:nvPicPr>
                  <pic:blipFill>
                    <a:blip r:embed="rId10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-3341370</wp:posOffset>
            </wp:positionV>
            <wp:extent cx="12700" cy="8890"/>
            <wp:wrapNone/>
            <wp:docPr id="1068" name="Picture 1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8"/>
                    <pic:cNvPicPr>
                      <a:picLocks noChangeAspect="1" noChangeArrowheads="1"/>
                    </pic:cNvPicPr>
                  </pic:nvPicPr>
                  <pic:blipFill>
                    <a:blip r:embed="rId10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-3341370</wp:posOffset>
            </wp:positionV>
            <wp:extent cx="12700" cy="8890"/>
            <wp:wrapNone/>
            <wp:docPr id="1069" name="Picture 1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9"/>
                    <pic:cNvPicPr>
                      <a:picLocks noChangeAspect="1" noChangeArrowheads="1"/>
                    </pic:cNvPicPr>
                  </pic:nvPicPr>
                  <pic:blipFill>
                    <a:blip r:embed="rId10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-3341370</wp:posOffset>
            </wp:positionV>
            <wp:extent cx="12700" cy="8890"/>
            <wp:wrapNone/>
            <wp:docPr id="1070" name="Picture 1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0"/>
                    <pic:cNvPicPr>
                      <a:picLocks noChangeAspect="1" noChangeArrowheads="1"/>
                    </pic:cNvPicPr>
                  </pic:nvPicPr>
                  <pic:blipFill>
                    <a:blip r:embed="rId10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-3341370</wp:posOffset>
            </wp:positionV>
            <wp:extent cx="12700" cy="8890"/>
            <wp:wrapNone/>
            <wp:docPr id="1071" name="Picture 1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1"/>
                    <pic:cNvPicPr>
                      <a:picLocks noChangeAspect="1" noChangeArrowheads="1"/>
                    </pic:cNvPicPr>
                  </pic:nvPicPr>
                  <pic:blipFill>
                    <a:blip r:embed="rId10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-2774950</wp:posOffset>
            </wp:positionV>
            <wp:extent cx="12700" cy="8890"/>
            <wp:wrapNone/>
            <wp:docPr id="1072" name="Picture 1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2"/>
                    <pic:cNvPicPr>
                      <a:picLocks noChangeAspect="1" noChangeArrowheads="1"/>
                    </pic:cNvPicPr>
                  </pic:nvPicPr>
                  <pic:blipFill>
                    <a:blip r:embed="rId10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-2774950</wp:posOffset>
            </wp:positionV>
            <wp:extent cx="12700" cy="8890"/>
            <wp:wrapNone/>
            <wp:docPr id="1073" name="Picture 1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3"/>
                    <pic:cNvPicPr>
                      <a:picLocks noChangeAspect="1" noChangeArrowheads="1"/>
                    </pic:cNvPicPr>
                  </pic:nvPicPr>
                  <pic:blipFill>
                    <a:blip r:embed="rId10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-2774950</wp:posOffset>
            </wp:positionV>
            <wp:extent cx="12700" cy="8890"/>
            <wp:wrapNone/>
            <wp:docPr id="1074" name="Picture 1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4"/>
                    <pic:cNvPicPr>
                      <a:picLocks noChangeAspect="1" noChangeArrowheads="1"/>
                    </pic:cNvPicPr>
                  </pic:nvPicPr>
                  <pic:blipFill>
                    <a:blip r:embed="rId10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-2774950</wp:posOffset>
            </wp:positionV>
            <wp:extent cx="12700" cy="8890"/>
            <wp:wrapNone/>
            <wp:docPr id="1075" name="Picture 1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5"/>
                    <pic:cNvPicPr>
                      <a:picLocks noChangeAspect="1" noChangeArrowheads="1"/>
                    </pic:cNvPicPr>
                  </pic:nvPicPr>
                  <pic:blipFill>
                    <a:blip r:embed="rId10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-2774950</wp:posOffset>
            </wp:positionV>
            <wp:extent cx="12700" cy="8890"/>
            <wp:wrapNone/>
            <wp:docPr id="1076" name="Picture 1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6"/>
                    <pic:cNvPicPr>
                      <a:picLocks noChangeAspect="1" noChangeArrowheads="1"/>
                    </pic:cNvPicPr>
                  </pic:nvPicPr>
                  <pic:blipFill>
                    <a:blip r:embed="rId10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-2774950</wp:posOffset>
            </wp:positionV>
            <wp:extent cx="12700" cy="8890"/>
            <wp:wrapNone/>
            <wp:docPr id="1077" name="Picture 1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7"/>
                    <pic:cNvPicPr>
                      <a:picLocks noChangeAspect="1" noChangeArrowheads="1"/>
                    </pic:cNvPicPr>
                  </pic:nvPicPr>
                  <pic:blipFill>
                    <a:blip r:embed="rId10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-1969135</wp:posOffset>
            </wp:positionV>
            <wp:extent cx="12700" cy="8890"/>
            <wp:wrapNone/>
            <wp:docPr id="1078" name="Picture 1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8"/>
                    <pic:cNvPicPr>
                      <a:picLocks noChangeAspect="1" noChangeArrowheads="1"/>
                    </pic:cNvPicPr>
                  </pic:nvPicPr>
                  <pic:blipFill>
                    <a:blip r:embed="rId10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-1969135</wp:posOffset>
            </wp:positionV>
            <wp:extent cx="12700" cy="8890"/>
            <wp:wrapNone/>
            <wp:docPr id="1079" name="Picture 1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9"/>
                    <pic:cNvPicPr>
                      <a:picLocks noChangeAspect="1" noChangeArrowheads="1"/>
                    </pic:cNvPicPr>
                  </pic:nvPicPr>
                  <pic:blipFill>
                    <a:blip r:embed="rId10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6597650</wp:posOffset>
            </wp:positionH>
            <wp:positionV relativeFrom="paragraph">
              <wp:posOffset>-1377315</wp:posOffset>
            </wp:positionV>
            <wp:extent cx="12700" cy="8890"/>
            <wp:wrapNone/>
            <wp:docPr id="1080" name="Picture 1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0"/>
                    <pic:cNvPicPr>
                      <a:picLocks noChangeAspect="1" noChangeArrowheads="1"/>
                    </pic:cNvPicPr>
                  </pic:nvPicPr>
                  <pic:blipFill>
                    <a:blip r:embed="rId10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-1377315</wp:posOffset>
            </wp:positionV>
            <wp:extent cx="12700" cy="8890"/>
            <wp:wrapNone/>
            <wp:docPr id="1081" name="Picture 1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1"/>
                    <pic:cNvPicPr>
                      <a:picLocks noChangeAspect="1" noChangeArrowheads="1"/>
                    </pic:cNvPicPr>
                  </pic:nvPicPr>
                  <pic:blipFill>
                    <a:blip r:embed="rId10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-1128395</wp:posOffset>
            </wp:positionV>
            <wp:extent cx="12700" cy="8890"/>
            <wp:wrapNone/>
            <wp:docPr id="1082" name="Picture 1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2"/>
                    <pic:cNvPicPr>
                      <a:picLocks noChangeAspect="1" noChangeArrowheads="1"/>
                    </pic:cNvPicPr>
                  </pic:nvPicPr>
                  <pic:blipFill>
                    <a:blip r:embed="rId10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-1128395</wp:posOffset>
            </wp:positionV>
            <wp:extent cx="12700" cy="8890"/>
            <wp:wrapNone/>
            <wp:docPr id="1083" name="Picture 1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3"/>
                    <pic:cNvPicPr>
                      <a:picLocks noChangeAspect="1" noChangeArrowheads="1"/>
                    </pic:cNvPicPr>
                  </pic:nvPicPr>
                  <pic:blipFill>
                    <a:blip r:embed="rId10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-1128395</wp:posOffset>
            </wp:positionV>
            <wp:extent cx="12700" cy="8890"/>
            <wp:wrapNone/>
            <wp:docPr id="1084" name="Picture 1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4"/>
                    <pic:cNvPicPr>
                      <a:picLocks noChangeAspect="1" noChangeArrowheads="1"/>
                    </pic:cNvPicPr>
                  </pic:nvPicPr>
                  <pic:blipFill>
                    <a:blip r:embed="rId10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-1128395</wp:posOffset>
            </wp:positionV>
            <wp:extent cx="12700" cy="8890"/>
            <wp:wrapNone/>
            <wp:docPr id="1085" name="Picture 1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5"/>
                    <pic:cNvPicPr>
                      <a:picLocks noChangeAspect="1" noChangeArrowheads="1"/>
                    </pic:cNvPicPr>
                  </pic:nvPicPr>
                  <pic:blipFill>
                    <a:blip r:embed="rId10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6597650</wp:posOffset>
            </wp:positionH>
            <wp:positionV relativeFrom="paragraph">
              <wp:posOffset>-1128395</wp:posOffset>
            </wp:positionV>
            <wp:extent cx="12700" cy="8890"/>
            <wp:wrapNone/>
            <wp:docPr id="1086" name="Picture 1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6"/>
                    <pic:cNvPicPr>
                      <a:picLocks noChangeAspect="1" noChangeArrowheads="1"/>
                    </pic:cNvPicPr>
                  </pic:nvPicPr>
                  <pic:blipFill>
                    <a:blip r:embed="rId10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-1128395</wp:posOffset>
            </wp:positionV>
            <wp:extent cx="12700" cy="8890"/>
            <wp:wrapNone/>
            <wp:docPr id="1087" name="Picture 1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7"/>
                    <pic:cNvPicPr>
                      <a:picLocks noChangeAspect="1" noChangeArrowheads="1"/>
                    </pic:cNvPicPr>
                  </pic:nvPicPr>
                  <pic:blipFill>
                    <a:blip r:embed="rId10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-176530</wp:posOffset>
            </wp:positionV>
            <wp:extent cx="12700" cy="8890"/>
            <wp:wrapNone/>
            <wp:docPr id="1088" name="Picture 1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8"/>
                    <pic:cNvPicPr>
                      <a:picLocks noChangeAspect="1" noChangeArrowheads="1"/>
                    </pic:cNvPicPr>
                  </pic:nvPicPr>
                  <pic:blipFill>
                    <a:blip r:embed="rId10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-176530</wp:posOffset>
            </wp:positionV>
            <wp:extent cx="12700" cy="8890"/>
            <wp:wrapNone/>
            <wp:docPr id="1089" name="Picture 1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9"/>
                    <pic:cNvPicPr>
                      <a:picLocks noChangeAspect="1" noChangeArrowheads="1"/>
                    </pic:cNvPicPr>
                  </pic:nvPicPr>
                  <pic:blipFill>
                    <a:blip r:embed="rId10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-176530</wp:posOffset>
            </wp:positionV>
            <wp:extent cx="12700" cy="8890"/>
            <wp:wrapNone/>
            <wp:docPr id="1090" name="Picture 1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0"/>
                    <pic:cNvPicPr>
                      <a:picLocks noChangeAspect="1" noChangeArrowheads="1"/>
                    </pic:cNvPicPr>
                  </pic:nvPicPr>
                  <pic:blipFill>
                    <a:blip r:embed="rId10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-176530</wp:posOffset>
            </wp:positionV>
            <wp:extent cx="12700" cy="8890"/>
            <wp:wrapNone/>
            <wp:docPr id="1091" name="Picture 1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1"/>
                    <pic:cNvPicPr>
                      <a:picLocks noChangeAspect="1" noChangeArrowheads="1"/>
                    </pic:cNvPicPr>
                  </pic:nvPicPr>
                  <pic:blipFill>
                    <a:blip r:embed="rId10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6597650</wp:posOffset>
            </wp:positionH>
            <wp:positionV relativeFrom="paragraph">
              <wp:posOffset>-176530</wp:posOffset>
            </wp:positionV>
            <wp:extent cx="12700" cy="8890"/>
            <wp:wrapNone/>
            <wp:docPr id="1092" name="Picture 1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2"/>
                    <pic:cNvPicPr>
                      <a:picLocks noChangeAspect="1" noChangeArrowheads="1"/>
                    </pic:cNvPicPr>
                  </pic:nvPicPr>
                  <pic:blipFill>
                    <a:blip r:embed="rId10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-176530</wp:posOffset>
            </wp:positionV>
            <wp:extent cx="12700" cy="8890"/>
            <wp:wrapNone/>
            <wp:docPr id="1093" name="Picture 1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3"/>
                    <pic:cNvPicPr>
                      <a:picLocks noChangeAspect="1" noChangeArrowheads="1"/>
                    </pic:cNvPicPr>
                  </pic:nvPicPr>
                  <pic:blipFill>
                    <a:blip r:embed="rId110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00" w:orient="portrait"/>
          <w:cols w:equalWidth="0" w:num="1">
            <w:col w:w="11420"/>
          </w:cols>
          <w:pgMar w:left="240" w:top="123" w:right="239" w:bottom="0" w:gutter="0" w:footer="0" w:header="0"/>
        </w:sectPr>
      </w:pPr>
    </w:p>
    <w:bookmarkStart w:id="49" w:name="page50"/>
    <w:bookmarkEnd w:id="49"/>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2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6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(82,075)</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(4,169)</w:t>
            </w: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(23,679)</w:t>
            </w:r>
          </w:p>
        </w:tc>
        <w:tc>
          <w:tcPr>
            <w:tcW w:w="0" w:type="dxa"/>
            <w:vAlign w:val="bottom"/>
          </w:tcPr>
          <w:p>
            <w:pPr>
              <w:spacing w:after="0"/>
              <w:rPr>
                <w:sz w:val="1"/>
                <w:szCs w:val="1"/>
                <w:color w:val="auto"/>
              </w:rPr>
            </w:pPr>
          </w:p>
        </w:tc>
      </w:tr>
      <w:tr>
        <w:trPr>
          <w:trHeight w:val="118"/>
        </w:trPr>
        <w:tc>
          <w:tcPr>
            <w:tcW w:w="62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36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6220" w:type="dxa"/>
            <w:vAlign w:val="bottom"/>
            <w:gridSpan w:val="2"/>
            <w:vMerge w:val="continue"/>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2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Credit facility and subordinated debt</w:t>
            </w: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391,000</w:t>
            </w:r>
          </w:p>
        </w:tc>
        <w:tc>
          <w:tcPr>
            <w:tcW w:w="22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249,000</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Repayment of credit facility and subordinated debt</w:t>
            </w:r>
          </w:p>
        </w:tc>
        <w:tc>
          <w:tcPr>
            <w:tcW w:w="3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(408,405)</w:t>
            </w:r>
          </w:p>
        </w:tc>
        <w:tc>
          <w:tcPr>
            <w:tcW w:w="36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(351,910)</w:t>
            </w:r>
          </w:p>
        </w:tc>
        <w:tc>
          <w:tcPr>
            <w:tcW w:w="3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proceeds from issuances of common stock</w:t>
            </w: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22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164,283</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36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(6,151)</w:t>
            </w:r>
          </w:p>
        </w:tc>
        <w:tc>
          <w:tcPr>
            <w:tcW w:w="36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620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6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36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(17,256)</w:t>
            </w: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55,222</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15,529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6220" w:type="dxa"/>
            <w:vAlign w:val="bottom"/>
            <w:gridSpan w:val="2"/>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6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Increase (decrease) in cash and cash equivalents</w:t>
            </w:r>
          </w:p>
        </w:tc>
        <w:tc>
          <w:tcPr>
            <w:tcW w:w="3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w:t>
            </w:r>
          </w:p>
        </w:tc>
        <w:tc>
          <w:tcPr>
            <w:tcW w:w="3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2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year</w:t>
            </w:r>
          </w:p>
        </w:tc>
        <w:tc>
          <w:tcPr>
            <w:tcW w:w="36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18"/>
        </w:trPr>
        <w:tc>
          <w:tcPr>
            <w:tcW w:w="6220" w:type="dxa"/>
            <w:vAlign w:val="bottom"/>
            <w:gridSpan w:val="2"/>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6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 at end of year</w:t>
            </w:r>
          </w:p>
        </w:tc>
        <w:tc>
          <w:tcPr>
            <w:tcW w:w="36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tcPr>
          <w:p>
            <w:pPr>
              <w:spacing w:after="0"/>
              <w:rPr>
                <w:sz w:val="24"/>
                <w:szCs w:val="24"/>
                <w:color w:val="auto"/>
              </w:rPr>
            </w:pPr>
          </w:p>
        </w:tc>
        <w:tc>
          <w:tcPr>
            <w:tcW w:w="36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6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200" w:type="dxa"/>
            <w:vAlign w:val="bottom"/>
            <w:tcBorders>
              <w:right w:val="single" w:sz="8" w:color="808080"/>
            </w:tcBorders>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900" w:type="dxa"/>
            <w:vAlign w:val="bottom"/>
            <w:tcBorders>
              <w:right w:val="single" w:sz="8" w:color="808080"/>
            </w:tcBorders>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4737100</wp:posOffset>
            </wp:positionH>
            <wp:positionV relativeFrom="paragraph">
              <wp:posOffset>-1884045</wp:posOffset>
            </wp:positionV>
            <wp:extent cx="12700" cy="8890"/>
            <wp:wrapNone/>
            <wp:docPr id="1094" name="Picture 1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4"/>
                    <pic:cNvPicPr>
                      <a:picLocks noChangeAspect="1" noChangeArrowheads="1"/>
                    </pic:cNvPicPr>
                  </pic:nvPicPr>
                  <pic:blipFill>
                    <a:blip r:embed="rId11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-1884045</wp:posOffset>
            </wp:positionV>
            <wp:extent cx="12700" cy="8890"/>
            <wp:wrapNone/>
            <wp:docPr id="1095" name="Picture 1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5"/>
                    <pic:cNvPicPr>
                      <a:picLocks noChangeAspect="1" noChangeArrowheads="1"/>
                    </pic:cNvPicPr>
                  </pic:nvPicPr>
                  <pic:blipFill>
                    <a:blip r:embed="rId11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-1884045</wp:posOffset>
            </wp:positionV>
            <wp:extent cx="12700" cy="8890"/>
            <wp:wrapNone/>
            <wp:docPr id="1096" name="Picture 1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6"/>
                    <pic:cNvPicPr>
                      <a:picLocks noChangeAspect="1" noChangeArrowheads="1"/>
                    </pic:cNvPicPr>
                  </pic:nvPicPr>
                  <pic:blipFill>
                    <a:blip r:embed="rId11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-1884045</wp:posOffset>
            </wp:positionV>
            <wp:extent cx="12700" cy="8890"/>
            <wp:wrapNone/>
            <wp:docPr id="1097" name="Picture 1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7"/>
                    <pic:cNvPicPr>
                      <a:picLocks noChangeAspect="1" noChangeArrowheads="1"/>
                    </pic:cNvPicPr>
                  </pic:nvPicPr>
                  <pic:blipFill>
                    <a:blip r:embed="rId11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6597650</wp:posOffset>
            </wp:positionH>
            <wp:positionV relativeFrom="paragraph">
              <wp:posOffset>-1884045</wp:posOffset>
            </wp:positionV>
            <wp:extent cx="12700" cy="8890"/>
            <wp:wrapNone/>
            <wp:docPr id="1098" name="Picture 1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8"/>
                    <pic:cNvPicPr>
                      <a:picLocks noChangeAspect="1" noChangeArrowheads="1"/>
                    </pic:cNvPicPr>
                  </pic:nvPicPr>
                  <pic:blipFill>
                    <a:blip r:embed="rId11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-1884045</wp:posOffset>
            </wp:positionV>
            <wp:extent cx="12700" cy="8890"/>
            <wp:wrapNone/>
            <wp:docPr id="1099" name="Picture 1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9"/>
                    <pic:cNvPicPr>
                      <a:picLocks noChangeAspect="1" noChangeArrowheads="1"/>
                    </pic:cNvPicPr>
                  </pic:nvPicPr>
                  <pic:blipFill>
                    <a:blip r:embed="rId11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-1043305</wp:posOffset>
            </wp:positionV>
            <wp:extent cx="12700" cy="8890"/>
            <wp:wrapNone/>
            <wp:docPr id="1100" name="Picture 1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0"/>
                    <pic:cNvPicPr>
                      <a:picLocks noChangeAspect="1" noChangeArrowheads="1"/>
                    </pic:cNvPicPr>
                  </pic:nvPicPr>
                  <pic:blipFill>
                    <a:blip r:embed="rId11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-1043305</wp:posOffset>
            </wp:positionV>
            <wp:extent cx="12700" cy="8890"/>
            <wp:wrapNone/>
            <wp:docPr id="1101" name="Picture 1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1"/>
                    <pic:cNvPicPr>
                      <a:picLocks noChangeAspect="1" noChangeArrowheads="1"/>
                    </pic:cNvPicPr>
                  </pic:nvPicPr>
                  <pic:blipFill>
                    <a:blip r:embed="rId11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-1043305</wp:posOffset>
            </wp:positionV>
            <wp:extent cx="12700" cy="8890"/>
            <wp:wrapNone/>
            <wp:docPr id="1102" name="Picture 1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2"/>
                    <pic:cNvPicPr>
                      <a:picLocks noChangeAspect="1" noChangeArrowheads="1"/>
                    </pic:cNvPicPr>
                  </pic:nvPicPr>
                  <pic:blipFill>
                    <a:blip r:embed="rId11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-1043305</wp:posOffset>
            </wp:positionV>
            <wp:extent cx="12700" cy="8890"/>
            <wp:wrapNone/>
            <wp:docPr id="1103" name="Picture 1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3"/>
                    <pic:cNvPicPr>
                      <a:picLocks noChangeAspect="1" noChangeArrowheads="1"/>
                    </pic:cNvPicPr>
                  </pic:nvPicPr>
                  <pic:blipFill>
                    <a:blip r:embed="rId11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6597650</wp:posOffset>
            </wp:positionH>
            <wp:positionV relativeFrom="paragraph">
              <wp:posOffset>-1043305</wp:posOffset>
            </wp:positionV>
            <wp:extent cx="12700" cy="8890"/>
            <wp:wrapNone/>
            <wp:docPr id="1104" name="Picture 1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4"/>
                    <pic:cNvPicPr>
                      <a:picLocks noChangeAspect="1" noChangeArrowheads="1"/>
                    </pic:cNvPicPr>
                  </pic:nvPicPr>
                  <pic:blipFill>
                    <a:blip r:embed="rId11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-1043305</wp:posOffset>
            </wp:positionV>
            <wp:extent cx="12700" cy="8890"/>
            <wp:wrapNone/>
            <wp:docPr id="1105" name="Picture 1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5"/>
                    <pic:cNvPicPr>
                      <a:picLocks noChangeAspect="1" noChangeArrowheads="1"/>
                    </pic:cNvPicPr>
                  </pic:nvPicPr>
                  <pic:blipFill>
                    <a:blip r:embed="rId11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-751840</wp:posOffset>
            </wp:positionV>
            <wp:extent cx="12700" cy="8890"/>
            <wp:wrapNone/>
            <wp:docPr id="1106" name="Picture 1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6"/>
                    <pic:cNvPicPr>
                      <a:picLocks noChangeAspect="1" noChangeArrowheads="1"/>
                    </pic:cNvPicPr>
                  </pic:nvPicPr>
                  <pic:blipFill>
                    <a:blip r:embed="rId11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-751840</wp:posOffset>
            </wp:positionV>
            <wp:extent cx="12700" cy="8890"/>
            <wp:wrapNone/>
            <wp:docPr id="1107" name="Picture 1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7"/>
                    <pic:cNvPicPr>
                      <a:picLocks noChangeAspect="1" noChangeArrowheads="1"/>
                    </pic:cNvPicPr>
                  </pic:nvPicPr>
                  <pic:blipFill>
                    <a:blip r:embed="rId11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-751840</wp:posOffset>
            </wp:positionV>
            <wp:extent cx="12700" cy="8890"/>
            <wp:wrapNone/>
            <wp:docPr id="1108" name="Picture 1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8"/>
                    <pic:cNvPicPr>
                      <a:picLocks noChangeAspect="1" noChangeArrowheads="1"/>
                    </pic:cNvPicPr>
                  </pic:nvPicPr>
                  <pic:blipFill>
                    <a:blip r:embed="rId11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-751840</wp:posOffset>
            </wp:positionV>
            <wp:extent cx="12700" cy="8890"/>
            <wp:wrapNone/>
            <wp:docPr id="1109" name="Picture 1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9"/>
                    <pic:cNvPicPr>
                      <a:picLocks noChangeAspect="1" noChangeArrowheads="1"/>
                    </pic:cNvPicPr>
                  </pic:nvPicPr>
                  <pic:blipFill>
                    <a:blip r:embed="rId11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6597650</wp:posOffset>
            </wp:positionH>
            <wp:positionV relativeFrom="paragraph">
              <wp:posOffset>-751840</wp:posOffset>
            </wp:positionV>
            <wp:extent cx="12700" cy="8890"/>
            <wp:wrapNone/>
            <wp:docPr id="1110" name="Picture 1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0"/>
                    <pic:cNvPicPr>
                      <a:picLocks noChangeAspect="1" noChangeArrowheads="1"/>
                    </pic:cNvPicPr>
                  </pic:nvPicPr>
                  <pic:blipFill>
                    <a:blip r:embed="rId11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-751840</wp:posOffset>
            </wp:positionV>
            <wp:extent cx="12700" cy="8890"/>
            <wp:wrapNone/>
            <wp:docPr id="1111" name="Picture 1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1"/>
                    <pic:cNvPicPr>
                      <a:picLocks noChangeAspect="1" noChangeArrowheads="1"/>
                    </pic:cNvPicPr>
                  </pic:nvPicPr>
                  <pic:blipFill>
                    <a:blip r:embed="rId11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-323215</wp:posOffset>
            </wp:positionV>
            <wp:extent cx="12700" cy="8890"/>
            <wp:wrapNone/>
            <wp:docPr id="1112" name="Picture 1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2"/>
                    <pic:cNvPicPr>
                      <a:picLocks noChangeAspect="1" noChangeArrowheads="1"/>
                    </pic:cNvPicPr>
                  </pic:nvPicPr>
                  <pic:blipFill>
                    <a:blip r:embed="rId11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-323215</wp:posOffset>
            </wp:positionV>
            <wp:extent cx="12700" cy="8890"/>
            <wp:wrapNone/>
            <wp:docPr id="1113" name="Picture 1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3"/>
                    <pic:cNvPicPr>
                      <a:picLocks noChangeAspect="1" noChangeArrowheads="1"/>
                    </pic:cNvPicPr>
                  </pic:nvPicPr>
                  <pic:blipFill>
                    <a:blip r:embed="rId11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-323215</wp:posOffset>
            </wp:positionV>
            <wp:extent cx="12700" cy="8890"/>
            <wp:wrapNone/>
            <wp:docPr id="1114" name="Picture 1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4"/>
                    <pic:cNvPicPr>
                      <a:picLocks noChangeAspect="1" noChangeArrowheads="1"/>
                    </pic:cNvPicPr>
                  </pic:nvPicPr>
                  <pic:blipFill>
                    <a:blip r:embed="rId11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-323215</wp:posOffset>
            </wp:positionV>
            <wp:extent cx="12700" cy="8890"/>
            <wp:wrapNone/>
            <wp:docPr id="1115" name="Picture 1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5"/>
                    <pic:cNvPicPr>
                      <a:picLocks noChangeAspect="1" noChangeArrowheads="1"/>
                    </pic:cNvPicPr>
                  </pic:nvPicPr>
                  <pic:blipFill>
                    <a:blip r:embed="rId11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6597650</wp:posOffset>
            </wp:positionH>
            <wp:positionV relativeFrom="paragraph">
              <wp:posOffset>-323215</wp:posOffset>
            </wp:positionV>
            <wp:extent cx="12700" cy="8890"/>
            <wp:wrapNone/>
            <wp:docPr id="1116" name="Picture 1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6"/>
                    <pic:cNvPicPr>
                      <a:picLocks noChangeAspect="1" noChangeArrowheads="1"/>
                    </pic:cNvPicPr>
                  </pic:nvPicPr>
                  <pic:blipFill>
                    <a:blip r:embed="rId11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-323215</wp:posOffset>
            </wp:positionV>
            <wp:extent cx="12700" cy="8890"/>
            <wp:wrapNone/>
            <wp:docPr id="1117" name="Picture 1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7"/>
                    <pic:cNvPicPr>
                      <a:picLocks noChangeAspect="1" noChangeArrowheads="1"/>
                    </pic:cNvPicPr>
                  </pic:nvPicPr>
                  <pic:blipFill>
                    <a:blip r:embed="rId11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SEGMENT INFORMATION</w:t>
      </w:r>
    </w:p>
    <w:p>
      <w:pPr>
        <w:spacing w:after="0" w:line="227" w:lineRule="exact"/>
        <w:rPr>
          <w:sz w:val="20"/>
          <w:szCs w:val="20"/>
          <w:color w:val="auto"/>
        </w:rPr>
      </w:pPr>
    </w:p>
    <w:p>
      <w:pPr>
        <w:ind w:firstLine="351"/>
        <w:spacing w:after="0" w:line="296" w:lineRule="auto"/>
        <w:rPr>
          <w:sz w:val="20"/>
          <w:szCs w:val="20"/>
          <w:color w:val="auto"/>
        </w:rPr>
      </w:pPr>
      <w:r>
        <w:rPr>
          <w:rFonts w:ascii="Times New Roman" w:cs="Times New Roman" w:eastAsia="Times New Roman" w:hAnsi="Times New Roman"/>
          <w:sz w:val="16"/>
          <w:szCs w:val="16"/>
          <w:color w:val="auto"/>
        </w:rPr>
        <w:t>Operating segments are defined by SFAS No. 131 "Disclosure About Segments of an Enterprise and Related Information" as components of an enterprise about which separate financial information is available that is evaluated regularly by the chief operating decision maker, or decision making group, in deciding how to allocate resources and in assessing performance. The Company's chief operating decision making group is the Executive Committee, which consists of the Chairman of the Board and Chief Executive Officer, Presidents of the divisions, and Executive Vice Presidents. The operating segments are reviewed separately because each operating segment represents a strategic business unit that generally offers different products and serves different markets.</w:t>
      </w:r>
    </w:p>
    <w:p>
      <w:pPr>
        <w:spacing w:after="0" w:line="162" w:lineRule="exact"/>
        <w:rPr>
          <w:sz w:val="20"/>
          <w:szCs w:val="20"/>
          <w:color w:val="auto"/>
        </w:rPr>
      </w:pPr>
    </w:p>
    <w:p>
      <w:pPr>
        <w:jc w:val="both"/>
        <w:ind w:right="240" w:firstLine="348"/>
        <w:spacing w:after="0" w:line="262" w:lineRule="auto"/>
        <w:rPr>
          <w:sz w:val="20"/>
          <w:szCs w:val="20"/>
          <w:color w:val="auto"/>
        </w:rPr>
      </w:pPr>
      <w:r>
        <w:rPr>
          <w:rFonts w:ascii="Times New Roman" w:cs="Times New Roman" w:eastAsia="Times New Roman" w:hAnsi="Times New Roman"/>
          <w:sz w:val="18"/>
          <w:szCs w:val="18"/>
          <w:color w:val="auto"/>
        </w:rPr>
        <w:t>The accounting policies of the operating segments are generally the same as those described in the summary of significant accounting policies. Corporate overhead is allocated evenly across the segments. Interest expense and income taxes are not allocated to the segments in the computation of segment operating profit for internal evaluation purposes.</w:t>
      </w:r>
    </w:p>
    <w:p>
      <w:pPr>
        <w:spacing w:after="0" w:line="186" w:lineRule="exact"/>
        <w:rPr>
          <w:sz w:val="20"/>
          <w:szCs w:val="20"/>
          <w:color w:val="auto"/>
        </w:rPr>
      </w:pPr>
    </w:p>
    <w:p>
      <w:pPr>
        <w:ind w:right="400" w:firstLine="348"/>
        <w:spacing w:after="0" w:line="275" w:lineRule="auto"/>
        <w:rPr>
          <w:sz w:val="20"/>
          <w:szCs w:val="20"/>
          <w:color w:val="auto"/>
        </w:rPr>
      </w:pPr>
      <w:r>
        <w:rPr>
          <w:rFonts w:ascii="Times New Roman" w:cs="Times New Roman" w:eastAsia="Times New Roman" w:hAnsi="Times New Roman"/>
          <w:sz w:val="18"/>
          <w:szCs w:val="18"/>
          <w:color w:val="auto"/>
        </w:rPr>
        <w:t>Transaction Services performs servicing activities related to Credit Services. For this, Transaction Services receives a fee equal to its direct costs before corporate overhead allocation plus a margin. Amounts of such services are reflected in the elimination columns. The margin is based on current</w:t>
      </w:r>
    </w:p>
    <w:p>
      <w:pPr>
        <w:spacing w:after="0" w:line="1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18" name="Picture 1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8"/>
                    <pic:cNvPicPr>
                      <a:picLocks noChangeAspect="1" noChangeArrowheads="1"/>
                    </pic:cNvPicPr>
                  </pic:nvPicPr>
                  <pic:blipFill>
                    <a:blip r:embed="rId11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market rates for similar services. Revenues are attributed to geographic areas based on the location of the unit processing the underlying transactions.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Transaction</w:t>
            </w:r>
          </w:p>
        </w:tc>
        <w:tc>
          <w:tcPr>
            <w:tcW w:w="220" w:type="dxa"/>
            <w:vAlign w:val="bottom"/>
          </w:tcPr>
          <w:p>
            <w:pPr>
              <w:spacing w:after="0"/>
              <w:rPr>
                <w:sz w:val="13"/>
                <w:szCs w:val="13"/>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Credit</w:t>
            </w:r>
          </w:p>
        </w:tc>
        <w:tc>
          <w:tcPr>
            <w:tcW w:w="220" w:type="dxa"/>
            <w:vAlign w:val="bottom"/>
          </w:tcPr>
          <w:p>
            <w:pPr>
              <w:spacing w:after="0"/>
              <w:rPr>
                <w:sz w:val="13"/>
                <w:szCs w:val="13"/>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Marketing</w:t>
            </w:r>
          </w:p>
        </w:tc>
        <w:tc>
          <w:tcPr>
            <w:tcW w:w="200" w:type="dxa"/>
            <w:vAlign w:val="bottom"/>
          </w:tcPr>
          <w:p>
            <w:pPr>
              <w:spacing w:after="0"/>
              <w:rPr>
                <w:sz w:val="13"/>
                <w:szCs w:val="13"/>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Other/</w:t>
            </w:r>
          </w:p>
        </w:tc>
        <w:tc>
          <w:tcPr>
            <w:tcW w:w="20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78"/>
        </w:trPr>
        <w:tc>
          <w:tcPr>
            <w:tcW w:w="40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 2000</w:t>
            </w:r>
          </w:p>
        </w:tc>
        <w:tc>
          <w:tcPr>
            <w:tcW w:w="200" w:type="dxa"/>
            <w:vAlign w:val="bottom"/>
          </w:tcPr>
          <w:p>
            <w:pPr>
              <w:spacing w:after="0"/>
              <w:rPr>
                <w:sz w:val="15"/>
                <w:szCs w:val="15"/>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Services</w:t>
            </w:r>
          </w:p>
        </w:tc>
        <w:tc>
          <w:tcPr>
            <w:tcW w:w="22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Services</w:t>
            </w:r>
          </w:p>
        </w:tc>
        <w:tc>
          <w:tcPr>
            <w:tcW w:w="22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Services</w:t>
            </w:r>
          </w:p>
        </w:tc>
        <w:tc>
          <w:tcPr>
            <w:tcW w:w="200" w:type="dxa"/>
            <w:vAlign w:val="bottom"/>
          </w:tcPr>
          <w:p>
            <w:pPr>
              <w:spacing w:after="0"/>
              <w:rPr>
                <w:sz w:val="15"/>
                <w:szCs w:val="15"/>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Elimination</w:t>
            </w:r>
          </w:p>
        </w:tc>
        <w:tc>
          <w:tcPr>
            <w:tcW w:w="200" w:type="dxa"/>
            <w:vAlign w:val="bottom"/>
          </w:tcPr>
          <w:p>
            <w:pPr>
              <w:spacing w:after="0"/>
              <w:rPr>
                <w:sz w:val="15"/>
                <w:szCs w:val="15"/>
                <w:color w:val="auto"/>
              </w:rPr>
            </w:pPr>
          </w:p>
        </w:tc>
        <w:tc>
          <w:tcPr>
            <w:tcW w:w="1180" w:type="dxa"/>
            <w:vAlign w:val="bottom"/>
          </w:tcPr>
          <w:p>
            <w:pPr>
              <w:ind w:left="44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05"/>
        </w:trPr>
        <w:tc>
          <w:tcPr>
            <w:tcW w:w="40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r>
      <w:tr>
        <w:trPr>
          <w:trHeight w:val="266"/>
        </w:trPr>
        <w:tc>
          <w:tcPr>
            <w:tcW w:w="40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2524125</wp:posOffset>
            </wp:positionH>
            <wp:positionV relativeFrom="paragraph">
              <wp:posOffset>-183515</wp:posOffset>
            </wp:positionV>
            <wp:extent cx="12700" cy="8890"/>
            <wp:wrapNone/>
            <wp:docPr id="1119" name="Picture 1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9"/>
                    <pic:cNvPicPr>
                      <a:picLocks noChangeAspect="1" noChangeArrowheads="1"/>
                    </pic:cNvPicPr>
                  </pic:nvPicPr>
                  <pic:blipFill>
                    <a:blip r:embed="rId11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-183515</wp:posOffset>
            </wp:positionV>
            <wp:extent cx="12700" cy="8890"/>
            <wp:wrapNone/>
            <wp:docPr id="1120" name="Picture 1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0"/>
                    <pic:cNvPicPr>
                      <a:picLocks noChangeAspect="1" noChangeArrowheads="1"/>
                    </pic:cNvPicPr>
                  </pic:nvPicPr>
                  <pic:blipFill>
                    <a:blip r:embed="rId11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3510280</wp:posOffset>
            </wp:positionH>
            <wp:positionV relativeFrom="paragraph">
              <wp:posOffset>-183515</wp:posOffset>
            </wp:positionV>
            <wp:extent cx="12700" cy="8890"/>
            <wp:wrapNone/>
            <wp:docPr id="1121" name="Picture 1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1"/>
                    <pic:cNvPicPr>
                      <a:picLocks noChangeAspect="1" noChangeArrowheads="1"/>
                    </pic:cNvPicPr>
                  </pic:nvPicPr>
                  <pic:blipFill>
                    <a:blip r:embed="rId11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2670175</wp:posOffset>
            </wp:positionH>
            <wp:positionV relativeFrom="paragraph">
              <wp:posOffset>-183515</wp:posOffset>
            </wp:positionV>
            <wp:extent cx="12700" cy="8890"/>
            <wp:wrapNone/>
            <wp:docPr id="1122" name="Picture 1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2"/>
                    <pic:cNvPicPr>
                      <a:picLocks noChangeAspect="1" noChangeArrowheads="1"/>
                    </pic:cNvPicPr>
                  </pic:nvPicPr>
                  <pic:blipFill>
                    <a:blip r:embed="rId11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4359275</wp:posOffset>
            </wp:positionH>
            <wp:positionV relativeFrom="paragraph">
              <wp:posOffset>-183515</wp:posOffset>
            </wp:positionV>
            <wp:extent cx="12700" cy="8890"/>
            <wp:wrapNone/>
            <wp:docPr id="1123" name="Picture 1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3"/>
                    <pic:cNvPicPr>
                      <a:picLocks noChangeAspect="1" noChangeArrowheads="1"/>
                    </pic:cNvPicPr>
                  </pic:nvPicPr>
                  <pic:blipFill>
                    <a:blip r:embed="rId11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3656330</wp:posOffset>
            </wp:positionH>
            <wp:positionV relativeFrom="paragraph">
              <wp:posOffset>-183515</wp:posOffset>
            </wp:positionV>
            <wp:extent cx="12700" cy="8890"/>
            <wp:wrapNone/>
            <wp:docPr id="1124" name="Picture 1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4"/>
                    <pic:cNvPicPr>
                      <a:picLocks noChangeAspect="1" noChangeArrowheads="1"/>
                    </pic:cNvPicPr>
                  </pic:nvPicPr>
                  <pic:blipFill>
                    <a:blip r:embed="rId11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-183515</wp:posOffset>
            </wp:positionV>
            <wp:extent cx="12700" cy="8890"/>
            <wp:wrapNone/>
            <wp:docPr id="1125" name="Picture 1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5"/>
                    <pic:cNvPicPr>
                      <a:picLocks noChangeAspect="1" noChangeArrowheads="1"/>
                    </pic:cNvPicPr>
                  </pic:nvPicPr>
                  <pic:blipFill>
                    <a:blip r:embed="rId11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-183515</wp:posOffset>
            </wp:positionV>
            <wp:extent cx="12700" cy="8890"/>
            <wp:wrapNone/>
            <wp:docPr id="1126" name="Picture 1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6"/>
                    <pic:cNvPicPr>
                      <a:picLocks noChangeAspect="1" noChangeArrowheads="1"/>
                    </pic:cNvPicPr>
                  </pic:nvPicPr>
                  <pic:blipFill>
                    <a:blip r:embed="rId11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-183515</wp:posOffset>
            </wp:positionV>
            <wp:extent cx="12700" cy="8890"/>
            <wp:wrapNone/>
            <wp:docPr id="1127" name="Picture 1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7"/>
                    <pic:cNvPicPr>
                      <a:picLocks noChangeAspect="1" noChangeArrowheads="1"/>
                    </pic:cNvPicPr>
                  </pic:nvPicPr>
                  <pic:blipFill>
                    <a:blip r:embed="rId11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-183515</wp:posOffset>
            </wp:positionV>
            <wp:extent cx="12700" cy="8890"/>
            <wp:wrapNone/>
            <wp:docPr id="1128" name="Picture 1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8"/>
                    <pic:cNvPicPr>
                      <a:picLocks noChangeAspect="1" noChangeArrowheads="1"/>
                    </pic:cNvPicPr>
                  </pic:nvPicPr>
                  <pic:blipFill>
                    <a:blip r:embed="rId11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-183515</wp:posOffset>
            </wp:positionV>
            <wp:extent cx="12700" cy="8890"/>
            <wp:wrapNone/>
            <wp:docPr id="1129" name="Picture 1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9"/>
                    <pic:cNvPicPr>
                      <a:picLocks noChangeAspect="1" noChangeArrowheads="1"/>
                    </pic:cNvPicPr>
                  </pic:nvPicPr>
                  <pic:blipFill>
                    <a:blip r:embed="rId11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-183515</wp:posOffset>
            </wp:positionV>
            <wp:extent cx="12700" cy="8890"/>
            <wp:wrapNone/>
            <wp:docPr id="1130" name="Picture 1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0"/>
                    <pic:cNvPicPr>
                      <a:picLocks noChangeAspect="1" noChangeArrowheads="1"/>
                    </pic:cNvPicPr>
                  </pic:nvPicPr>
                  <pic:blipFill>
                    <a:blip r:embed="rId113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439,376</w:t>
            </w:r>
          </w:p>
        </w:tc>
        <w:tc>
          <w:tcPr>
            <w:tcW w:w="2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268,183</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178,214</w:t>
            </w:r>
          </w:p>
        </w:tc>
        <w:tc>
          <w:tcPr>
            <w:tcW w:w="2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(207,578)</w:t>
            </w: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678,195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41,747</w:t>
            </w: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1,259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33,138</w:t>
            </w:r>
          </w:p>
        </w:tc>
        <w:tc>
          <w:tcPr>
            <w:tcW w:w="24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76,144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13,017</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24,059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(15,211)</w:t>
            </w: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40" w:type="dxa"/>
            <w:vAlign w:val="bottom"/>
            <w:gridSpan w:val="2"/>
          </w:tcPr>
          <w:p>
            <w:pPr>
              <w:jc w:val="center"/>
              <w:ind w:right="460"/>
              <w:spacing w:after="0" w:line="132" w:lineRule="exact"/>
              <w:rPr>
                <w:sz w:val="20"/>
                <w:szCs w:val="20"/>
                <w:color w:val="auto"/>
              </w:rPr>
            </w:pPr>
            <w:r>
              <w:rPr>
                <w:rFonts w:ascii="Times New Roman" w:cs="Times New Roman" w:eastAsia="Times New Roman" w:hAnsi="Times New Roman"/>
                <w:sz w:val="14"/>
                <w:szCs w:val="14"/>
                <w:b w:val="1"/>
                <w:bCs w:val="1"/>
                <w:color w:val="auto"/>
                <w:w w:val="93"/>
              </w:rPr>
              <w:t>Transaction</w:t>
            </w:r>
          </w:p>
        </w:tc>
        <w:tc>
          <w:tcPr>
            <w:tcW w:w="240" w:type="dxa"/>
            <w:vAlign w:val="bottom"/>
          </w:tcPr>
          <w:p>
            <w:pPr>
              <w:spacing w:after="0"/>
              <w:rPr>
                <w:sz w:val="11"/>
                <w:szCs w:val="11"/>
                <w:color w:val="auto"/>
              </w:rPr>
            </w:pPr>
          </w:p>
        </w:tc>
        <w:tc>
          <w:tcPr>
            <w:tcW w:w="1040" w:type="dxa"/>
            <w:vAlign w:val="bottom"/>
            <w:gridSpan w:val="2"/>
          </w:tcPr>
          <w:p>
            <w:pPr>
              <w:jc w:val="center"/>
              <w:ind w:right="380"/>
              <w:spacing w:after="0" w:line="132" w:lineRule="exact"/>
              <w:rPr>
                <w:sz w:val="20"/>
                <w:szCs w:val="20"/>
                <w:color w:val="auto"/>
              </w:rPr>
            </w:pPr>
            <w:r>
              <w:rPr>
                <w:rFonts w:ascii="Times New Roman" w:cs="Times New Roman" w:eastAsia="Times New Roman" w:hAnsi="Times New Roman"/>
                <w:sz w:val="14"/>
                <w:szCs w:val="14"/>
                <w:b w:val="1"/>
                <w:bCs w:val="1"/>
                <w:color w:val="auto"/>
                <w:w w:val="97"/>
              </w:rPr>
              <w:t>Credit</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jc w:val="center"/>
              <w:ind w:right="360"/>
              <w:spacing w:after="0" w:line="132" w:lineRule="exact"/>
              <w:rPr>
                <w:sz w:val="20"/>
                <w:szCs w:val="20"/>
                <w:color w:val="auto"/>
              </w:rPr>
            </w:pPr>
            <w:r>
              <w:rPr>
                <w:rFonts w:ascii="Times New Roman" w:cs="Times New Roman" w:eastAsia="Times New Roman" w:hAnsi="Times New Roman"/>
                <w:sz w:val="14"/>
                <w:szCs w:val="14"/>
                <w:b w:val="1"/>
                <w:bCs w:val="1"/>
                <w:color w:val="auto"/>
                <w:w w:val="94"/>
              </w:rPr>
              <w:t>Marketing</w:t>
            </w:r>
          </w:p>
        </w:tc>
        <w:tc>
          <w:tcPr>
            <w:tcW w:w="240" w:type="dxa"/>
            <w:vAlign w:val="bottom"/>
          </w:tcPr>
          <w:p>
            <w:pPr>
              <w:spacing w:after="0"/>
              <w:rPr>
                <w:sz w:val="11"/>
                <w:szCs w:val="11"/>
                <w:color w:val="auto"/>
              </w:rPr>
            </w:pPr>
          </w:p>
        </w:tc>
        <w:tc>
          <w:tcPr>
            <w:tcW w:w="1280" w:type="dxa"/>
            <w:vAlign w:val="bottom"/>
            <w:gridSpan w:val="2"/>
          </w:tcPr>
          <w:p>
            <w:pPr>
              <w:jc w:val="center"/>
              <w:ind w:right="380"/>
              <w:spacing w:after="0" w:line="132" w:lineRule="exact"/>
              <w:rPr>
                <w:sz w:val="20"/>
                <w:szCs w:val="20"/>
                <w:color w:val="auto"/>
              </w:rPr>
            </w:pPr>
            <w:r>
              <w:rPr>
                <w:rFonts w:ascii="Times New Roman" w:cs="Times New Roman" w:eastAsia="Times New Roman" w:hAnsi="Times New Roman"/>
                <w:sz w:val="14"/>
                <w:szCs w:val="14"/>
                <w:b w:val="1"/>
                <w:bCs w:val="1"/>
                <w:color w:val="auto"/>
                <w:w w:val="95"/>
              </w:rPr>
              <w:t>Other/</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39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 2001</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w w:val="97"/>
              </w:rPr>
              <w:t>Services</w:t>
            </w:r>
          </w:p>
        </w:tc>
        <w:tc>
          <w:tcPr>
            <w:tcW w:w="240" w:type="dxa"/>
            <w:vAlign w:val="bottom"/>
          </w:tcPr>
          <w:p>
            <w:pPr>
              <w:spacing w:after="0"/>
              <w:rPr>
                <w:sz w:val="15"/>
                <w:szCs w:val="15"/>
                <w:color w:val="auto"/>
              </w:rPr>
            </w:pPr>
          </w:p>
        </w:tc>
        <w:tc>
          <w:tcPr>
            <w:tcW w:w="10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3"/>
              </w:rPr>
              <w:t>Services</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7"/>
              </w:rPr>
              <w:t>Services</w:t>
            </w:r>
          </w:p>
        </w:tc>
        <w:tc>
          <w:tcPr>
            <w:tcW w:w="240" w:type="dxa"/>
            <w:vAlign w:val="bottom"/>
          </w:tcPr>
          <w:p>
            <w:pPr>
              <w:spacing w:after="0"/>
              <w:rPr>
                <w:sz w:val="15"/>
                <w:szCs w:val="15"/>
                <w:color w:val="auto"/>
              </w:rPr>
            </w:pP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8"/>
              </w:rPr>
              <w:t>Elimination</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gridSpan w:val="3"/>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9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39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6"/>
              </w:rPr>
              <w:t>(in thousands)</w:t>
            </w:r>
          </w:p>
        </w:tc>
        <w:tc>
          <w:tcPr>
            <w:tcW w:w="2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3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503,178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289,420</w:t>
            </w: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201,651</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(216,898)</w:t>
            </w:r>
          </w:p>
        </w:tc>
        <w:tc>
          <w:tcPr>
            <w:tcW w:w="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777,351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44,716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3,470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26,018</w:t>
            </w:r>
          </w:p>
        </w:tc>
        <w:tc>
          <w:tcPr>
            <w:tcW w:w="24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74,204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25,351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25,689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3,183</w:t>
            </w: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54,223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900" w:type="dxa"/>
            <w:vAlign w:val="bottom"/>
          </w:tcPr>
          <w:p>
            <w:pPr>
              <w:spacing w:after="0" w:line="200" w:lineRule="exact"/>
              <w:rPr>
                <w:sz w:val="20"/>
                <w:szCs w:val="20"/>
                <w:color w:val="auto"/>
              </w:rPr>
            </w:pPr>
            <w:r>
              <w:rPr>
                <w:rFonts w:ascii="Times New Roman" w:cs="Times New Roman" w:eastAsia="Times New Roman" w:hAnsi="Times New Roman"/>
                <w:sz w:val="18"/>
                <w:szCs w:val="18"/>
                <w:color w:val="auto"/>
              </w:rPr>
              <w:t>Fair value loss on interest rate derivative</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gridSpan w:val="2"/>
          </w:tcPr>
          <w:p>
            <w:pPr>
              <w:jc w:val="right"/>
              <w:ind w:right="220"/>
              <w:spacing w:after="0" w:line="200"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7"/>
                <w:szCs w:val="17"/>
                <w:color w:val="auto"/>
              </w:rPr>
            </w:pPr>
          </w:p>
        </w:tc>
        <w:tc>
          <w:tcPr>
            <w:tcW w:w="1040" w:type="dxa"/>
            <w:vAlign w:val="bottom"/>
            <w:gridSpan w:val="2"/>
          </w:tcPr>
          <w:p>
            <w:pPr>
              <w:jc w:val="right"/>
              <w:ind w:right="80"/>
              <w:spacing w:after="0" w:line="200" w:lineRule="exact"/>
              <w:rPr>
                <w:sz w:val="20"/>
                <w:szCs w:val="20"/>
                <w:color w:val="auto"/>
              </w:rPr>
            </w:pPr>
            <w:r>
              <w:rPr>
                <w:rFonts w:ascii="Times New Roman" w:cs="Times New Roman" w:eastAsia="Times New Roman" w:hAnsi="Times New Roman"/>
                <w:sz w:val="18"/>
                <w:szCs w:val="18"/>
                <w:color w:val="auto"/>
              </w:rPr>
              <w:t>(15,131)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220"/>
              <w:spacing w:after="0" w:line="200"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7"/>
                <w:szCs w:val="17"/>
                <w:color w:val="auto"/>
              </w:rPr>
            </w:pPr>
          </w:p>
        </w:tc>
        <w:tc>
          <w:tcPr>
            <w:tcW w:w="1280" w:type="dxa"/>
            <w:vAlign w:val="bottom"/>
            <w:gridSpan w:val="2"/>
          </w:tcPr>
          <w:p>
            <w:pPr>
              <w:jc w:val="right"/>
              <w:ind w:right="140"/>
              <w:spacing w:after="0" w:line="200"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gridSpan w:val="3"/>
          </w:tcPr>
          <w:p>
            <w:pPr>
              <w:jc w:val="right"/>
              <w:ind w:right="60"/>
              <w:spacing w:after="0" w:line="200" w:lineRule="exact"/>
              <w:rPr>
                <w:sz w:val="20"/>
                <w:szCs w:val="20"/>
                <w:color w:val="auto"/>
              </w:rPr>
            </w:pPr>
            <w:r>
              <w:rPr>
                <w:rFonts w:ascii="Times New Roman" w:cs="Times New Roman" w:eastAsia="Times New Roman" w:hAnsi="Times New Roman"/>
                <w:sz w:val="18"/>
                <w:szCs w:val="18"/>
                <w:color w:val="auto"/>
              </w:rPr>
              <w:t>(15,131)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w w:val="93"/>
              </w:rPr>
              <w:t>Transaction</w:t>
            </w:r>
          </w:p>
        </w:tc>
        <w:tc>
          <w:tcPr>
            <w:tcW w:w="240" w:type="dxa"/>
            <w:vAlign w:val="bottom"/>
          </w:tcPr>
          <w:p>
            <w:pPr>
              <w:spacing w:after="0"/>
              <w:rPr>
                <w:sz w:val="12"/>
                <w:szCs w:val="12"/>
                <w:color w:val="auto"/>
              </w:rPr>
            </w:pPr>
          </w:p>
        </w:tc>
        <w:tc>
          <w:tcPr>
            <w:tcW w:w="104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w w:val="97"/>
              </w:rPr>
              <w:t>Credit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w w:val="94"/>
              </w:rPr>
              <w:t>Marketing</w:t>
            </w:r>
          </w:p>
        </w:tc>
        <w:tc>
          <w:tcPr>
            <w:tcW w:w="240" w:type="dxa"/>
            <w:vAlign w:val="bottom"/>
          </w:tcPr>
          <w:p>
            <w:pPr>
              <w:spacing w:after="0"/>
              <w:rPr>
                <w:sz w:val="12"/>
                <w:szCs w:val="12"/>
                <w:color w:val="auto"/>
              </w:rPr>
            </w:pPr>
          </w:p>
        </w:tc>
        <w:tc>
          <w:tcPr>
            <w:tcW w:w="128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w w:val="95"/>
              </w:rPr>
              <w:t>Other/</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9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 2002</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w w:val="97"/>
              </w:rPr>
              <w:t>Services</w:t>
            </w:r>
          </w:p>
        </w:tc>
        <w:tc>
          <w:tcPr>
            <w:tcW w:w="240" w:type="dxa"/>
            <w:vAlign w:val="bottom"/>
          </w:tcPr>
          <w:p>
            <w:pPr>
              <w:spacing w:after="0"/>
              <w:rPr>
                <w:sz w:val="15"/>
                <w:szCs w:val="15"/>
                <w:color w:val="auto"/>
              </w:rPr>
            </w:pPr>
          </w:p>
        </w:tc>
        <w:tc>
          <w:tcPr>
            <w:tcW w:w="10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3"/>
              </w:rPr>
              <w:t>Services</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7"/>
              </w:rPr>
              <w:t>Services</w:t>
            </w:r>
          </w:p>
        </w:tc>
        <w:tc>
          <w:tcPr>
            <w:tcW w:w="240" w:type="dxa"/>
            <w:vAlign w:val="bottom"/>
          </w:tcPr>
          <w:p>
            <w:pPr>
              <w:spacing w:after="0"/>
              <w:rPr>
                <w:sz w:val="15"/>
                <w:szCs w:val="15"/>
                <w:color w:val="auto"/>
              </w:rPr>
            </w:pP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8"/>
              </w:rPr>
              <w:t>Elimination</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gridSpan w:val="3"/>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9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39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6"/>
              </w:rPr>
              <w:t>(in thousands)</w:t>
            </w:r>
          </w:p>
        </w:tc>
        <w:tc>
          <w:tcPr>
            <w:tcW w:w="2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3900" w:type="dxa"/>
            <w:vAlign w:val="bottom"/>
          </w:tcPr>
          <w:p>
            <w:pPr>
              <w:spacing w:after="0"/>
              <w:rPr>
                <w:sz w:val="20"/>
                <w:szCs w:val="20"/>
                <w:color w:val="auto"/>
              </w:rPr>
            </w:pPr>
          </w:p>
        </w:tc>
        <w:tc>
          <w:tcPr>
            <w:tcW w:w="460" w:type="dxa"/>
            <w:vAlign w:val="bottom"/>
            <w:gridSpan w:val="2"/>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spacing w:after="0"/>
              <w:rPr>
                <w:sz w:val="20"/>
                <w:szCs w:val="20"/>
                <w:color w:val="auto"/>
              </w:rPr>
            </w:pPr>
          </w:p>
        </w:tc>
        <w:tc>
          <w:tcPr>
            <w:tcW w:w="220" w:type="dxa"/>
            <w:vAlign w:val="bottom"/>
            <w:gridSpan w:val="2"/>
          </w:tcPr>
          <w:p>
            <w:pPr>
              <w:spacing w:after="0"/>
              <w:rPr>
                <w:sz w:val="20"/>
                <w:szCs w:val="20"/>
                <w:color w:val="auto"/>
              </w:rPr>
            </w:pPr>
          </w:p>
        </w:tc>
        <w:tc>
          <w:tcPr>
            <w:tcW w:w="1200" w:type="dxa"/>
            <w:vAlign w:val="bottom"/>
            <w:gridSpan w:val="2"/>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gridSpan w:val="2"/>
          </w:tcPr>
          <w:p>
            <w:pPr>
              <w:spacing w:after="0"/>
              <w:rPr>
                <w:sz w:val="20"/>
                <w:szCs w:val="20"/>
                <w:color w:val="auto"/>
              </w:rPr>
            </w:pPr>
          </w:p>
        </w:tc>
        <w:tc>
          <w:tcPr>
            <w:tcW w:w="340" w:type="dxa"/>
            <w:vAlign w:val="bottom"/>
            <w:gridSpan w:val="2"/>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538,361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342,132</w:t>
            </w: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236,584</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(245,626)</w:t>
            </w:r>
          </w:p>
        </w:tc>
        <w:tc>
          <w:tcPr>
            <w:tcW w:w="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871,451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44,627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6,724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15,124</w:t>
            </w:r>
          </w:p>
        </w:tc>
        <w:tc>
          <w:tcPr>
            <w:tcW w:w="24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66,475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32,145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31,187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17,316</w:t>
            </w: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80,648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Fair value loss on interest rate derivative</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(12,017)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(12,017)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2481580</wp:posOffset>
            </wp:positionH>
            <wp:positionV relativeFrom="paragraph">
              <wp:posOffset>-2026920</wp:posOffset>
            </wp:positionV>
            <wp:extent cx="12700" cy="8890"/>
            <wp:wrapNone/>
            <wp:docPr id="1131" name="Picture 1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1"/>
                    <pic:cNvPicPr>
                      <a:picLocks noChangeAspect="1" noChangeArrowheads="1"/>
                    </pic:cNvPicPr>
                  </pic:nvPicPr>
                  <pic:blipFill>
                    <a:blip r:embed="rId11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-2026920</wp:posOffset>
            </wp:positionV>
            <wp:extent cx="12700" cy="8890"/>
            <wp:wrapNone/>
            <wp:docPr id="1132" name="Picture 1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2"/>
                    <pic:cNvPicPr>
                      <a:picLocks noChangeAspect="1" noChangeArrowheads="1"/>
                    </pic:cNvPicPr>
                  </pic:nvPicPr>
                  <pic:blipFill>
                    <a:blip r:embed="rId11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3484880</wp:posOffset>
            </wp:positionH>
            <wp:positionV relativeFrom="paragraph">
              <wp:posOffset>-2026920</wp:posOffset>
            </wp:positionV>
            <wp:extent cx="12700" cy="8890"/>
            <wp:wrapNone/>
            <wp:docPr id="1133" name="Picture 1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3"/>
                    <pic:cNvPicPr>
                      <a:picLocks noChangeAspect="1" noChangeArrowheads="1"/>
                    </pic:cNvPicPr>
                  </pic:nvPicPr>
                  <pic:blipFill>
                    <a:blip r:embed="rId11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2626995</wp:posOffset>
            </wp:positionH>
            <wp:positionV relativeFrom="paragraph">
              <wp:posOffset>-2026920</wp:posOffset>
            </wp:positionV>
            <wp:extent cx="12700" cy="8890"/>
            <wp:wrapNone/>
            <wp:docPr id="1134" name="Picture 1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4"/>
                    <pic:cNvPicPr>
                      <a:picLocks noChangeAspect="1" noChangeArrowheads="1"/>
                    </pic:cNvPicPr>
                  </pic:nvPicPr>
                  <pic:blipFill>
                    <a:blip r:embed="rId11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4342130</wp:posOffset>
            </wp:positionH>
            <wp:positionV relativeFrom="paragraph">
              <wp:posOffset>-2026920</wp:posOffset>
            </wp:positionV>
            <wp:extent cx="12700" cy="8890"/>
            <wp:wrapNone/>
            <wp:docPr id="1135" name="Picture 1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5"/>
                    <pic:cNvPicPr>
                      <a:picLocks noChangeAspect="1" noChangeArrowheads="1"/>
                    </pic:cNvPicPr>
                  </pic:nvPicPr>
                  <pic:blipFill>
                    <a:blip r:embed="rId11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-2026920</wp:posOffset>
            </wp:positionV>
            <wp:extent cx="12700" cy="8890"/>
            <wp:wrapNone/>
            <wp:docPr id="1136" name="Picture 1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6"/>
                    <pic:cNvPicPr>
                      <a:picLocks noChangeAspect="1" noChangeArrowheads="1"/>
                    </pic:cNvPicPr>
                  </pic:nvPicPr>
                  <pic:blipFill>
                    <a:blip r:embed="rId11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-2026920</wp:posOffset>
            </wp:positionV>
            <wp:extent cx="12700" cy="8890"/>
            <wp:wrapNone/>
            <wp:docPr id="1137" name="Picture 1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7"/>
                    <pic:cNvPicPr>
                      <a:picLocks noChangeAspect="1" noChangeArrowheads="1"/>
                    </pic:cNvPicPr>
                  </pic:nvPicPr>
                  <pic:blipFill>
                    <a:blip r:embed="rId11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-2026920</wp:posOffset>
            </wp:positionV>
            <wp:extent cx="12700" cy="8890"/>
            <wp:wrapNone/>
            <wp:docPr id="1138" name="Picture 1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8"/>
                    <pic:cNvPicPr>
                      <a:picLocks noChangeAspect="1" noChangeArrowheads="1"/>
                    </pic:cNvPicPr>
                  </pic:nvPicPr>
                  <pic:blipFill>
                    <a:blip r:embed="rId11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-2026920</wp:posOffset>
            </wp:positionV>
            <wp:extent cx="12700" cy="8890"/>
            <wp:wrapNone/>
            <wp:docPr id="1139" name="Picture 1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9"/>
                    <pic:cNvPicPr>
                      <a:picLocks noChangeAspect="1" noChangeArrowheads="1"/>
                    </pic:cNvPicPr>
                  </pic:nvPicPr>
                  <pic:blipFill>
                    <a:blip r:embed="rId11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-2026920</wp:posOffset>
            </wp:positionV>
            <wp:extent cx="12700" cy="8890"/>
            <wp:wrapNone/>
            <wp:docPr id="1140" name="Picture 1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0"/>
                    <pic:cNvPicPr>
                      <a:picLocks noChangeAspect="1" noChangeArrowheads="1"/>
                    </pic:cNvPicPr>
                  </pic:nvPicPr>
                  <pic:blipFill>
                    <a:blip r:embed="rId11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-2026920</wp:posOffset>
            </wp:positionV>
            <wp:extent cx="12700" cy="8890"/>
            <wp:wrapNone/>
            <wp:docPr id="1141" name="Picture 1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1"/>
                    <pic:cNvPicPr>
                      <a:picLocks noChangeAspect="1" noChangeArrowheads="1"/>
                    </pic:cNvPicPr>
                  </pic:nvPicPr>
                  <pic:blipFill>
                    <a:blip r:embed="rId11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-2026920</wp:posOffset>
            </wp:positionV>
            <wp:extent cx="12700" cy="8890"/>
            <wp:wrapNone/>
            <wp:docPr id="1142" name="Picture 1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2"/>
                    <pic:cNvPicPr>
                      <a:picLocks noChangeAspect="1" noChangeArrowheads="1"/>
                    </pic:cNvPicPr>
                  </pic:nvPicPr>
                  <pic:blipFill>
                    <a:blip r:embed="rId11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2481580</wp:posOffset>
            </wp:positionH>
            <wp:positionV relativeFrom="paragraph">
              <wp:posOffset>-886460</wp:posOffset>
            </wp:positionV>
            <wp:extent cx="12700" cy="8890"/>
            <wp:wrapNone/>
            <wp:docPr id="1143" name="Picture 1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3"/>
                    <pic:cNvPicPr>
                      <a:picLocks noChangeAspect="1" noChangeArrowheads="1"/>
                    </pic:cNvPicPr>
                  </pic:nvPicPr>
                  <pic:blipFill>
                    <a:blip r:embed="rId11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-886460</wp:posOffset>
            </wp:positionV>
            <wp:extent cx="12700" cy="8890"/>
            <wp:wrapNone/>
            <wp:docPr id="1144" name="Picture 1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4"/>
                    <pic:cNvPicPr>
                      <a:picLocks noChangeAspect="1" noChangeArrowheads="1"/>
                    </pic:cNvPicPr>
                  </pic:nvPicPr>
                  <pic:blipFill>
                    <a:blip r:embed="rId11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3484880</wp:posOffset>
            </wp:positionH>
            <wp:positionV relativeFrom="paragraph">
              <wp:posOffset>-886460</wp:posOffset>
            </wp:positionV>
            <wp:extent cx="12700" cy="8890"/>
            <wp:wrapNone/>
            <wp:docPr id="1145" name="Picture 1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5"/>
                    <pic:cNvPicPr>
                      <a:picLocks noChangeAspect="1" noChangeArrowheads="1"/>
                    </pic:cNvPicPr>
                  </pic:nvPicPr>
                  <pic:blipFill>
                    <a:blip r:embed="rId11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2626995</wp:posOffset>
            </wp:positionH>
            <wp:positionV relativeFrom="paragraph">
              <wp:posOffset>-886460</wp:posOffset>
            </wp:positionV>
            <wp:extent cx="12700" cy="8890"/>
            <wp:wrapNone/>
            <wp:docPr id="1146" name="Picture 1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6"/>
                    <pic:cNvPicPr>
                      <a:picLocks noChangeAspect="1" noChangeArrowheads="1"/>
                    </pic:cNvPicPr>
                  </pic:nvPicPr>
                  <pic:blipFill>
                    <a:blip r:embed="rId11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4342130</wp:posOffset>
            </wp:positionH>
            <wp:positionV relativeFrom="paragraph">
              <wp:posOffset>-886460</wp:posOffset>
            </wp:positionV>
            <wp:extent cx="12700" cy="8890"/>
            <wp:wrapNone/>
            <wp:docPr id="1147" name="Picture 1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7"/>
                    <pic:cNvPicPr>
                      <a:picLocks noChangeAspect="1" noChangeArrowheads="1"/>
                    </pic:cNvPicPr>
                  </pic:nvPicPr>
                  <pic:blipFill>
                    <a:blip r:embed="rId11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-886460</wp:posOffset>
            </wp:positionV>
            <wp:extent cx="12700" cy="8890"/>
            <wp:wrapNone/>
            <wp:docPr id="1148" name="Picture 1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8"/>
                    <pic:cNvPicPr>
                      <a:picLocks noChangeAspect="1" noChangeArrowheads="1"/>
                    </pic:cNvPicPr>
                  </pic:nvPicPr>
                  <pic:blipFill>
                    <a:blip r:embed="rId11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-886460</wp:posOffset>
            </wp:positionV>
            <wp:extent cx="12700" cy="8890"/>
            <wp:wrapNone/>
            <wp:docPr id="1149" name="Picture 1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9"/>
                    <pic:cNvPicPr>
                      <a:picLocks noChangeAspect="1" noChangeArrowheads="1"/>
                    </pic:cNvPicPr>
                  </pic:nvPicPr>
                  <pic:blipFill>
                    <a:blip r:embed="rId11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-886460</wp:posOffset>
            </wp:positionV>
            <wp:extent cx="12700" cy="8890"/>
            <wp:wrapNone/>
            <wp:docPr id="1150" name="Picture 1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0"/>
                    <pic:cNvPicPr>
                      <a:picLocks noChangeAspect="1" noChangeArrowheads="1"/>
                    </pic:cNvPicPr>
                  </pic:nvPicPr>
                  <pic:blipFill>
                    <a:blip r:embed="rId11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-886460</wp:posOffset>
            </wp:positionV>
            <wp:extent cx="12700" cy="8890"/>
            <wp:wrapNone/>
            <wp:docPr id="1151" name="Picture 1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1"/>
                    <pic:cNvPicPr>
                      <a:picLocks noChangeAspect="1" noChangeArrowheads="1"/>
                    </pic:cNvPicPr>
                  </pic:nvPicPr>
                  <pic:blipFill>
                    <a:blip r:embed="rId11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-886460</wp:posOffset>
            </wp:positionV>
            <wp:extent cx="12700" cy="8890"/>
            <wp:wrapNone/>
            <wp:docPr id="1152" name="Picture 1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2"/>
                    <pic:cNvPicPr>
                      <a:picLocks noChangeAspect="1" noChangeArrowheads="1"/>
                    </pic:cNvPicPr>
                  </pic:nvPicPr>
                  <pic:blipFill>
                    <a:blip r:embed="rId11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-886460</wp:posOffset>
            </wp:positionV>
            <wp:extent cx="12700" cy="8890"/>
            <wp:wrapNone/>
            <wp:docPr id="1153" name="Picture 1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3"/>
                    <pic:cNvPicPr>
                      <a:picLocks noChangeAspect="1" noChangeArrowheads="1"/>
                    </pic:cNvPicPr>
                  </pic:nvPicPr>
                  <pic:blipFill>
                    <a:blip r:embed="rId11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-886460</wp:posOffset>
            </wp:positionV>
            <wp:extent cx="12700" cy="8890"/>
            <wp:wrapNone/>
            <wp:docPr id="1154" name="Picture 1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4"/>
                    <pic:cNvPicPr>
                      <a:picLocks noChangeAspect="1" noChangeArrowheads="1"/>
                    </pic:cNvPicPr>
                  </pic:nvPicPr>
                  <pic:blipFill>
                    <a:blip r:embed="rId116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6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Information concerning principal geographic areas is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39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United States</w:t>
            </w:r>
          </w:p>
        </w:tc>
        <w:tc>
          <w:tcPr>
            <w:tcW w:w="100" w:type="dxa"/>
            <w:vAlign w:val="bottom"/>
          </w:tcPr>
          <w:p>
            <w:pPr>
              <w:spacing w:after="0"/>
              <w:rPr>
                <w:sz w:val="15"/>
                <w:szCs w:val="15"/>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Rest of World(1)</w:t>
            </w: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920" w:type="dxa"/>
            <w:vAlign w:val="bottom"/>
          </w:tcPr>
          <w:p>
            <w:pPr>
              <w:spacing w:after="0"/>
              <w:rPr>
                <w:sz w:val="9"/>
                <w:szCs w:val="9"/>
                <w:color w:val="auto"/>
              </w:rPr>
            </w:pPr>
          </w:p>
        </w:tc>
        <w:tc>
          <w:tcPr>
            <w:tcW w:w="15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392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w w:val="96"/>
              </w:rPr>
              <w:t>(in thousands)</w:t>
            </w:r>
          </w:p>
        </w:tc>
        <w:tc>
          <w:tcPr>
            <w:tcW w:w="1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39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Year Ended December 31, 2000</w:t>
            </w:r>
          </w:p>
        </w:tc>
        <w:tc>
          <w:tcPr>
            <w:tcW w:w="1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518,839</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159,356</w:t>
            </w:r>
          </w:p>
        </w:tc>
        <w:tc>
          <w:tcPr>
            <w:tcW w:w="5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678,195</w:t>
            </w: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Year Ended December 31, 2001</w:t>
            </w:r>
          </w:p>
        </w:tc>
        <w:tc>
          <w:tcPr>
            <w:tcW w:w="15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590,709</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186,642</w:t>
            </w:r>
          </w:p>
        </w:tc>
        <w:tc>
          <w:tcPr>
            <w:tcW w:w="1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777,351</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Year Ended December 31, 2002</w:t>
            </w:r>
          </w:p>
        </w:tc>
        <w:tc>
          <w:tcPr>
            <w:tcW w:w="1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648,963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222,488</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871,451</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5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December 31, 2001</w:t>
            </w:r>
          </w:p>
        </w:tc>
        <w:tc>
          <w:tcPr>
            <w:tcW w:w="1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1,017,722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459,496</w:t>
            </w:r>
          </w:p>
        </w:tc>
        <w:tc>
          <w:tcPr>
            <w:tcW w:w="5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1,477,218</w:t>
            </w: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3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December 31, 2002</w:t>
            </w:r>
          </w:p>
        </w:tc>
        <w:tc>
          <w:tcPr>
            <w:tcW w:w="15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930,344</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523,074</w:t>
            </w:r>
          </w:p>
        </w:tc>
        <w:tc>
          <w:tcPr>
            <w:tcW w:w="1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1,453,418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4324985</wp:posOffset>
            </wp:positionH>
            <wp:positionV relativeFrom="paragraph">
              <wp:posOffset>-1369060</wp:posOffset>
            </wp:positionV>
            <wp:extent cx="12700" cy="8890"/>
            <wp:wrapNone/>
            <wp:docPr id="1155" name="Picture 1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5"/>
                    <pic:cNvPicPr>
                      <a:picLocks noChangeAspect="1" noChangeArrowheads="1"/>
                    </pic:cNvPicPr>
                  </pic:nvPicPr>
                  <pic:blipFill>
                    <a:blip r:embed="rId11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3458845</wp:posOffset>
            </wp:positionH>
            <wp:positionV relativeFrom="paragraph">
              <wp:posOffset>-1369060</wp:posOffset>
            </wp:positionV>
            <wp:extent cx="12700" cy="8890"/>
            <wp:wrapNone/>
            <wp:docPr id="1156" name="Picture 1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6"/>
                    <pic:cNvPicPr>
                      <a:picLocks noChangeAspect="1" noChangeArrowheads="1"/>
                    </pic:cNvPicPr>
                  </pic:nvPicPr>
                  <pic:blipFill>
                    <a:blip r:embed="rId11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-1369060</wp:posOffset>
            </wp:positionV>
            <wp:extent cx="12700" cy="8890"/>
            <wp:wrapNone/>
            <wp:docPr id="1157" name="Picture 1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7"/>
                    <pic:cNvPicPr>
                      <a:picLocks noChangeAspect="1" noChangeArrowheads="1"/>
                    </pic:cNvPicPr>
                  </pic:nvPicPr>
                  <pic:blipFill>
                    <a:blip r:embed="rId11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-1369060</wp:posOffset>
            </wp:positionV>
            <wp:extent cx="12700" cy="8890"/>
            <wp:wrapNone/>
            <wp:docPr id="1158" name="Picture 1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8"/>
                    <pic:cNvPicPr>
                      <a:picLocks noChangeAspect="1" noChangeArrowheads="1"/>
                    </pic:cNvPicPr>
                  </pic:nvPicPr>
                  <pic:blipFill>
                    <a:blip r:embed="rId11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-1369060</wp:posOffset>
            </wp:positionV>
            <wp:extent cx="12700" cy="8890"/>
            <wp:wrapNone/>
            <wp:docPr id="1159" name="Picture 1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9"/>
                    <pic:cNvPicPr>
                      <a:picLocks noChangeAspect="1" noChangeArrowheads="1"/>
                    </pic:cNvPicPr>
                  </pic:nvPicPr>
                  <pic:blipFill>
                    <a:blip r:embed="rId11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-1369060</wp:posOffset>
            </wp:positionV>
            <wp:extent cx="12700" cy="8890"/>
            <wp:wrapNone/>
            <wp:docPr id="1160" name="Picture 1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0"/>
                    <pic:cNvPicPr>
                      <a:picLocks noChangeAspect="1" noChangeArrowheads="1"/>
                    </pic:cNvPicPr>
                  </pic:nvPicPr>
                  <pic:blipFill>
                    <a:blip r:embed="rId116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00" w:orient="portrait"/>
          <w:cols w:equalWidth="0" w:num="1">
            <w:col w:w="11400"/>
          </w:cols>
          <w:pgMar w:left="240" w:top="140" w:right="259" w:bottom="0" w:gutter="0" w:footer="0" w:header="0"/>
        </w:sectPr>
      </w:pPr>
    </w:p>
    <w:bookmarkStart w:id="50" w:name="page51"/>
    <w:bookmarkEnd w:id="50"/>
    <w:p>
      <w:pPr>
        <w:ind w:left="540" w:hanging="532"/>
        <w:spacing w:after="0"/>
        <w:tabs>
          <w:tab w:leader="none" w:pos="5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1050290" cy="19050"/>
            <wp:wrapNone/>
            <wp:docPr id="1161" name="Picture 1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1"/>
                    <pic:cNvPicPr>
                      <a:picLocks noChangeAspect="1" noChangeArrowheads="1"/>
                    </pic:cNvPicPr>
                  </pic:nvPicPr>
                  <pic:blipFill>
                    <a:blip r:embed="rId1168">
                      <a:extLst>
                        <a:ext uri="{28A0092B-C50C-407E-A947-70E740481C1C}"/>
                      </a:extLst>
                    </a:blip>
                    <a:srcRect/>
                    <a:stretch>
                      <a:fillRect/>
                    </a:stretch>
                  </pic:blipFill>
                  <pic:spPr bwMode="auto">
                    <a:xfrm>
                      <a:off x="0" y="0"/>
                      <a:ext cx="1050290" cy="19050"/>
                    </a:xfrm>
                    <a:prstGeom prst="rect">
                      <a:avLst/>
                    </a:prstGeom>
                    <a:noFill/>
                  </pic:spPr>
                </pic:pic>
              </a:graphicData>
            </a:graphic>
          </wp:anchor>
        </w:drawing>
        <w:t>Primarily Canada.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RELATED PARTY TRANSACTIONS</w:t>
      </w:r>
    </w:p>
    <w:p>
      <w:pPr>
        <w:spacing w:after="0" w:line="227" w:lineRule="exact"/>
        <w:rPr>
          <w:sz w:val="20"/>
          <w:szCs w:val="20"/>
          <w:color w:val="auto"/>
        </w:rPr>
      </w:pPr>
    </w:p>
    <w:p>
      <w:pPr>
        <w:ind w:right="40" w:firstLine="351"/>
        <w:spacing w:after="0" w:line="275" w:lineRule="auto"/>
        <w:rPr>
          <w:sz w:val="20"/>
          <w:szCs w:val="20"/>
          <w:color w:val="auto"/>
        </w:rPr>
      </w:pPr>
      <w:r>
        <w:rPr>
          <w:rFonts w:ascii="Times New Roman" w:cs="Times New Roman" w:eastAsia="Times New Roman" w:hAnsi="Times New Roman"/>
          <w:sz w:val="18"/>
          <w:szCs w:val="18"/>
          <w:color w:val="auto"/>
        </w:rPr>
        <w:t>One of the Company's stockholders, Welsh, Carson, Anderson &amp; Stowe and related affiliates ("WCAS"), provides significant financing to the Company. As of December 31, 2002:</w:t>
      </w:r>
    </w:p>
    <w:p>
      <w:pPr>
        <w:spacing w:after="0" w:line="201" w:lineRule="exact"/>
        <w:rPr>
          <w:sz w:val="20"/>
          <w:szCs w:val="20"/>
          <w:color w:val="auto"/>
        </w:rPr>
      </w:pPr>
    </w:p>
    <w:p>
      <w:pPr>
        <w:ind w:left="1080" w:right="200" w:hanging="532"/>
        <w:spacing w:after="0" w:line="275"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outstanding a 10% subordinated note to WCAS, in the principal amount of $52.0 million. Principal on the note is due in two equal installments on September 15, 2007 and September 15, 2008. Interest is payable semi-annually in arrears on each March 15 and</w:t>
      </w:r>
    </w:p>
    <w:p>
      <w:pPr>
        <w:spacing w:after="0" w:line="17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62" name="Picture 1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2"/>
                    <pic:cNvPicPr>
                      <a:picLocks noChangeAspect="1" noChangeArrowheads="1"/>
                    </pic:cNvPicPr>
                  </pic:nvPicPr>
                  <pic:blipFill>
                    <a:blip r:embed="rId11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September 15. In conjunction with the issuance of the note, the Company issued 655,556 shares of common stock.</w:t>
      </w:r>
    </w:p>
    <w:p>
      <w:pPr>
        <w:spacing w:after="0" w:line="239" w:lineRule="exact"/>
        <w:rPr>
          <w:sz w:val="20"/>
          <w:szCs w:val="20"/>
          <w:color w:val="auto"/>
        </w:rPr>
      </w:pPr>
    </w:p>
    <w:p>
      <w:pPr>
        <w:ind w:left="1080" w:hanging="532"/>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2002, the Company repaid $50.0 million of 10% subordinated notes to WCAS and Limited Brands.</w:t>
      </w:r>
    </w:p>
    <w:p>
      <w:pPr>
        <w:spacing w:after="0" w:line="238" w:lineRule="exact"/>
        <w:rPr>
          <w:rFonts w:ascii="Times New Roman" w:cs="Times New Roman" w:eastAsia="Times New Roman" w:hAnsi="Times New Roman"/>
          <w:sz w:val="18"/>
          <w:szCs w:val="18"/>
          <w:color w:val="auto"/>
        </w:rPr>
      </w:pPr>
    </w:p>
    <w:p>
      <w:pPr>
        <w:ind w:left="1080" w:right="20" w:hanging="532"/>
        <w:spacing w:after="0" w:line="275"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consummation of the initial public offering, the Company's series A preferred stock was converted into approximately 11,199,340 shares of common stock. WCAS was the holder of the preferred stock.</w:t>
      </w:r>
    </w:p>
    <w:p>
      <w:pPr>
        <w:spacing w:after="0" w:line="174" w:lineRule="exact"/>
        <w:rPr>
          <w:sz w:val="20"/>
          <w:szCs w:val="20"/>
          <w:color w:val="auto"/>
        </w:rPr>
      </w:pPr>
    </w:p>
    <w:p>
      <w:pPr>
        <w:ind w:right="80" w:firstLine="348"/>
        <w:spacing w:after="0" w:line="256" w:lineRule="auto"/>
        <w:rPr>
          <w:sz w:val="20"/>
          <w:szCs w:val="20"/>
          <w:color w:val="auto"/>
        </w:rPr>
      </w:pPr>
      <w:r>
        <w:rPr>
          <w:rFonts w:ascii="Times New Roman" w:cs="Times New Roman" w:eastAsia="Times New Roman" w:hAnsi="Times New Roman"/>
          <w:sz w:val="18"/>
          <w:szCs w:val="18"/>
          <w:color w:val="auto"/>
        </w:rPr>
        <w:t>The other significant stockholder of the Company, Limited Brands (through its retail affiliates), is a significant customer, representing 18.8% of total revenue. Limited Brands revenue is derived from all segments but primarily from Transaction and Credit Services. The majority of revenue comes from the Company's cardholders who are customers of Limited Brands. The Company has entered into credit card processing agreements and a database marketing agreement with several retail affiliates of Limited Brands. The Company has received database and merchant discount fees directly from Limited Brands and its retail affiliates of $46.7 million, $43.5 million and $44.4 million for 2000, 2001 and 2002, respectively.</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SUBSEQUENT EVENTS</w:t>
      </w:r>
    </w:p>
    <w:p>
      <w:pPr>
        <w:spacing w:after="0" w:line="227" w:lineRule="exact"/>
        <w:rPr>
          <w:sz w:val="20"/>
          <w:szCs w:val="20"/>
          <w:color w:val="auto"/>
        </w:rPr>
      </w:pPr>
    </w:p>
    <w:p>
      <w:pPr>
        <w:ind w:firstLine="351"/>
        <w:spacing w:after="0" w:line="262" w:lineRule="auto"/>
        <w:rPr>
          <w:sz w:val="20"/>
          <w:szCs w:val="20"/>
          <w:color w:val="auto"/>
        </w:rPr>
      </w:pPr>
      <w:r>
        <w:rPr>
          <w:rFonts w:ascii="Times New Roman" w:cs="Times New Roman" w:eastAsia="Times New Roman" w:hAnsi="Times New Roman"/>
          <w:sz w:val="18"/>
          <w:szCs w:val="18"/>
          <w:color w:val="auto"/>
        </w:rPr>
        <w:t>In March 2003, the Company purchased the customer care back office operations of American Electric Power related to the Texas marketplace for approximately $30.0 million. As part of the transaction, the Company will provide billing and customer care services to over 800,000 accounts that were recently acquired by a U.S. subsidiary of Centrica plc.</w:t>
      </w:r>
    </w:p>
    <w:p>
      <w:pPr>
        <w:spacing w:after="0" w:line="18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63" name="Picture 1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3"/>
                    <pic:cNvPicPr>
                      <a:picLocks noChangeAspect="1" noChangeArrowheads="1"/>
                    </pic:cNvPicPr>
                  </pic:nvPicPr>
                  <pic:blipFill>
                    <a:blip r:embed="rId11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 QUARTERLY RESULTS OF OPERATIONS (UNAUDITED)</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Unaudited quarterly results of operations for the years ended December 31, 2001 and 2002 are presented below.</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940" w:type="dxa"/>
            <w:vAlign w:val="bottom"/>
            <w:gridSpan w:val="4"/>
          </w:tcPr>
          <w:p>
            <w:pPr>
              <w:jc w:val="right"/>
              <w:ind w:right="1040"/>
              <w:spacing w:after="0"/>
              <w:rPr>
                <w:sz w:val="20"/>
                <w:szCs w:val="20"/>
                <w:color w:val="auto"/>
              </w:rPr>
            </w:pPr>
            <w:r>
              <w:rPr>
                <w:rFonts w:ascii="Times New Roman" w:cs="Times New Roman" w:eastAsia="Times New Roman" w:hAnsi="Times New Roman"/>
                <w:sz w:val="14"/>
                <w:szCs w:val="14"/>
                <w:b w:val="1"/>
                <w:bCs w:val="1"/>
                <w:color w:val="auto"/>
                <w:w w:val="96"/>
              </w:rPr>
              <w:t>Quarter Ended</w:t>
            </w:r>
          </w:p>
        </w:tc>
        <w:tc>
          <w:tcPr>
            <w:tcW w:w="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316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20"/>
                <w:szCs w:val="20"/>
                <w:color w:val="auto"/>
              </w:rPr>
            </w:pPr>
          </w:p>
        </w:tc>
        <w:tc>
          <w:tcPr>
            <w:tcW w:w="98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6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40" w:type="dxa"/>
            <w:vAlign w:val="bottom"/>
          </w:tcPr>
          <w:p>
            <w:pPr>
              <w:spacing w:after="0"/>
              <w:rPr>
                <w:sz w:val="20"/>
                <w:szCs w:val="20"/>
                <w:color w:val="auto"/>
              </w:rPr>
            </w:pPr>
          </w:p>
        </w:tc>
        <w:tc>
          <w:tcPr>
            <w:tcW w:w="146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2001</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2001</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2001</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2001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316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20" w:type="dxa"/>
            <w:vAlign w:val="bottom"/>
            <w:gridSpan w:val="2"/>
          </w:tcPr>
          <w:p>
            <w:pPr>
              <w:spacing w:after="0"/>
              <w:rPr>
                <w:sz w:val="9"/>
                <w:szCs w:val="9"/>
                <w:color w:val="auto"/>
              </w:rPr>
            </w:pPr>
          </w:p>
        </w:tc>
        <w:tc>
          <w:tcPr>
            <w:tcW w:w="1560" w:type="dxa"/>
            <w:vAlign w:val="bottom"/>
            <w:tcBorders>
              <w:bottom w:val="single" w:sz="8" w:color="808080"/>
            </w:tcBorders>
            <w:gridSpan w:val="2"/>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3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920" w:type="dxa"/>
            <w:vAlign w:val="bottom"/>
            <w:gridSpan w:val="6"/>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(in thousands, except per share amounts)</w:t>
            </w:r>
          </w:p>
        </w:tc>
        <w:tc>
          <w:tcPr>
            <w:tcW w:w="2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164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0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181,180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183,679</w:t>
            </w:r>
          </w:p>
        </w:tc>
        <w:tc>
          <w:tcPr>
            <w:tcW w:w="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201,650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210,843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170,071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171,895</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186,058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195,104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expenses(1)</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3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Fair value loss on interest rate derivative</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8,566</w:t>
            </w:r>
          </w:p>
        </w:tc>
        <w:tc>
          <w:tcPr>
            <w:tcW w:w="6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1660" w:type="dxa"/>
            <w:vAlign w:val="bottom"/>
            <w:gridSpan w:val="2"/>
          </w:tcPr>
          <w:p>
            <w:pPr>
              <w:spacing w:after="0"/>
              <w:rPr>
                <w:sz w:val="10"/>
                <w:szCs w:val="10"/>
                <w:color w:val="auto"/>
              </w:rPr>
            </w:pPr>
          </w:p>
        </w:tc>
        <w:tc>
          <w:tcPr>
            <w:tcW w:w="316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Income (loss) before income taxes and extraordinary item</w:t>
            </w:r>
          </w:p>
        </w:tc>
        <w:tc>
          <w:tcPr>
            <w:tcW w:w="200" w:type="dxa"/>
            <w:vAlign w:val="bottom"/>
          </w:tcPr>
          <w:p>
            <w:pPr>
              <w:spacing w:after="0"/>
              <w:rPr>
                <w:sz w:val="24"/>
                <w:szCs w:val="24"/>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(3,957)</w:t>
            </w:r>
          </w:p>
        </w:tc>
        <w:tc>
          <w:tcPr>
            <w:tcW w:w="2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2,828</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(797)</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2,255</w:t>
            </w:r>
          </w:p>
        </w:tc>
        <w:tc>
          <w:tcPr>
            <w:tcW w:w="6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1660" w:type="dxa"/>
            <w:vAlign w:val="bottom"/>
            <w:gridSpan w:val="2"/>
          </w:tcPr>
          <w:p>
            <w:pPr>
              <w:spacing w:after="0"/>
              <w:rPr>
                <w:sz w:val="10"/>
                <w:szCs w:val="10"/>
                <w:color w:val="auto"/>
              </w:rPr>
            </w:pPr>
          </w:p>
        </w:tc>
        <w:tc>
          <w:tcPr>
            <w:tcW w:w="316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Income (loss) before extraordinary item</w:t>
            </w:r>
          </w:p>
        </w:tc>
        <w:tc>
          <w:tcPr>
            <w:tcW w:w="200" w:type="dxa"/>
            <w:vAlign w:val="bottom"/>
          </w:tcPr>
          <w:p>
            <w:pPr>
              <w:spacing w:after="0"/>
              <w:rPr>
                <w:sz w:val="24"/>
                <w:szCs w:val="24"/>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(3,160)</w:t>
            </w:r>
          </w:p>
        </w:tc>
        <w:tc>
          <w:tcPr>
            <w:tcW w:w="2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(4,255)</w:t>
            </w:r>
          </w:p>
        </w:tc>
        <w:tc>
          <w:tcPr>
            <w:tcW w:w="240" w:type="dxa"/>
            <w:vAlign w:val="bottom"/>
          </w:tcPr>
          <w:p>
            <w:pPr>
              <w:spacing w:after="0"/>
              <w:rPr>
                <w:sz w:val="24"/>
                <w:szCs w:val="24"/>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(774)</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800" w:type="dxa"/>
            <w:vAlign w:val="bottom"/>
            <w:gridSpan w:val="2"/>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rPr>
              <w:t>Loss from extinguishment of debt (less applicable income taxes</w:t>
            </w: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of $410)</w:t>
            </w:r>
          </w:p>
        </w:tc>
        <w:tc>
          <w:tcPr>
            <w:tcW w:w="2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160" w:type="dxa"/>
            <w:vAlign w:val="bottom"/>
            <w:tcBorders>
              <w:right w:val="single" w:sz="8" w:color="CCEEFF"/>
            </w:tcBorders>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18"/>
        </w:trPr>
        <w:tc>
          <w:tcPr>
            <w:tcW w:w="1660" w:type="dxa"/>
            <w:vAlign w:val="bottom"/>
            <w:gridSpan w:val="2"/>
          </w:tcPr>
          <w:p>
            <w:pPr>
              <w:spacing w:after="0"/>
              <w:rPr>
                <w:sz w:val="10"/>
                <w:szCs w:val="10"/>
                <w:color w:val="auto"/>
              </w:rPr>
            </w:pPr>
          </w:p>
        </w:tc>
        <w:tc>
          <w:tcPr>
            <w:tcW w:w="316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(3,160)</w:t>
            </w: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(4,255)</w:t>
            </w:r>
          </w:p>
        </w:tc>
        <w:tc>
          <w:tcPr>
            <w:tcW w:w="240" w:type="dxa"/>
            <w:vAlign w:val="bottom"/>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(774)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 before extraordinary item—basic and diluted</w:t>
            </w:r>
          </w:p>
        </w:tc>
        <w:tc>
          <w:tcPr>
            <w:tcW w:w="20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(0.10)</w:t>
            </w: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(0.06)</w:t>
            </w:r>
          </w:p>
        </w:tc>
        <w:tc>
          <w:tcPr>
            <w:tcW w:w="240" w:type="dxa"/>
            <w:vAlign w:val="bottom"/>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105"/>
        </w:trPr>
        <w:tc>
          <w:tcPr>
            <w:tcW w:w="1660" w:type="dxa"/>
            <w:vAlign w:val="bottom"/>
            <w:gridSpan w:val="2"/>
          </w:tcPr>
          <w:p>
            <w:pPr>
              <w:spacing w:after="0"/>
              <w:rPr>
                <w:sz w:val="9"/>
                <w:szCs w:val="9"/>
                <w:color w:val="auto"/>
              </w:rPr>
            </w:pPr>
          </w:p>
        </w:tc>
        <w:tc>
          <w:tcPr>
            <w:tcW w:w="3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660" w:type="dxa"/>
            <w:vAlign w:val="bottom"/>
            <w:gridSpan w:val="2"/>
          </w:tcPr>
          <w:p>
            <w:pPr>
              <w:spacing w:after="0"/>
              <w:rPr>
                <w:sz w:val="5"/>
                <w:szCs w:val="5"/>
                <w:color w:val="auto"/>
              </w:rPr>
            </w:pPr>
          </w:p>
        </w:tc>
        <w:tc>
          <w:tcPr>
            <w:tcW w:w="316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Borders>
              <w:right w:val="single" w:sz="8" w:color="808080"/>
            </w:tcBorders>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34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36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4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loss per share—basic and diluted</w:t>
            </w:r>
          </w:p>
        </w:tc>
        <w:tc>
          <w:tcPr>
            <w:tcW w:w="20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(0.10)</w:t>
            </w: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(0.06)</w:t>
            </w:r>
          </w:p>
        </w:tc>
        <w:tc>
          <w:tcPr>
            <w:tcW w:w="240" w:type="dxa"/>
            <w:vAlign w:val="bottom"/>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3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640" w:type="dxa"/>
            <w:vAlign w:val="bottom"/>
          </w:tcPr>
          <w:p>
            <w:pPr>
              <w:spacing w:after="0"/>
              <w:rPr>
                <w:sz w:val="5"/>
                <w:szCs w:val="5"/>
                <w:color w:val="auto"/>
              </w:rPr>
            </w:pPr>
          </w:p>
        </w:tc>
        <w:tc>
          <w:tcPr>
            <w:tcW w:w="316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Borders>
              <w:right w:val="single" w:sz="8" w:color="808080"/>
            </w:tcBorders>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34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36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640" w:type="dxa"/>
            <w:vAlign w:val="bottom"/>
            <w:tcBorders>
              <w:bottom w:val="single" w:sz="8" w:color="808080"/>
            </w:tcBorders>
          </w:tcPr>
          <w:p>
            <w:pPr>
              <w:spacing w:after="0"/>
              <w:rPr>
                <w:sz w:val="19"/>
                <w:szCs w:val="19"/>
                <w:color w:val="auto"/>
              </w:rPr>
            </w:pPr>
          </w:p>
        </w:tc>
        <w:tc>
          <w:tcPr>
            <w:tcW w:w="3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6941185</wp:posOffset>
            </wp:positionH>
            <wp:positionV relativeFrom="paragraph">
              <wp:posOffset>-3350260</wp:posOffset>
            </wp:positionV>
            <wp:extent cx="12700" cy="8890"/>
            <wp:wrapNone/>
            <wp:docPr id="1164" name="Picture 1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4"/>
                    <pic:cNvPicPr>
                      <a:picLocks noChangeAspect="1" noChangeArrowheads="1"/>
                    </pic:cNvPicPr>
                  </pic:nvPicPr>
                  <pic:blipFill>
                    <a:blip r:embed="rId11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3056255</wp:posOffset>
            </wp:positionH>
            <wp:positionV relativeFrom="paragraph">
              <wp:posOffset>-3350260</wp:posOffset>
            </wp:positionV>
            <wp:extent cx="12700" cy="8890"/>
            <wp:wrapNone/>
            <wp:docPr id="1165" name="Picture 1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5"/>
                    <pic:cNvPicPr>
                      <a:picLocks noChangeAspect="1" noChangeArrowheads="1"/>
                    </pic:cNvPicPr>
                  </pic:nvPicPr>
                  <pic:blipFill>
                    <a:blip r:embed="rId11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-3007360</wp:posOffset>
            </wp:positionV>
            <wp:extent cx="12700" cy="8890"/>
            <wp:wrapNone/>
            <wp:docPr id="1166" name="Picture 1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6"/>
                    <pic:cNvPicPr>
                      <a:picLocks noChangeAspect="1" noChangeArrowheads="1"/>
                    </pic:cNvPicPr>
                  </pic:nvPicPr>
                  <pic:blipFill>
                    <a:blip r:embed="rId11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3056255</wp:posOffset>
            </wp:positionH>
            <wp:positionV relativeFrom="paragraph">
              <wp:posOffset>-3007360</wp:posOffset>
            </wp:positionV>
            <wp:extent cx="12700" cy="8890"/>
            <wp:wrapNone/>
            <wp:docPr id="1167" name="Picture 1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7"/>
                    <pic:cNvPicPr>
                      <a:picLocks noChangeAspect="1" noChangeArrowheads="1"/>
                    </pic:cNvPicPr>
                  </pic:nvPicPr>
                  <pic:blipFill>
                    <a:blip r:embed="rId11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-3007360</wp:posOffset>
            </wp:positionV>
            <wp:extent cx="12700" cy="8890"/>
            <wp:wrapNone/>
            <wp:docPr id="1168" name="Picture 1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8"/>
                    <pic:cNvPicPr>
                      <a:picLocks noChangeAspect="1" noChangeArrowheads="1"/>
                    </pic:cNvPicPr>
                  </pic:nvPicPr>
                  <pic:blipFill>
                    <a:blip r:embed="rId11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3964940</wp:posOffset>
            </wp:positionH>
            <wp:positionV relativeFrom="paragraph">
              <wp:posOffset>-3007360</wp:posOffset>
            </wp:positionV>
            <wp:extent cx="12700" cy="8890"/>
            <wp:wrapNone/>
            <wp:docPr id="1169" name="Picture 1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9"/>
                    <pic:cNvPicPr>
                      <a:picLocks noChangeAspect="1" noChangeArrowheads="1"/>
                    </pic:cNvPicPr>
                  </pic:nvPicPr>
                  <pic:blipFill>
                    <a:blip r:embed="rId11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-3007360</wp:posOffset>
            </wp:positionV>
            <wp:extent cx="12700" cy="8890"/>
            <wp:wrapNone/>
            <wp:docPr id="1170" name="Picture 1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0"/>
                    <pic:cNvPicPr>
                      <a:picLocks noChangeAspect="1" noChangeArrowheads="1"/>
                    </pic:cNvPicPr>
                  </pic:nvPicPr>
                  <pic:blipFill>
                    <a:blip r:embed="rId11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-3007360</wp:posOffset>
            </wp:positionV>
            <wp:extent cx="12700" cy="8890"/>
            <wp:wrapNone/>
            <wp:docPr id="1171" name="Picture 1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1"/>
                    <pic:cNvPicPr>
                      <a:picLocks noChangeAspect="1" noChangeArrowheads="1"/>
                    </pic:cNvPicPr>
                  </pic:nvPicPr>
                  <pic:blipFill>
                    <a:blip r:embed="rId11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6941185</wp:posOffset>
            </wp:positionH>
            <wp:positionV relativeFrom="paragraph">
              <wp:posOffset>-3007360</wp:posOffset>
            </wp:positionV>
            <wp:extent cx="12700" cy="8890"/>
            <wp:wrapNone/>
            <wp:docPr id="1172" name="Picture 1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2"/>
                    <pic:cNvPicPr>
                      <a:picLocks noChangeAspect="1" noChangeArrowheads="1"/>
                    </pic:cNvPicPr>
                  </pic:nvPicPr>
                  <pic:blipFill>
                    <a:blip r:embed="rId11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-3007360</wp:posOffset>
            </wp:positionV>
            <wp:extent cx="12700" cy="8890"/>
            <wp:wrapNone/>
            <wp:docPr id="1173" name="Picture 1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3"/>
                    <pic:cNvPicPr>
                      <a:picLocks noChangeAspect="1" noChangeArrowheads="1"/>
                    </pic:cNvPicPr>
                  </pic:nvPicPr>
                  <pic:blipFill>
                    <a:blip r:embed="rId11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-1918335</wp:posOffset>
            </wp:positionV>
            <wp:extent cx="12700" cy="8890"/>
            <wp:wrapNone/>
            <wp:docPr id="1174" name="Picture 1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4"/>
                    <pic:cNvPicPr>
                      <a:picLocks noChangeAspect="1" noChangeArrowheads="1"/>
                    </pic:cNvPicPr>
                  </pic:nvPicPr>
                  <pic:blipFill>
                    <a:blip r:embed="rId11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3056255</wp:posOffset>
            </wp:positionH>
            <wp:positionV relativeFrom="paragraph">
              <wp:posOffset>-1918335</wp:posOffset>
            </wp:positionV>
            <wp:extent cx="12700" cy="8890"/>
            <wp:wrapNone/>
            <wp:docPr id="1175" name="Picture 1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5"/>
                    <pic:cNvPicPr>
                      <a:picLocks noChangeAspect="1" noChangeArrowheads="1"/>
                    </pic:cNvPicPr>
                  </pic:nvPicPr>
                  <pic:blipFill>
                    <a:blip r:embed="rId11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-1918335</wp:posOffset>
            </wp:positionV>
            <wp:extent cx="12700" cy="8890"/>
            <wp:wrapNone/>
            <wp:docPr id="1176" name="Picture 1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6"/>
                    <pic:cNvPicPr>
                      <a:picLocks noChangeAspect="1" noChangeArrowheads="1"/>
                    </pic:cNvPicPr>
                  </pic:nvPicPr>
                  <pic:blipFill>
                    <a:blip r:embed="rId11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3964940</wp:posOffset>
            </wp:positionH>
            <wp:positionV relativeFrom="paragraph">
              <wp:posOffset>-1918335</wp:posOffset>
            </wp:positionV>
            <wp:extent cx="12700" cy="8890"/>
            <wp:wrapNone/>
            <wp:docPr id="1177" name="Picture 1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7"/>
                    <pic:cNvPicPr>
                      <a:picLocks noChangeAspect="1" noChangeArrowheads="1"/>
                    </pic:cNvPicPr>
                  </pic:nvPicPr>
                  <pic:blipFill>
                    <a:blip r:embed="rId11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-1918335</wp:posOffset>
            </wp:positionV>
            <wp:extent cx="12700" cy="8890"/>
            <wp:wrapNone/>
            <wp:docPr id="1178" name="Picture 1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8"/>
                    <pic:cNvPicPr>
                      <a:picLocks noChangeAspect="1" noChangeArrowheads="1"/>
                    </pic:cNvPicPr>
                  </pic:nvPicPr>
                  <pic:blipFill>
                    <a:blip r:embed="rId11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-1918335</wp:posOffset>
            </wp:positionV>
            <wp:extent cx="12700" cy="8890"/>
            <wp:wrapNone/>
            <wp:docPr id="1179" name="Picture 1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9"/>
                    <pic:cNvPicPr>
                      <a:picLocks noChangeAspect="1" noChangeArrowheads="1"/>
                    </pic:cNvPicPr>
                  </pic:nvPicPr>
                  <pic:blipFill>
                    <a:blip r:embed="rId11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6941185</wp:posOffset>
            </wp:positionH>
            <wp:positionV relativeFrom="paragraph">
              <wp:posOffset>-1918335</wp:posOffset>
            </wp:positionV>
            <wp:extent cx="12700" cy="8890"/>
            <wp:wrapNone/>
            <wp:docPr id="1180" name="Picture 1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0"/>
                    <pic:cNvPicPr>
                      <a:picLocks noChangeAspect="1" noChangeArrowheads="1"/>
                    </pic:cNvPicPr>
                  </pic:nvPicPr>
                  <pic:blipFill>
                    <a:blip r:embed="rId11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-1918335</wp:posOffset>
            </wp:positionV>
            <wp:extent cx="12700" cy="8890"/>
            <wp:wrapNone/>
            <wp:docPr id="1181" name="Picture 1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1"/>
                    <pic:cNvPicPr>
                      <a:picLocks noChangeAspect="1" noChangeArrowheads="1"/>
                    </pic:cNvPicPr>
                  </pic:nvPicPr>
                  <pic:blipFill>
                    <a:blip r:embed="rId11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-1489075</wp:posOffset>
            </wp:positionV>
            <wp:extent cx="12700" cy="8890"/>
            <wp:wrapNone/>
            <wp:docPr id="1182" name="Picture 1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2"/>
                    <pic:cNvPicPr>
                      <a:picLocks noChangeAspect="1" noChangeArrowheads="1"/>
                    </pic:cNvPicPr>
                  </pic:nvPicPr>
                  <pic:blipFill>
                    <a:blip r:embed="rId11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3056255</wp:posOffset>
            </wp:positionH>
            <wp:positionV relativeFrom="paragraph">
              <wp:posOffset>-1489075</wp:posOffset>
            </wp:positionV>
            <wp:extent cx="12700" cy="8890"/>
            <wp:wrapNone/>
            <wp:docPr id="1183" name="Picture 1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3"/>
                    <pic:cNvPicPr>
                      <a:picLocks noChangeAspect="1" noChangeArrowheads="1"/>
                    </pic:cNvPicPr>
                  </pic:nvPicPr>
                  <pic:blipFill>
                    <a:blip r:embed="rId11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-1489075</wp:posOffset>
            </wp:positionV>
            <wp:extent cx="12700" cy="8890"/>
            <wp:wrapNone/>
            <wp:docPr id="1184" name="Picture 1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4"/>
                    <pic:cNvPicPr>
                      <a:picLocks noChangeAspect="1" noChangeArrowheads="1"/>
                    </pic:cNvPicPr>
                  </pic:nvPicPr>
                  <pic:blipFill>
                    <a:blip r:embed="rId11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3964940</wp:posOffset>
            </wp:positionH>
            <wp:positionV relativeFrom="paragraph">
              <wp:posOffset>-1489075</wp:posOffset>
            </wp:positionV>
            <wp:extent cx="12700" cy="8890"/>
            <wp:wrapNone/>
            <wp:docPr id="1185" name="Picture 1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5"/>
                    <pic:cNvPicPr>
                      <a:picLocks noChangeAspect="1" noChangeArrowheads="1"/>
                    </pic:cNvPicPr>
                  </pic:nvPicPr>
                  <pic:blipFill>
                    <a:blip r:embed="rId11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-1489075</wp:posOffset>
            </wp:positionV>
            <wp:extent cx="12700" cy="8890"/>
            <wp:wrapNone/>
            <wp:docPr id="1186" name="Picture 1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6"/>
                    <pic:cNvPicPr>
                      <a:picLocks noChangeAspect="1" noChangeArrowheads="1"/>
                    </pic:cNvPicPr>
                  </pic:nvPicPr>
                  <pic:blipFill>
                    <a:blip r:embed="rId11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-1489075</wp:posOffset>
            </wp:positionV>
            <wp:extent cx="12700" cy="8890"/>
            <wp:wrapNone/>
            <wp:docPr id="1187" name="Picture 1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7"/>
                    <pic:cNvPicPr>
                      <a:picLocks noChangeAspect="1" noChangeArrowheads="1"/>
                    </pic:cNvPicPr>
                  </pic:nvPicPr>
                  <pic:blipFill>
                    <a:blip r:embed="rId11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6941185</wp:posOffset>
            </wp:positionH>
            <wp:positionV relativeFrom="paragraph">
              <wp:posOffset>-1489075</wp:posOffset>
            </wp:positionV>
            <wp:extent cx="12700" cy="8890"/>
            <wp:wrapNone/>
            <wp:docPr id="1188" name="Picture 1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8"/>
                    <pic:cNvPicPr>
                      <a:picLocks noChangeAspect="1" noChangeArrowheads="1"/>
                    </pic:cNvPicPr>
                  </pic:nvPicPr>
                  <pic:blipFill>
                    <a:blip r:embed="rId11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-1489075</wp:posOffset>
            </wp:positionV>
            <wp:extent cx="12700" cy="8890"/>
            <wp:wrapNone/>
            <wp:docPr id="1189" name="Picture 1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9"/>
                    <pic:cNvPicPr>
                      <a:picLocks noChangeAspect="1" noChangeArrowheads="1"/>
                    </pic:cNvPicPr>
                  </pic:nvPicPr>
                  <pic:blipFill>
                    <a:blip r:embed="rId11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-923290</wp:posOffset>
            </wp:positionV>
            <wp:extent cx="12700" cy="8890"/>
            <wp:wrapNone/>
            <wp:docPr id="1190" name="Picture 1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0"/>
                    <pic:cNvPicPr>
                      <a:picLocks noChangeAspect="1" noChangeArrowheads="1"/>
                    </pic:cNvPicPr>
                  </pic:nvPicPr>
                  <pic:blipFill>
                    <a:blip r:embed="rId11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3056255</wp:posOffset>
            </wp:positionH>
            <wp:positionV relativeFrom="paragraph">
              <wp:posOffset>-923290</wp:posOffset>
            </wp:positionV>
            <wp:extent cx="12700" cy="8890"/>
            <wp:wrapNone/>
            <wp:docPr id="1191" name="Picture 1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1"/>
                    <pic:cNvPicPr>
                      <a:picLocks noChangeAspect="1" noChangeArrowheads="1"/>
                    </pic:cNvPicPr>
                  </pic:nvPicPr>
                  <pic:blipFill>
                    <a:blip r:embed="rId11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-923290</wp:posOffset>
            </wp:positionV>
            <wp:extent cx="12700" cy="8890"/>
            <wp:wrapNone/>
            <wp:docPr id="1192" name="Picture 1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2"/>
                    <pic:cNvPicPr>
                      <a:picLocks noChangeAspect="1" noChangeArrowheads="1"/>
                    </pic:cNvPicPr>
                  </pic:nvPicPr>
                  <pic:blipFill>
                    <a:blip r:embed="rId11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3964940</wp:posOffset>
            </wp:positionH>
            <wp:positionV relativeFrom="paragraph">
              <wp:posOffset>-923290</wp:posOffset>
            </wp:positionV>
            <wp:extent cx="12700" cy="8890"/>
            <wp:wrapNone/>
            <wp:docPr id="1193" name="Picture 1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3"/>
                    <pic:cNvPicPr>
                      <a:picLocks noChangeAspect="1" noChangeArrowheads="1"/>
                    </pic:cNvPicPr>
                  </pic:nvPicPr>
                  <pic:blipFill>
                    <a:blip r:embed="rId12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-923290</wp:posOffset>
            </wp:positionV>
            <wp:extent cx="12700" cy="8890"/>
            <wp:wrapNone/>
            <wp:docPr id="1194" name="Picture 1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4"/>
                    <pic:cNvPicPr>
                      <a:picLocks noChangeAspect="1" noChangeArrowheads="1"/>
                    </pic:cNvPicPr>
                  </pic:nvPicPr>
                  <pic:blipFill>
                    <a:blip r:embed="rId12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-923290</wp:posOffset>
            </wp:positionV>
            <wp:extent cx="12700" cy="8890"/>
            <wp:wrapNone/>
            <wp:docPr id="1195" name="Picture 1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5"/>
                    <pic:cNvPicPr>
                      <a:picLocks noChangeAspect="1" noChangeArrowheads="1"/>
                    </pic:cNvPicPr>
                  </pic:nvPicPr>
                  <pic:blipFill>
                    <a:blip r:embed="rId12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6941185</wp:posOffset>
            </wp:positionH>
            <wp:positionV relativeFrom="paragraph">
              <wp:posOffset>-923290</wp:posOffset>
            </wp:positionV>
            <wp:extent cx="12700" cy="8890"/>
            <wp:wrapNone/>
            <wp:docPr id="1196" name="Picture 1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6"/>
                    <pic:cNvPicPr>
                      <a:picLocks noChangeAspect="1" noChangeArrowheads="1"/>
                    </pic:cNvPicPr>
                  </pic:nvPicPr>
                  <pic:blipFill>
                    <a:blip r:embed="rId12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-923290</wp:posOffset>
            </wp:positionV>
            <wp:extent cx="12700" cy="8890"/>
            <wp:wrapNone/>
            <wp:docPr id="1197" name="Picture 1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7"/>
                    <pic:cNvPicPr>
                      <a:picLocks noChangeAspect="1" noChangeArrowheads="1"/>
                    </pic:cNvPicPr>
                  </pic:nvPicPr>
                  <pic:blipFill>
                    <a:blip r:embed="rId12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1198" name="Picture 1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8"/>
                    <pic:cNvPicPr>
                      <a:picLocks noChangeAspect="1" noChangeArrowheads="1"/>
                    </pic:cNvPicPr>
                  </pic:nvPicPr>
                  <pic:blipFill>
                    <a:blip r:embed="rId12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99" name="Picture 1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9"/>
                    <pic:cNvPicPr>
                      <a:picLocks noChangeAspect="1" noChangeArrowheads="1"/>
                    </pic:cNvPicPr>
                  </pic:nvPicPr>
                  <pic:blipFill>
                    <a:blip r:embed="rId120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5" w:lineRule="exact"/>
        <w:rPr>
          <w:sz w:val="20"/>
          <w:szCs w:val="20"/>
          <w:color w:val="auto"/>
        </w:rPr>
      </w:pPr>
    </w:p>
    <w:p>
      <w:pPr>
        <w:ind w:left="5540" w:right="4960" w:hanging="5532"/>
        <w:spacing w:after="0" w:line="525" w:lineRule="auto"/>
        <w:tabs>
          <w:tab w:leader="none" w:pos="5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Relates to the write-off of an investment in a utility services venture made in 2000. 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wp:posOffset>
            </wp:positionV>
            <wp:extent cx="7250430" cy="21590"/>
            <wp:wrapNone/>
            <wp:docPr id="1200" name="Picture 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0"/>
                    <pic:cNvPicPr>
                      <a:picLocks noChangeAspect="1" noChangeArrowheads="1"/>
                    </pic:cNvPicPr>
                  </pic:nvPicPr>
                  <pic:blipFill>
                    <a:blip r:embed="rId12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71"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4"/>
          <w:szCs w:val="14"/>
          <w:b w:val="1"/>
          <w:bCs w:val="1"/>
          <w:color w:val="auto"/>
        </w:rPr>
        <w:t>Quarter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3056255</wp:posOffset>
            </wp:positionH>
            <wp:positionV relativeFrom="paragraph">
              <wp:posOffset>69215</wp:posOffset>
            </wp:positionV>
            <wp:extent cx="3905885" cy="21590"/>
            <wp:wrapNone/>
            <wp:docPr id="1201" name="Picture 1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1"/>
                    <pic:cNvPicPr>
                      <a:picLocks noChangeAspect="1" noChangeArrowheads="1"/>
                    </pic:cNvPicPr>
                  </pic:nvPicPr>
                  <pic:blipFill>
                    <a:blip r:embed="rId1208">
                      <a:extLst>
                        <a:ext uri="{28A0092B-C50C-407E-A947-70E740481C1C}"/>
                      </a:extLst>
                    </a:blip>
                    <a:srcRect/>
                    <a:stretch>
                      <a:fillRect/>
                    </a:stretch>
                  </pic:blipFill>
                  <pic:spPr bwMode="auto">
                    <a:xfrm>
                      <a:off x="0" y="0"/>
                      <a:ext cx="3905885" cy="21590"/>
                    </a:xfrm>
                    <a:prstGeom prst="rect">
                      <a:avLst/>
                    </a:prstGeom>
                    <a:noFill/>
                  </pic:spPr>
                </pic:pic>
              </a:graphicData>
            </a:graphic>
          </wp:anchor>
        </w:drawing>
      </w:r>
    </w:p>
    <w:p>
      <w:pPr>
        <w:spacing w:after="0" w:line="211" w:lineRule="exact"/>
        <w:rPr>
          <w:sz w:val="20"/>
          <w:szCs w:val="20"/>
          <w:color w:val="auto"/>
        </w:rPr>
      </w:pPr>
    </w:p>
    <w:p>
      <w:pPr>
        <w:ind w:left="5120"/>
        <w:spacing w:after="0"/>
        <w:tabs>
          <w:tab w:leader="none" w:pos="6540" w:val="left"/>
          <w:tab w:leader="none" w:pos="7920" w:val="left"/>
          <w:tab w:leader="none" w:pos="9740" w:val="left"/>
        </w:tabs>
        <w:rPr>
          <w:sz w:val="20"/>
          <w:szCs w:val="20"/>
          <w:color w:val="auto"/>
        </w:rPr>
      </w:pPr>
      <w:r>
        <w:rPr>
          <w:rFonts w:ascii="Times New Roman" w:cs="Times New Roman" w:eastAsia="Times New Roman" w:hAnsi="Times New Roman"/>
          <w:sz w:val="14"/>
          <w:szCs w:val="14"/>
          <w:b w:val="1"/>
          <w:bCs w:val="1"/>
          <w:color w:val="auto"/>
        </w:rPr>
        <w:t>March 31,</w:t>
      </w:r>
      <w:r>
        <w:rPr>
          <w:sz w:val="20"/>
          <w:szCs w:val="20"/>
          <w:color w:val="auto"/>
        </w:rPr>
        <w:tab/>
      </w:r>
      <w:r>
        <w:rPr>
          <w:rFonts w:ascii="Times New Roman" w:cs="Times New Roman" w:eastAsia="Times New Roman" w:hAnsi="Times New Roman"/>
          <w:sz w:val="14"/>
          <w:szCs w:val="14"/>
          <w:b w:val="1"/>
          <w:bCs w:val="1"/>
          <w:color w:val="auto"/>
        </w:rPr>
        <w:t>June 30,</w:t>
      </w:r>
      <w:r>
        <w:rPr>
          <w:sz w:val="20"/>
          <w:szCs w:val="20"/>
          <w:color w:val="auto"/>
        </w:rPr>
        <w:tab/>
      </w:r>
      <w:r>
        <w:rPr>
          <w:rFonts w:ascii="Times New Roman" w:cs="Times New Roman" w:eastAsia="Times New Roman" w:hAnsi="Times New Roman"/>
          <w:sz w:val="14"/>
          <w:szCs w:val="14"/>
          <w:b w:val="1"/>
          <w:bCs w:val="1"/>
          <w:color w:val="auto"/>
        </w:rPr>
        <w:t>September 30,</w:t>
      </w:r>
      <w:r>
        <w:rPr>
          <w:sz w:val="20"/>
          <w:szCs w:val="20"/>
          <w:color w:val="auto"/>
        </w:rPr>
        <w:tab/>
      </w:r>
      <w:r>
        <w:rPr>
          <w:rFonts w:ascii="Times New Roman" w:cs="Times New Roman" w:eastAsia="Times New Roman" w:hAnsi="Times New Roman"/>
          <w:sz w:val="12"/>
          <w:szCs w:val="12"/>
          <w:b w:val="1"/>
          <w:bCs w:val="1"/>
          <w:color w:val="auto"/>
        </w:rPr>
        <w:t>December 31,</w:t>
      </w:r>
    </w:p>
    <w:p>
      <w:pPr>
        <w:sectPr>
          <w:pgSz w:w="11900" w:h="16838" w:orient="portrait"/>
          <w:cols w:equalWidth="0" w:num="1">
            <w:col w:w="11340"/>
          </w:cols>
          <w:pgMar w:left="240" w:top="382" w:right="319" w:bottom="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4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2002</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2002</w:t>
            </w: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2002</w:t>
            </w: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2002</w:t>
            </w: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80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560" w:type="dxa"/>
            <w:vAlign w:val="bottom"/>
            <w:tcBorders>
              <w:bottom w:val="single" w:sz="8" w:color="808080"/>
            </w:tcBorders>
            <w:gridSpan w:val="2"/>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48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6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 except per share amounts)</w:t>
            </w:r>
          </w:p>
        </w:tc>
        <w:tc>
          <w:tcPr>
            <w:tcW w:w="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4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8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210,339</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205,541</w:t>
            </w:r>
          </w:p>
        </w:tc>
        <w:tc>
          <w:tcPr>
            <w:tcW w:w="22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jc w:val="right"/>
              <w:ind w:right="198"/>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218,739</w:t>
            </w:r>
          </w:p>
        </w:tc>
        <w:tc>
          <w:tcPr>
            <w:tcW w:w="6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236,832</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195,527</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187,408</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195,822</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212,047</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loss (gain) on interest rate derivative</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(387)</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5,647</w:t>
            </w:r>
          </w:p>
        </w:tc>
        <w:tc>
          <w:tcPr>
            <w:tcW w:w="22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5,155</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1,602</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6,294</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4,969</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4,952</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480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8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 and extraordinary item</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8,905</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7,486</w:t>
            </w:r>
          </w:p>
        </w:tc>
        <w:tc>
          <w:tcPr>
            <w:tcW w:w="22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12,793</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18,231</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4,446</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3,552</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5,022</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7,652</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480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8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extraordinary item</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4,459</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3,934</w:t>
            </w:r>
          </w:p>
        </w:tc>
        <w:tc>
          <w:tcPr>
            <w:tcW w:w="22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7,771</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10,579</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0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Loss from extinguishment of debt (less applicable income taxes</w:t>
            </w: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 $292)</w:t>
            </w:r>
          </w:p>
        </w:tc>
        <w:tc>
          <w:tcPr>
            <w:tcW w:w="28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(542)</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480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8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4,459</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3,392</w:t>
            </w:r>
          </w:p>
        </w:tc>
        <w:tc>
          <w:tcPr>
            <w:tcW w:w="22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jc w:val="right"/>
              <w:ind w:right="198"/>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7,771</w:t>
            </w:r>
          </w:p>
        </w:tc>
        <w:tc>
          <w:tcPr>
            <w:tcW w:w="6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10,579</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4820" w:type="dxa"/>
            <w:vAlign w:val="bottom"/>
            <w:gridSpan w:val="2"/>
          </w:tcPr>
          <w:p>
            <w:pPr>
              <w:spacing w:after="0"/>
              <w:rPr>
                <w:sz w:val="9"/>
                <w:szCs w:val="9"/>
                <w:color w:val="auto"/>
              </w:rPr>
            </w:pPr>
          </w:p>
        </w:tc>
        <w:tc>
          <w:tcPr>
            <w:tcW w:w="28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4820" w:type="dxa"/>
            <w:vAlign w:val="bottom"/>
            <w:gridSpan w:val="2"/>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12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1220" w:type="dxa"/>
            <w:vAlign w:val="bottom"/>
            <w:shd w:val="clear" w:color="auto" w:fill="808080"/>
          </w:tcPr>
          <w:p>
            <w:pPr>
              <w:spacing w:after="0"/>
              <w:rPr>
                <w:sz w:val="5"/>
                <w:szCs w:val="5"/>
                <w:color w:val="auto"/>
              </w:rPr>
            </w:pPr>
          </w:p>
        </w:tc>
        <w:tc>
          <w:tcPr>
            <w:tcW w:w="460" w:type="dxa"/>
            <w:vAlign w:val="bottom"/>
            <w:tcBorders>
              <w:left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per share before extraordinary item—basic</w:t>
            </w:r>
          </w:p>
        </w:tc>
        <w:tc>
          <w:tcPr>
            <w:tcW w:w="28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200" w:type="dxa"/>
            <w:vAlign w:val="bottom"/>
          </w:tcPr>
          <w:p>
            <w:pPr>
              <w:spacing w:after="0"/>
              <w:rPr>
                <w:sz w:val="24"/>
                <w:szCs w:val="24"/>
                <w:color w:val="auto"/>
              </w:rPr>
            </w:pP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220" w:type="dxa"/>
            <w:vAlign w:val="bottom"/>
          </w:tcPr>
          <w:p>
            <w:pPr>
              <w:spacing w:after="0"/>
              <w:rPr>
                <w:sz w:val="24"/>
                <w:szCs w:val="24"/>
                <w:color w:val="auto"/>
              </w:rPr>
            </w:pPr>
          </w:p>
        </w:tc>
        <w:tc>
          <w:tcPr>
            <w:tcW w:w="36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6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8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80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12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1220" w:type="dxa"/>
            <w:vAlign w:val="bottom"/>
            <w:shd w:val="clear" w:color="auto" w:fill="808080"/>
          </w:tcPr>
          <w:p>
            <w:pPr>
              <w:spacing w:after="0"/>
              <w:rPr>
                <w:sz w:val="5"/>
                <w:szCs w:val="5"/>
                <w:color w:val="auto"/>
              </w:rPr>
            </w:pPr>
          </w:p>
        </w:tc>
        <w:tc>
          <w:tcPr>
            <w:tcW w:w="460" w:type="dxa"/>
            <w:vAlign w:val="bottom"/>
            <w:tcBorders>
              <w:left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8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per share before extraordinary item—diluted</w:t>
            </w:r>
          </w:p>
        </w:tc>
        <w:tc>
          <w:tcPr>
            <w:tcW w:w="28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22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jc w:val="right"/>
              <w:ind w:right="198"/>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6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4820" w:type="dxa"/>
            <w:vAlign w:val="bottom"/>
            <w:gridSpan w:val="2"/>
          </w:tcPr>
          <w:p>
            <w:pPr>
              <w:spacing w:after="0"/>
              <w:rPr>
                <w:sz w:val="9"/>
                <w:szCs w:val="9"/>
                <w:color w:val="auto"/>
              </w:rPr>
            </w:pPr>
          </w:p>
        </w:tc>
        <w:tc>
          <w:tcPr>
            <w:tcW w:w="28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0" w:type="dxa"/>
            <w:vAlign w:val="bottom"/>
            <w:gridSpan w:val="2"/>
          </w:tcPr>
          <w:p>
            <w:pPr>
              <w:spacing w:after="0"/>
              <w:rPr>
                <w:sz w:val="9"/>
                <w:szCs w:val="9"/>
                <w:color w:val="auto"/>
              </w:rPr>
            </w:pPr>
          </w:p>
        </w:tc>
        <w:tc>
          <w:tcPr>
            <w:tcW w:w="1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4820" w:type="dxa"/>
            <w:vAlign w:val="bottom"/>
            <w:gridSpan w:val="2"/>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12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1220" w:type="dxa"/>
            <w:vAlign w:val="bottom"/>
            <w:shd w:val="clear" w:color="auto" w:fill="808080"/>
          </w:tcPr>
          <w:p>
            <w:pPr>
              <w:spacing w:after="0"/>
              <w:rPr>
                <w:sz w:val="5"/>
                <w:szCs w:val="5"/>
                <w:color w:val="auto"/>
              </w:rPr>
            </w:pPr>
          </w:p>
        </w:tc>
        <w:tc>
          <w:tcPr>
            <w:tcW w:w="460" w:type="dxa"/>
            <w:vAlign w:val="bottom"/>
            <w:tcBorders>
              <w:left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per share—basic</w:t>
            </w:r>
          </w:p>
        </w:tc>
        <w:tc>
          <w:tcPr>
            <w:tcW w:w="28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200" w:type="dxa"/>
            <w:vAlign w:val="bottom"/>
          </w:tcPr>
          <w:p>
            <w:pPr>
              <w:spacing w:after="0"/>
              <w:rPr>
                <w:sz w:val="24"/>
                <w:szCs w:val="24"/>
                <w:color w:val="auto"/>
              </w:rPr>
            </w:pP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220" w:type="dxa"/>
            <w:vAlign w:val="bottom"/>
          </w:tcPr>
          <w:p>
            <w:pPr>
              <w:spacing w:after="0"/>
              <w:rPr>
                <w:sz w:val="24"/>
                <w:szCs w:val="24"/>
                <w:color w:val="auto"/>
              </w:rPr>
            </w:pPr>
          </w:p>
        </w:tc>
        <w:tc>
          <w:tcPr>
            <w:tcW w:w="36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6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8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80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12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1220" w:type="dxa"/>
            <w:vAlign w:val="bottom"/>
            <w:shd w:val="clear" w:color="auto" w:fill="808080"/>
          </w:tcPr>
          <w:p>
            <w:pPr>
              <w:spacing w:after="0"/>
              <w:rPr>
                <w:sz w:val="5"/>
                <w:szCs w:val="5"/>
                <w:color w:val="auto"/>
              </w:rPr>
            </w:pPr>
          </w:p>
        </w:tc>
        <w:tc>
          <w:tcPr>
            <w:tcW w:w="460" w:type="dxa"/>
            <w:vAlign w:val="bottom"/>
            <w:tcBorders>
              <w:left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8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per share—diluted</w:t>
            </w:r>
          </w:p>
        </w:tc>
        <w:tc>
          <w:tcPr>
            <w:tcW w:w="28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22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jc w:val="right"/>
              <w:ind w:right="198"/>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6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8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40" w:type="dxa"/>
            <w:vAlign w:val="bottom"/>
            <w:gridSpan w:val="2"/>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80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12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1220" w:type="dxa"/>
            <w:vAlign w:val="bottom"/>
            <w:shd w:val="clear" w:color="auto" w:fill="808080"/>
          </w:tcPr>
          <w:p>
            <w:pPr>
              <w:spacing w:after="0"/>
              <w:rPr>
                <w:sz w:val="5"/>
                <w:szCs w:val="5"/>
                <w:color w:val="auto"/>
              </w:rPr>
            </w:pPr>
          </w:p>
        </w:tc>
        <w:tc>
          <w:tcPr>
            <w:tcW w:w="460" w:type="dxa"/>
            <w:vAlign w:val="bottom"/>
            <w:tcBorders>
              <w:left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F-37</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80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12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122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-4001770</wp:posOffset>
            </wp:positionV>
            <wp:extent cx="12700" cy="8890"/>
            <wp:wrapNone/>
            <wp:docPr id="1202" name="Picture 1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2"/>
                    <pic:cNvPicPr>
                      <a:picLocks noChangeAspect="1" noChangeArrowheads="1"/>
                    </pic:cNvPicPr>
                  </pic:nvPicPr>
                  <pic:blipFill>
                    <a:blip r:embed="rId12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3056255</wp:posOffset>
            </wp:positionH>
            <wp:positionV relativeFrom="paragraph">
              <wp:posOffset>-4001770</wp:posOffset>
            </wp:positionV>
            <wp:extent cx="12700" cy="8890"/>
            <wp:wrapNone/>
            <wp:docPr id="1203" name="Picture 1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3"/>
                    <pic:cNvPicPr>
                      <a:picLocks noChangeAspect="1" noChangeArrowheads="1"/>
                    </pic:cNvPicPr>
                  </pic:nvPicPr>
                  <pic:blipFill>
                    <a:blip r:embed="rId12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-4001770</wp:posOffset>
            </wp:positionV>
            <wp:extent cx="12700" cy="8890"/>
            <wp:wrapNone/>
            <wp:docPr id="1204" name="Picture 1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4"/>
                    <pic:cNvPicPr>
                      <a:picLocks noChangeAspect="1" noChangeArrowheads="1"/>
                    </pic:cNvPicPr>
                  </pic:nvPicPr>
                  <pic:blipFill>
                    <a:blip r:embed="rId12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3964940</wp:posOffset>
            </wp:positionH>
            <wp:positionV relativeFrom="paragraph">
              <wp:posOffset>-4001770</wp:posOffset>
            </wp:positionV>
            <wp:extent cx="12700" cy="8890"/>
            <wp:wrapNone/>
            <wp:docPr id="1205" name="Picture 1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5"/>
                    <pic:cNvPicPr>
                      <a:picLocks noChangeAspect="1" noChangeArrowheads="1"/>
                    </pic:cNvPicPr>
                  </pic:nvPicPr>
                  <pic:blipFill>
                    <a:blip r:embed="rId12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-4001770</wp:posOffset>
            </wp:positionV>
            <wp:extent cx="12700" cy="8890"/>
            <wp:wrapNone/>
            <wp:docPr id="1206" name="Picture 1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6"/>
                    <pic:cNvPicPr>
                      <a:picLocks noChangeAspect="1" noChangeArrowheads="1"/>
                    </pic:cNvPicPr>
                  </pic:nvPicPr>
                  <pic:blipFill>
                    <a:blip r:embed="rId12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-4001770</wp:posOffset>
            </wp:positionV>
            <wp:extent cx="12700" cy="8890"/>
            <wp:wrapNone/>
            <wp:docPr id="1207" name="Picture 1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7"/>
                    <pic:cNvPicPr>
                      <a:picLocks noChangeAspect="1" noChangeArrowheads="1"/>
                    </pic:cNvPicPr>
                  </pic:nvPicPr>
                  <pic:blipFill>
                    <a:blip r:embed="rId12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6949440</wp:posOffset>
            </wp:positionH>
            <wp:positionV relativeFrom="paragraph">
              <wp:posOffset>-4001770</wp:posOffset>
            </wp:positionV>
            <wp:extent cx="12700" cy="8890"/>
            <wp:wrapNone/>
            <wp:docPr id="1208" name="Picture 1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8"/>
                    <pic:cNvPicPr>
                      <a:picLocks noChangeAspect="1" noChangeArrowheads="1"/>
                    </pic:cNvPicPr>
                  </pic:nvPicPr>
                  <pic:blipFill>
                    <a:blip r:embed="rId12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-4001770</wp:posOffset>
            </wp:positionV>
            <wp:extent cx="12700" cy="8890"/>
            <wp:wrapNone/>
            <wp:docPr id="1209" name="Picture 1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9"/>
                    <pic:cNvPicPr>
                      <a:picLocks noChangeAspect="1" noChangeArrowheads="1"/>
                    </pic:cNvPicPr>
                  </pic:nvPicPr>
                  <pic:blipFill>
                    <a:blip r:embed="rId12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-3049905</wp:posOffset>
            </wp:positionV>
            <wp:extent cx="12700" cy="8890"/>
            <wp:wrapNone/>
            <wp:docPr id="1210" name="Picture 1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0"/>
                    <pic:cNvPicPr>
                      <a:picLocks noChangeAspect="1" noChangeArrowheads="1"/>
                    </pic:cNvPicPr>
                  </pic:nvPicPr>
                  <pic:blipFill>
                    <a:blip r:embed="rId12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3056255</wp:posOffset>
            </wp:positionH>
            <wp:positionV relativeFrom="paragraph">
              <wp:posOffset>-3049905</wp:posOffset>
            </wp:positionV>
            <wp:extent cx="12700" cy="8890"/>
            <wp:wrapNone/>
            <wp:docPr id="1211" name="Picture 1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1"/>
                    <pic:cNvPicPr>
                      <a:picLocks noChangeAspect="1" noChangeArrowheads="1"/>
                    </pic:cNvPicPr>
                  </pic:nvPicPr>
                  <pic:blipFill>
                    <a:blip r:embed="rId12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-3049905</wp:posOffset>
            </wp:positionV>
            <wp:extent cx="12700" cy="8890"/>
            <wp:wrapNone/>
            <wp:docPr id="1212" name="Picture 1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2"/>
                    <pic:cNvPicPr>
                      <a:picLocks noChangeAspect="1" noChangeArrowheads="1"/>
                    </pic:cNvPicPr>
                  </pic:nvPicPr>
                  <pic:blipFill>
                    <a:blip r:embed="rId12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3964940</wp:posOffset>
            </wp:positionH>
            <wp:positionV relativeFrom="paragraph">
              <wp:posOffset>-3049905</wp:posOffset>
            </wp:positionV>
            <wp:extent cx="12700" cy="8890"/>
            <wp:wrapNone/>
            <wp:docPr id="1213" name="Picture 1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3"/>
                    <pic:cNvPicPr>
                      <a:picLocks noChangeAspect="1" noChangeArrowheads="1"/>
                    </pic:cNvPicPr>
                  </pic:nvPicPr>
                  <pic:blipFill>
                    <a:blip r:embed="rId12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-3049905</wp:posOffset>
            </wp:positionV>
            <wp:extent cx="12700" cy="8890"/>
            <wp:wrapNone/>
            <wp:docPr id="1214" name="Picture 1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4"/>
                    <pic:cNvPicPr>
                      <a:picLocks noChangeAspect="1" noChangeArrowheads="1"/>
                    </pic:cNvPicPr>
                  </pic:nvPicPr>
                  <pic:blipFill>
                    <a:blip r:embed="rId12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-3049905</wp:posOffset>
            </wp:positionV>
            <wp:extent cx="12700" cy="8890"/>
            <wp:wrapNone/>
            <wp:docPr id="1215" name="Picture 1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5"/>
                    <pic:cNvPicPr>
                      <a:picLocks noChangeAspect="1" noChangeArrowheads="1"/>
                    </pic:cNvPicPr>
                  </pic:nvPicPr>
                  <pic:blipFill>
                    <a:blip r:embed="rId12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6949440</wp:posOffset>
            </wp:positionH>
            <wp:positionV relativeFrom="paragraph">
              <wp:posOffset>-3049905</wp:posOffset>
            </wp:positionV>
            <wp:extent cx="12700" cy="8890"/>
            <wp:wrapNone/>
            <wp:docPr id="1216" name="Picture 1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6"/>
                    <pic:cNvPicPr>
                      <a:picLocks noChangeAspect="1" noChangeArrowheads="1"/>
                    </pic:cNvPicPr>
                  </pic:nvPicPr>
                  <pic:blipFill>
                    <a:blip r:embed="rId12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-3049905</wp:posOffset>
            </wp:positionV>
            <wp:extent cx="12700" cy="8890"/>
            <wp:wrapNone/>
            <wp:docPr id="1217" name="Picture 1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7"/>
                    <pic:cNvPicPr>
                      <a:picLocks noChangeAspect="1" noChangeArrowheads="1"/>
                    </pic:cNvPicPr>
                  </pic:nvPicPr>
                  <pic:blipFill>
                    <a:blip r:embed="rId12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-2621280</wp:posOffset>
            </wp:positionV>
            <wp:extent cx="12700" cy="8890"/>
            <wp:wrapNone/>
            <wp:docPr id="1218" name="Picture 1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8"/>
                    <pic:cNvPicPr>
                      <a:picLocks noChangeAspect="1" noChangeArrowheads="1"/>
                    </pic:cNvPicPr>
                  </pic:nvPicPr>
                  <pic:blipFill>
                    <a:blip r:embed="rId12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3056255</wp:posOffset>
            </wp:positionH>
            <wp:positionV relativeFrom="paragraph">
              <wp:posOffset>-2621280</wp:posOffset>
            </wp:positionV>
            <wp:extent cx="12700" cy="8890"/>
            <wp:wrapNone/>
            <wp:docPr id="1219" name="Picture 1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9"/>
                    <pic:cNvPicPr>
                      <a:picLocks noChangeAspect="1" noChangeArrowheads="1"/>
                    </pic:cNvPicPr>
                  </pic:nvPicPr>
                  <pic:blipFill>
                    <a:blip r:embed="rId12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-2621280</wp:posOffset>
            </wp:positionV>
            <wp:extent cx="12700" cy="8890"/>
            <wp:wrapNone/>
            <wp:docPr id="1220" name="Picture 1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0"/>
                    <pic:cNvPicPr>
                      <a:picLocks noChangeAspect="1" noChangeArrowheads="1"/>
                    </pic:cNvPicPr>
                  </pic:nvPicPr>
                  <pic:blipFill>
                    <a:blip r:embed="rId12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3964940</wp:posOffset>
            </wp:positionH>
            <wp:positionV relativeFrom="paragraph">
              <wp:posOffset>-2621280</wp:posOffset>
            </wp:positionV>
            <wp:extent cx="12700" cy="8890"/>
            <wp:wrapNone/>
            <wp:docPr id="1221" name="Picture 1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1"/>
                    <pic:cNvPicPr>
                      <a:picLocks noChangeAspect="1" noChangeArrowheads="1"/>
                    </pic:cNvPicPr>
                  </pic:nvPicPr>
                  <pic:blipFill>
                    <a:blip r:embed="rId12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-2621280</wp:posOffset>
            </wp:positionV>
            <wp:extent cx="12700" cy="8890"/>
            <wp:wrapNone/>
            <wp:docPr id="1222" name="Picture 1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2"/>
                    <pic:cNvPicPr>
                      <a:picLocks noChangeAspect="1" noChangeArrowheads="1"/>
                    </pic:cNvPicPr>
                  </pic:nvPicPr>
                  <pic:blipFill>
                    <a:blip r:embed="rId12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-2621280</wp:posOffset>
            </wp:positionV>
            <wp:extent cx="12700" cy="8890"/>
            <wp:wrapNone/>
            <wp:docPr id="1223" name="Picture 1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3"/>
                    <pic:cNvPicPr>
                      <a:picLocks noChangeAspect="1" noChangeArrowheads="1"/>
                    </pic:cNvPicPr>
                  </pic:nvPicPr>
                  <pic:blipFill>
                    <a:blip r:embed="rId12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6949440</wp:posOffset>
            </wp:positionH>
            <wp:positionV relativeFrom="paragraph">
              <wp:posOffset>-2621280</wp:posOffset>
            </wp:positionV>
            <wp:extent cx="12700" cy="8890"/>
            <wp:wrapNone/>
            <wp:docPr id="1224" name="Picture 1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4"/>
                    <pic:cNvPicPr>
                      <a:picLocks noChangeAspect="1" noChangeArrowheads="1"/>
                    </pic:cNvPicPr>
                  </pic:nvPicPr>
                  <pic:blipFill>
                    <a:blip r:embed="rId12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-2621280</wp:posOffset>
            </wp:positionV>
            <wp:extent cx="12700" cy="8890"/>
            <wp:wrapNone/>
            <wp:docPr id="1225" name="Picture 1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5"/>
                    <pic:cNvPicPr>
                      <a:picLocks noChangeAspect="1" noChangeArrowheads="1"/>
                    </pic:cNvPicPr>
                  </pic:nvPicPr>
                  <pic:blipFill>
                    <a:blip r:embed="rId12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-2055495</wp:posOffset>
            </wp:positionV>
            <wp:extent cx="12700" cy="8890"/>
            <wp:wrapNone/>
            <wp:docPr id="1226" name="Picture 1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6"/>
                    <pic:cNvPicPr>
                      <a:picLocks noChangeAspect="1" noChangeArrowheads="1"/>
                    </pic:cNvPicPr>
                  </pic:nvPicPr>
                  <pic:blipFill>
                    <a:blip r:embed="rId12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3056255</wp:posOffset>
            </wp:positionH>
            <wp:positionV relativeFrom="paragraph">
              <wp:posOffset>-2055495</wp:posOffset>
            </wp:positionV>
            <wp:extent cx="12700" cy="8890"/>
            <wp:wrapNone/>
            <wp:docPr id="1227" name="Picture 1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7"/>
                    <pic:cNvPicPr>
                      <a:picLocks noChangeAspect="1" noChangeArrowheads="1"/>
                    </pic:cNvPicPr>
                  </pic:nvPicPr>
                  <pic:blipFill>
                    <a:blip r:embed="rId12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-2055495</wp:posOffset>
            </wp:positionV>
            <wp:extent cx="12700" cy="8890"/>
            <wp:wrapNone/>
            <wp:docPr id="1228" name="Picture 1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8"/>
                    <pic:cNvPicPr>
                      <a:picLocks noChangeAspect="1" noChangeArrowheads="1"/>
                    </pic:cNvPicPr>
                  </pic:nvPicPr>
                  <pic:blipFill>
                    <a:blip r:embed="rId12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3964940</wp:posOffset>
            </wp:positionH>
            <wp:positionV relativeFrom="paragraph">
              <wp:posOffset>-2055495</wp:posOffset>
            </wp:positionV>
            <wp:extent cx="12700" cy="8890"/>
            <wp:wrapNone/>
            <wp:docPr id="1229" name="Picture 1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9"/>
                    <pic:cNvPicPr>
                      <a:picLocks noChangeAspect="1" noChangeArrowheads="1"/>
                    </pic:cNvPicPr>
                  </pic:nvPicPr>
                  <pic:blipFill>
                    <a:blip r:embed="rId12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-2055495</wp:posOffset>
            </wp:positionV>
            <wp:extent cx="12700" cy="8890"/>
            <wp:wrapNone/>
            <wp:docPr id="1230" name="Picture 1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0"/>
                    <pic:cNvPicPr>
                      <a:picLocks noChangeAspect="1" noChangeArrowheads="1"/>
                    </pic:cNvPicPr>
                  </pic:nvPicPr>
                  <pic:blipFill>
                    <a:blip r:embed="rId12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-2055495</wp:posOffset>
            </wp:positionV>
            <wp:extent cx="12700" cy="8890"/>
            <wp:wrapNone/>
            <wp:docPr id="1231" name="Picture 1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1"/>
                    <pic:cNvPicPr>
                      <a:picLocks noChangeAspect="1" noChangeArrowheads="1"/>
                    </pic:cNvPicPr>
                  </pic:nvPicPr>
                  <pic:blipFill>
                    <a:blip r:embed="rId12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6949440</wp:posOffset>
            </wp:positionH>
            <wp:positionV relativeFrom="paragraph">
              <wp:posOffset>-2055495</wp:posOffset>
            </wp:positionV>
            <wp:extent cx="12700" cy="8890"/>
            <wp:wrapNone/>
            <wp:docPr id="1232" name="Picture 1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2"/>
                    <pic:cNvPicPr>
                      <a:picLocks noChangeAspect="1" noChangeArrowheads="1"/>
                    </pic:cNvPicPr>
                  </pic:nvPicPr>
                  <pic:blipFill>
                    <a:blip r:embed="rId12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-2055495</wp:posOffset>
            </wp:positionV>
            <wp:extent cx="12700" cy="8890"/>
            <wp:wrapNone/>
            <wp:docPr id="1233" name="Picture 1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3"/>
                    <pic:cNvPicPr>
                      <a:picLocks noChangeAspect="1" noChangeArrowheads="1"/>
                    </pic:cNvPicPr>
                  </pic:nvPicPr>
                  <pic:blipFill>
                    <a:blip r:embed="rId12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34" name="Picture 1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4"/>
                    <pic:cNvPicPr>
                      <a:picLocks noChangeAspect="1" noChangeArrowheads="1"/>
                    </pic:cNvPicPr>
                  </pic:nvPicPr>
                  <pic:blipFill>
                    <a:blip r:embed="rId12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35" name="Picture 1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5"/>
                    <pic:cNvPicPr>
                      <a:picLocks noChangeAspect="1" noChangeArrowheads="1"/>
                    </pic:cNvPicPr>
                  </pic:nvPicPr>
                  <pic:blipFill>
                    <a:blip r:embed="rId124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9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7" w:lineRule="exact"/>
        <w:rPr>
          <w:sz w:val="20"/>
          <w:szCs w:val="20"/>
          <w:color w:val="auto"/>
        </w:rPr>
      </w:pPr>
    </w:p>
    <w:p>
      <w:pPr>
        <w:ind w:right="100" w:firstLine="351"/>
        <w:spacing w:after="0" w:line="275"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Alliance Data Systems Corporation has duly caused this annual report on Form 10-K to be signed on its behalf by the undersigned, thereunto duly authorized.</w:t>
      </w:r>
    </w:p>
    <w:p>
      <w:pPr>
        <w:spacing w:after="0" w:line="200" w:lineRule="exact"/>
        <w:rPr>
          <w:sz w:val="20"/>
          <w:szCs w:val="20"/>
          <w:color w:val="auto"/>
        </w:rPr>
      </w:pPr>
    </w:p>
    <w:p>
      <w:pPr>
        <w:spacing w:after="0" w:line="21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ALLIANCE DATA SYSTEMS CORPORATION</w:t>
      </w:r>
    </w:p>
    <w:p>
      <w:pPr>
        <w:spacing w:after="0" w:line="225" w:lineRule="exact"/>
        <w:rPr>
          <w:sz w:val="20"/>
          <w:szCs w:val="20"/>
          <w:color w:val="auto"/>
        </w:rPr>
      </w:pPr>
    </w:p>
    <w:p>
      <w:pPr>
        <w:spacing w:after="0"/>
        <w:tabs>
          <w:tab w:leader="none" w:pos="5720" w:val="left"/>
          <w:tab w:leader="none" w:pos="7740" w:val="left"/>
        </w:tabs>
        <w:rPr>
          <w:sz w:val="20"/>
          <w:szCs w:val="20"/>
          <w:color w:val="auto"/>
        </w:rPr>
      </w:pPr>
      <w:r>
        <w:rPr>
          <w:rFonts w:ascii="Times New Roman" w:cs="Times New Roman" w:eastAsia="Times New Roman" w:hAnsi="Times New Roman"/>
          <w:sz w:val="18"/>
          <w:szCs w:val="18"/>
          <w:color w:val="auto"/>
        </w:rPr>
        <w:t>Date: March 12, 2003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6"/>
          <w:szCs w:val="16"/>
          <w:color w:val="auto"/>
        </w:rPr>
        <w:t>/s/ J. MICHAEL PARKS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81280</wp:posOffset>
            </wp:positionV>
            <wp:extent cx="3331845" cy="21590"/>
            <wp:wrapNone/>
            <wp:docPr id="1236" name="Picture 1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6"/>
                    <pic:cNvPicPr>
                      <a:picLocks noChangeAspect="1" noChangeArrowheads="1"/>
                    </pic:cNvPicPr>
                  </pic:nvPicPr>
                  <pic:blipFill>
                    <a:blip r:embed="rId1243">
                      <a:extLst>
                        <a:ext uri="{28A0092B-C50C-407E-A947-70E740481C1C}"/>
                      </a:extLst>
                    </a:blip>
                    <a:srcRect/>
                    <a:stretch>
                      <a:fillRect/>
                    </a:stretch>
                  </pic:blipFill>
                  <pic:spPr bwMode="auto">
                    <a:xfrm>
                      <a:off x="0" y="0"/>
                      <a:ext cx="3331845" cy="21590"/>
                    </a:xfrm>
                    <a:prstGeom prst="rect">
                      <a:avLst/>
                    </a:prstGeom>
                    <a:noFill/>
                  </pic:spPr>
                </pic:pic>
              </a:graphicData>
            </a:graphic>
          </wp:anchor>
        </w:drawing>
      </w:r>
    </w:p>
    <w:p>
      <w:pPr>
        <w:spacing w:after="0" w:line="232" w:lineRule="exact"/>
        <w:rPr>
          <w:sz w:val="20"/>
          <w:szCs w:val="20"/>
          <w:color w:val="auto"/>
        </w:rPr>
      </w:pPr>
    </w:p>
    <w:p>
      <w:pPr>
        <w:jc w:val="center"/>
        <w:ind w:left="6180"/>
        <w:spacing w:after="0"/>
        <w:rPr>
          <w:sz w:val="20"/>
          <w:szCs w:val="20"/>
          <w:color w:val="auto"/>
        </w:rPr>
      </w:pPr>
      <w:r>
        <w:rPr>
          <w:rFonts w:ascii="Times New Roman" w:cs="Times New Roman" w:eastAsia="Times New Roman" w:hAnsi="Times New Roman"/>
          <w:sz w:val="18"/>
          <w:szCs w:val="18"/>
          <w:color w:val="auto"/>
        </w:rPr>
        <w:t>J. Michael Parks</w:t>
      </w:r>
    </w:p>
    <w:p>
      <w:pPr>
        <w:spacing w:after="0" w:line="21" w:lineRule="exact"/>
        <w:rPr>
          <w:sz w:val="20"/>
          <w:szCs w:val="20"/>
          <w:color w:val="auto"/>
        </w:rPr>
      </w:pPr>
    </w:p>
    <w:p>
      <w:pPr>
        <w:jc w:val="center"/>
        <w:ind w:left="6180"/>
        <w:spacing w:after="0"/>
        <w:rPr>
          <w:sz w:val="20"/>
          <w:szCs w:val="20"/>
          <w:color w:val="auto"/>
        </w:rPr>
      </w:pPr>
      <w:r>
        <w:rPr>
          <w:rFonts w:ascii="Times New Roman" w:cs="Times New Roman" w:eastAsia="Times New Roman" w:hAnsi="Times New Roman"/>
          <w:sz w:val="18"/>
          <w:szCs w:val="18"/>
          <w:i w:val="1"/>
          <w:iCs w:val="1"/>
          <w:color w:val="auto"/>
        </w:rPr>
        <w:t>Chairman of the Board, Chief Executive Officer</w:t>
      </w:r>
    </w:p>
    <w:p>
      <w:pPr>
        <w:spacing w:after="0" w:line="9" w:lineRule="exact"/>
        <w:rPr>
          <w:sz w:val="20"/>
          <w:szCs w:val="20"/>
          <w:color w:val="auto"/>
        </w:rPr>
      </w:pPr>
    </w:p>
    <w:p>
      <w:pPr>
        <w:jc w:val="center"/>
        <w:ind w:left="6180"/>
        <w:spacing w:after="0"/>
        <w:rPr>
          <w:sz w:val="20"/>
          <w:szCs w:val="20"/>
          <w:color w:val="auto"/>
        </w:rPr>
      </w:pPr>
      <w:r>
        <w:rPr>
          <w:rFonts w:ascii="Times New Roman" w:cs="Times New Roman" w:eastAsia="Times New Roman" w:hAnsi="Times New Roman"/>
          <w:sz w:val="18"/>
          <w:szCs w:val="18"/>
          <w:i w:val="1"/>
          <w:iCs w:val="1"/>
          <w:color w:val="auto"/>
        </w:rPr>
        <w:t>and Director</w:t>
      </w:r>
    </w:p>
    <w:p>
      <w:pPr>
        <w:spacing w:after="0" w:line="213" w:lineRule="exact"/>
        <w:rPr>
          <w:sz w:val="20"/>
          <w:szCs w:val="20"/>
          <w:color w:val="auto"/>
        </w:rPr>
      </w:pPr>
    </w:p>
    <w:p>
      <w:pPr>
        <w:ind w:right="200" w:firstLine="351"/>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and Exchange Act of 1934, this report has been signed below by the following persons on behalf of Alliance Data Systems Corporation and in the capacities and on the dates indicated.</w:t>
      </w:r>
    </w:p>
    <w:p>
      <w:pPr>
        <w:spacing w:after="0" w:line="171" w:lineRule="exact"/>
        <w:rPr>
          <w:sz w:val="20"/>
          <w:szCs w:val="20"/>
          <w:color w:val="auto"/>
        </w:rPr>
      </w:pPr>
    </w:p>
    <w:p>
      <w:pPr>
        <w:ind w:left="1960"/>
        <w:spacing w:after="0"/>
        <w:tabs>
          <w:tab w:leader="none" w:pos="6480" w:val="left"/>
          <w:tab w:leader="none" w:pos="10060" w:val="left"/>
        </w:tabs>
        <w:rPr>
          <w:sz w:val="20"/>
          <w:szCs w:val="20"/>
          <w:color w:val="auto"/>
        </w:rPr>
      </w:pPr>
      <w:r>
        <w:rPr>
          <w:rFonts w:ascii="Times New Roman" w:cs="Times New Roman" w:eastAsia="Times New Roman" w:hAnsi="Times New Roman"/>
          <w:sz w:val="14"/>
          <w:szCs w:val="14"/>
          <w:b w:val="1"/>
          <w:bCs w:val="1"/>
          <w:color w:val="auto"/>
        </w:rPr>
        <w:t>Name</w:t>
      </w:r>
      <w:r>
        <w:rPr>
          <w:sz w:val="20"/>
          <w:szCs w:val="20"/>
          <w:color w:val="auto"/>
        </w:rPr>
        <w:tab/>
      </w:r>
      <w:r>
        <w:rPr>
          <w:rFonts w:ascii="Times New Roman" w:cs="Times New Roman" w:eastAsia="Times New Roman" w:hAnsi="Times New Roman"/>
          <w:sz w:val="14"/>
          <w:szCs w:val="14"/>
          <w:b w:val="1"/>
          <w:bCs w:val="1"/>
          <w:color w:val="auto"/>
        </w:rPr>
        <w:t>Title</w:t>
      </w:r>
      <w:r>
        <w:rPr>
          <w:sz w:val="20"/>
          <w:szCs w:val="20"/>
          <w:color w:val="auto"/>
        </w:rPr>
        <w:tab/>
      </w:r>
      <w:r>
        <w:rPr>
          <w:rFonts w:ascii="Times New Roman" w:cs="Times New Roman" w:eastAsia="Times New Roman" w:hAnsi="Times New Roman"/>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69215</wp:posOffset>
            </wp:positionV>
            <wp:extent cx="7250430" cy="21590"/>
            <wp:wrapNone/>
            <wp:docPr id="1237" name="Picture 1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7"/>
                    <pic:cNvPicPr>
                      <a:picLocks noChangeAspect="1" noChangeArrowheads="1"/>
                    </pic:cNvPicPr>
                  </pic:nvPicPr>
                  <pic:blipFill>
                    <a:blip r:embed="rId12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240" w:type="dxa"/>
            <w:vAlign w:val="bottom"/>
          </w:tcPr>
          <w:p>
            <w:pPr>
              <w:jc w:val="center"/>
              <w:ind w:right="172"/>
              <w:spacing w:after="0"/>
              <w:rPr>
                <w:sz w:val="20"/>
                <w:szCs w:val="20"/>
                <w:color w:val="auto"/>
              </w:rPr>
            </w:pPr>
            <w:r>
              <w:rPr>
                <w:rFonts w:ascii="Times New Roman" w:cs="Times New Roman" w:eastAsia="Times New Roman" w:hAnsi="Times New Roman"/>
                <w:sz w:val="18"/>
                <w:szCs w:val="18"/>
                <w:color w:val="auto"/>
                <w:w w:val="99"/>
              </w:rPr>
              <w:t>/s/ J. MICHAEL PARKS</w:t>
            </w:r>
          </w:p>
        </w:tc>
        <w:tc>
          <w:tcPr>
            <w:tcW w:w="4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Chairman of the Board, Chief Executive Officer and Director</w:t>
            </w:r>
          </w:p>
        </w:tc>
        <w:tc>
          <w:tcPr>
            <w:tcW w:w="156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6"/>
              </w:rPr>
              <w:t>March 12, 2003</w:t>
            </w:r>
          </w:p>
        </w:tc>
        <w:tc>
          <w:tcPr>
            <w:tcW w:w="0" w:type="dxa"/>
            <w:vAlign w:val="bottom"/>
          </w:tcPr>
          <w:p>
            <w:pPr>
              <w:spacing w:after="0"/>
              <w:rPr>
                <w:sz w:val="1"/>
                <w:szCs w:val="1"/>
                <w:color w:val="auto"/>
              </w:rPr>
            </w:pPr>
          </w:p>
        </w:tc>
      </w:tr>
      <w:tr>
        <w:trPr>
          <w:trHeight w:val="120"/>
        </w:trPr>
        <w:tc>
          <w:tcPr>
            <w:tcW w:w="4240" w:type="dxa"/>
            <w:vAlign w:val="bottom"/>
            <w:tcBorders>
              <w:bottom w:val="single" w:sz="8" w:color="808080"/>
            </w:tcBorders>
          </w:tcPr>
          <w:p>
            <w:pPr>
              <w:spacing w:after="0"/>
              <w:rPr>
                <w:sz w:val="10"/>
                <w:szCs w:val="10"/>
                <w:color w:val="auto"/>
              </w:rPr>
            </w:pPr>
          </w:p>
        </w:tc>
        <w:tc>
          <w:tcPr>
            <w:tcW w:w="498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J. Michael Parks</w:t>
            </w:r>
          </w:p>
        </w:tc>
        <w:tc>
          <w:tcPr>
            <w:tcW w:w="49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240" w:type="dxa"/>
            <w:vAlign w:val="bottom"/>
          </w:tcPr>
          <w:p>
            <w:pPr>
              <w:jc w:val="center"/>
              <w:ind w:right="172"/>
              <w:spacing w:after="0"/>
              <w:rPr>
                <w:sz w:val="20"/>
                <w:szCs w:val="20"/>
                <w:color w:val="auto"/>
              </w:rPr>
            </w:pPr>
            <w:r>
              <w:rPr>
                <w:rFonts w:ascii="Times New Roman" w:cs="Times New Roman" w:eastAsia="Times New Roman" w:hAnsi="Times New Roman"/>
                <w:sz w:val="18"/>
                <w:szCs w:val="18"/>
                <w:color w:val="auto"/>
                <w:w w:val="97"/>
              </w:rPr>
              <w:t>/s/ EDWARD J. HEFFERNAN</w:t>
            </w:r>
          </w:p>
        </w:tc>
        <w:tc>
          <w:tcPr>
            <w:tcW w:w="4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c>
          <w:tcPr>
            <w:tcW w:w="156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6"/>
              </w:rPr>
              <w:t>March 12, 2003</w:t>
            </w:r>
          </w:p>
        </w:tc>
        <w:tc>
          <w:tcPr>
            <w:tcW w:w="0" w:type="dxa"/>
            <w:vAlign w:val="bottom"/>
          </w:tcPr>
          <w:p>
            <w:pPr>
              <w:spacing w:after="0"/>
              <w:rPr>
                <w:sz w:val="1"/>
                <w:szCs w:val="1"/>
                <w:color w:val="auto"/>
              </w:rPr>
            </w:pPr>
          </w:p>
        </w:tc>
      </w:tr>
      <w:tr>
        <w:trPr>
          <w:trHeight w:val="120"/>
        </w:trPr>
        <w:tc>
          <w:tcPr>
            <w:tcW w:w="4240" w:type="dxa"/>
            <w:vAlign w:val="bottom"/>
            <w:tcBorders>
              <w:bottom w:val="single" w:sz="8" w:color="808080"/>
            </w:tcBorders>
          </w:tcPr>
          <w:p>
            <w:pPr>
              <w:spacing w:after="0"/>
              <w:rPr>
                <w:sz w:val="10"/>
                <w:szCs w:val="10"/>
                <w:color w:val="auto"/>
              </w:rPr>
            </w:pPr>
          </w:p>
        </w:tc>
        <w:tc>
          <w:tcPr>
            <w:tcW w:w="498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Edward J. Heffernan</w:t>
            </w:r>
          </w:p>
        </w:tc>
        <w:tc>
          <w:tcPr>
            <w:tcW w:w="49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4240" w:type="dxa"/>
            <w:vAlign w:val="bottom"/>
          </w:tcPr>
          <w:p>
            <w:pPr>
              <w:jc w:val="center"/>
              <w:ind w:right="172"/>
              <w:spacing w:after="0"/>
              <w:rPr>
                <w:sz w:val="20"/>
                <w:szCs w:val="20"/>
                <w:color w:val="auto"/>
              </w:rPr>
            </w:pPr>
            <w:r>
              <w:rPr>
                <w:rFonts w:ascii="Times New Roman" w:cs="Times New Roman" w:eastAsia="Times New Roman" w:hAnsi="Times New Roman"/>
                <w:sz w:val="18"/>
                <w:szCs w:val="18"/>
                <w:color w:val="auto"/>
                <w:w w:val="99"/>
              </w:rPr>
              <w:t>/s/ MICHAEL D. KUBIC</w:t>
            </w:r>
          </w:p>
        </w:tc>
        <w:tc>
          <w:tcPr>
            <w:tcW w:w="4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Senior Vice President, Corporate Controller, and Chief</w:t>
            </w:r>
          </w:p>
        </w:tc>
        <w:tc>
          <w:tcPr>
            <w:tcW w:w="156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6"/>
              </w:rPr>
              <w:t>March 12, 2003</w:t>
            </w:r>
          </w:p>
        </w:tc>
        <w:tc>
          <w:tcPr>
            <w:tcW w:w="0" w:type="dxa"/>
            <w:vAlign w:val="bottom"/>
          </w:tcPr>
          <w:p>
            <w:pPr>
              <w:spacing w:after="0"/>
              <w:rPr>
                <w:sz w:val="1"/>
                <w:szCs w:val="1"/>
                <w:color w:val="auto"/>
              </w:rPr>
            </w:pPr>
          </w:p>
        </w:tc>
      </w:tr>
      <w:tr>
        <w:trPr>
          <w:trHeight w:val="133"/>
        </w:trPr>
        <w:tc>
          <w:tcPr>
            <w:tcW w:w="4240" w:type="dxa"/>
            <w:vAlign w:val="bottom"/>
            <w:tcBorders>
              <w:bottom w:val="single" w:sz="8" w:color="808080"/>
            </w:tcBorders>
          </w:tcPr>
          <w:p>
            <w:pPr>
              <w:spacing w:after="0"/>
              <w:rPr>
                <w:sz w:val="11"/>
                <w:szCs w:val="11"/>
                <w:color w:val="auto"/>
              </w:rPr>
            </w:pPr>
          </w:p>
        </w:tc>
        <w:tc>
          <w:tcPr>
            <w:tcW w:w="498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Accounting Officer</w:t>
            </w:r>
          </w:p>
        </w:tc>
        <w:tc>
          <w:tcPr>
            <w:tcW w:w="1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42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Michael D. Kubic</w:t>
            </w:r>
          </w:p>
        </w:tc>
        <w:tc>
          <w:tcPr>
            <w:tcW w:w="4980" w:type="dxa"/>
            <w:vAlign w:val="bottom"/>
            <w:vMerge w:val="continue"/>
          </w:tcPr>
          <w:p>
            <w:pPr>
              <w:spacing w:after="0"/>
              <w:rPr>
                <w:sz w:val="6"/>
                <w:szCs w:val="6"/>
                <w:color w:val="auto"/>
              </w:rPr>
            </w:pPr>
          </w:p>
        </w:tc>
        <w:tc>
          <w:tcPr>
            <w:tcW w:w="1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4240" w:type="dxa"/>
            <w:vAlign w:val="bottom"/>
            <w:vMerge w:val="continue"/>
          </w:tcPr>
          <w:p>
            <w:pPr>
              <w:spacing w:after="0"/>
              <w:rPr>
                <w:sz w:val="21"/>
                <w:szCs w:val="21"/>
                <w:color w:val="auto"/>
              </w:rPr>
            </w:pPr>
          </w:p>
        </w:tc>
        <w:tc>
          <w:tcPr>
            <w:tcW w:w="49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4240" w:type="dxa"/>
            <w:vAlign w:val="bottom"/>
          </w:tcPr>
          <w:p>
            <w:pPr>
              <w:jc w:val="center"/>
              <w:ind w:right="172"/>
              <w:spacing w:after="0"/>
              <w:rPr>
                <w:sz w:val="20"/>
                <w:szCs w:val="20"/>
                <w:color w:val="auto"/>
              </w:rPr>
            </w:pPr>
            <w:r>
              <w:rPr>
                <w:rFonts w:ascii="Times New Roman" w:cs="Times New Roman" w:eastAsia="Times New Roman" w:hAnsi="Times New Roman"/>
                <w:sz w:val="18"/>
                <w:szCs w:val="18"/>
                <w:color w:val="auto"/>
                <w:w w:val="99"/>
              </w:rPr>
              <w:t>/s/ BRUCE K. ANDERSON</w:t>
            </w:r>
          </w:p>
        </w:tc>
        <w:tc>
          <w:tcPr>
            <w:tcW w:w="49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4240" w:type="dxa"/>
            <w:vAlign w:val="bottom"/>
            <w:tcBorders>
              <w:bottom w:val="single" w:sz="8" w:color="808080"/>
            </w:tcBorders>
          </w:tcPr>
          <w:p>
            <w:pPr>
              <w:spacing w:after="0"/>
              <w:rPr>
                <w:sz w:val="10"/>
                <w:szCs w:val="10"/>
                <w:color w:val="auto"/>
              </w:rPr>
            </w:pPr>
          </w:p>
        </w:tc>
        <w:tc>
          <w:tcPr>
            <w:tcW w:w="498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Bruce K. Anderson</w:t>
            </w:r>
          </w:p>
        </w:tc>
        <w:tc>
          <w:tcPr>
            <w:tcW w:w="4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Director</w:t>
            </w:r>
          </w:p>
        </w:tc>
        <w:tc>
          <w:tcPr>
            <w:tcW w:w="156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6"/>
              </w:rPr>
              <w:t>March 12, 2003</w:t>
            </w:r>
          </w:p>
        </w:tc>
        <w:tc>
          <w:tcPr>
            <w:tcW w:w="0" w:type="dxa"/>
            <w:vAlign w:val="bottom"/>
          </w:tcPr>
          <w:p>
            <w:pPr>
              <w:spacing w:after="0"/>
              <w:rPr>
                <w:sz w:val="1"/>
                <w:szCs w:val="1"/>
                <w:color w:val="auto"/>
              </w:rPr>
            </w:pPr>
          </w:p>
        </w:tc>
      </w:tr>
      <w:tr>
        <w:trPr>
          <w:trHeight w:val="432"/>
        </w:trPr>
        <w:tc>
          <w:tcPr>
            <w:tcW w:w="4240" w:type="dxa"/>
            <w:vAlign w:val="bottom"/>
          </w:tcPr>
          <w:p>
            <w:pPr>
              <w:jc w:val="center"/>
              <w:ind w:right="172"/>
              <w:spacing w:after="0"/>
              <w:rPr>
                <w:sz w:val="20"/>
                <w:szCs w:val="20"/>
                <w:color w:val="auto"/>
              </w:rPr>
            </w:pPr>
            <w:r>
              <w:rPr>
                <w:rFonts w:ascii="Times New Roman" w:cs="Times New Roman" w:eastAsia="Times New Roman" w:hAnsi="Times New Roman"/>
                <w:sz w:val="18"/>
                <w:szCs w:val="18"/>
                <w:color w:val="auto"/>
                <w:w w:val="99"/>
              </w:rPr>
              <w:t>/s/ ROGER H. BALLOU</w:t>
            </w:r>
          </w:p>
        </w:tc>
        <w:tc>
          <w:tcPr>
            <w:tcW w:w="49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4240" w:type="dxa"/>
            <w:vAlign w:val="bottom"/>
            <w:tcBorders>
              <w:bottom w:val="single" w:sz="8" w:color="808080"/>
            </w:tcBorders>
          </w:tcPr>
          <w:p>
            <w:pPr>
              <w:spacing w:after="0"/>
              <w:rPr>
                <w:sz w:val="10"/>
                <w:szCs w:val="10"/>
                <w:color w:val="auto"/>
              </w:rPr>
            </w:pPr>
          </w:p>
        </w:tc>
        <w:tc>
          <w:tcPr>
            <w:tcW w:w="498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Roger H. Ballou</w:t>
            </w:r>
          </w:p>
        </w:tc>
        <w:tc>
          <w:tcPr>
            <w:tcW w:w="4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Director</w:t>
            </w:r>
          </w:p>
        </w:tc>
        <w:tc>
          <w:tcPr>
            <w:tcW w:w="156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6"/>
              </w:rPr>
              <w:t>March 12, 2003</w:t>
            </w:r>
          </w:p>
        </w:tc>
        <w:tc>
          <w:tcPr>
            <w:tcW w:w="0" w:type="dxa"/>
            <w:vAlign w:val="bottom"/>
          </w:tcPr>
          <w:p>
            <w:pPr>
              <w:spacing w:after="0"/>
              <w:rPr>
                <w:sz w:val="1"/>
                <w:szCs w:val="1"/>
                <w:color w:val="auto"/>
              </w:rPr>
            </w:pPr>
          </w:p>
        </w:tc>
      </w:tr>
      <w:tr>
        <w:trPr>
          <w:trHeight w:val="432"/>
        </w:trPr>
        <w:tc>
          <w:tcPr>
            <w:tcW w:w="4240" w:type="dxa"/>
            <w:vAlign w:val="bottom"/>
          </w:tcPr>
          <w:p>
            <w:pPr>
              <w:jc w:val="center"/>
              <w:ind w:right="172"/>
              <w:spacing w:after="0"/>
              <w:rPr>
                <w:sz w:val="20"/>
                <w:szCs w:val="20"/>
                <w:color w:val="auto"/>
              </w:rPr>
            </w:pPr>
            <w:r>
              <w:rPr>
                <w:rFonts w:ascii="Times New Roman" w:cs="Times New Roman" w:eastAsia="Times New Roman" w:hAnsi="Times New Roman"/>
                <w:sz w:val="18"/>
                <w:szCs w:val="18"/>
                <w:color w:val="auto"/>
                <w:w w:val="98"/>
              </w:rPr>
              <w:t>/s/ DANIEL P. FINKELMAN</w:t>
            </w:r>
          </w:p>
        </w:tc>
        <w:tc>
          <w:tcPr>
            <w:tcW w:w="4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Director</w:t>
            </w:r>
          </w:p>
        </w:tc>
        <w:tc>
          <w:tcPr>
            <w:tcW w:w="156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6"/>
              </w:rPr>
              <w:t>March 12, 2003</w:t>
            </w:r>
          </w:p>
        </w:tc>
        <w:tc>
          <w:tcPr>
            <w:tcW w:w="0" w:type="dxa"/>
            <w:vAlign w:val="bottom"/>
          </w:tcPr>
          <w:p>
            <w:pPr>
              <w:spacing w:after="0"/>
              <w:rPr>
                <w:sz w:val="1"/>
                <w:szCs w:val="1"/>
                <w:color w:val="auto"/>
              </w:rPr>
            </w:pPr>
          </w:p>
        </w:tc>
      </w:tr>
      <w:tr>
        <w:trPr>
          <w:trHeight w:val="120"/>
        </w:trPr>
        <w:tc>
          <w:tcPr>
            <w:tcW w:w="4240" w:type="dxa"/>
            <w:vAlign w:val="bottom"/>
            <w:tcBorders>
              <w:bottom w:val="single" w:sz="8" w:color="808080"/>
            </w:tcBorders>
          </w:tcPr>
          <w:p>
            <w:pPr>
              <w:spacing w:after="0"/>
              <w:rPr>
                <w:sz w:val="10"/>
                <w:szCs w:val="10"/>
                <w:color w:val="auto"/>
              </w:rPr>
            </w:pPr>
          </w:p>
        </w:tc>
        <w:tc>
          <w:tcPr>
            <w:tcW w:w="498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2678430</wp:posOffset>
            </wp:positionH>
            <wp:positionV relativeFrom="paragraph">
              <wp:posOffset>-2844165</wp:posOffset>
            </wp:positionV>
            <wp:extent cx="12700" cy="8890"/>
            <wp:wrapNone/>
            <wp:docPr id="1238" name="Picture 1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8"/>
                    <pic:cNvPicPr>
                      <a:picLocks noChangeAspect="1" noChangeArrowheads="1"/>
                    </pic:cNvPicPr>
                  </pic:nvPicPr>
                  <pic:blipFill>
                    <a:blip r:embed="rId12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-2844165</wp:posOffset>
            </wp:positionV>
            <wp:extent cx="12700" cy="8890"/>
            <wp:wrapNone/>
            <wp:docPr id="1239" name="Picture 1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9"/>
                    <pic:cNvPicPr>
                      <a:picLocks noChangeAspect="1" noChangeArrowheads="1"/>
                    </pic:cNvPicPr>
                  </pic:nvPicPr>
                  <pic:blipFill>
                    <a:blip r:embed="rId12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2678430</wp:posOffset>
            </wp:positionH>
            <wp:positionV relativeFrom="paragraph">
              <wp:posOffset>-2278380</wp:posOffset>
            </wp:positionV>
            <wp:extent cx="12700" cy="8890"/>
            <wp:wrapNone/>
            <wp:docPr id="1240" name="Picture 1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0"/>
                    <pic:cNvPicPr>
                      <a:picLocks noChangeAspect="1" noChangeArrowheads="1"/>
                    </pic:cNvPicPr>
                  </pic:nvPicPr>
                  <pic:blipFill>
                    <a:blip r:embed="rId12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-2278380</wp:posOffset>
            </wp:positionV>
            <wp:extent cx="12700" cy="8890"/>
            <wp:wrapNone/>
            <wp:docPr id="1241" name="Picture 1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1"/>
                    <pic:cNvPicPr>
                      <a:picLocks noChangeAspect="1" noChangeArrowheads="1"/>
                    </pic:cNvPicPr>
                  </pic:nvPicPr>
                  <pic:blipFill>
                    <a:blip r:embed="rId12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2678430</wp:posOffset>
            </wp:positionH>
            <wp:positionV relativeFrom="paragraph">
              <wp:posOffset>-1712595</wp:posOffset>
            </wp:positionV>
            <wp:extent cx="12700" cy="8890"/>
            <wp:wrapNone/>
            <wp:docPr id="1242" name="Picture 1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2"/>
                    <pic:cNvPicPr>
                      <a:picLocks noChangeAspect="1" noChangeArrowheads="1"/>
                    </pic:cNvPicPr>
                  </pic:nvPicPr>
                  <pic:blipFill>
                    <a:blip r:embed="rId12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-1712595</wp:posOffset>
            </wp:positionV>
            <wp:extent cx="12700" cy="8890"/>
            <wp:wrapNone/>
            <wp:docPr id="1243" name="Picture 1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3"/>
                    <pic:cNvPicPr>
                      <a:picLocks noChangeAspect="1" noChangeArrowheads="1"/>
                    </pic:cNvPicPr>
                  </pic:nvPicPr>
                  <pic:blipFill>
                    <a:blip r:embed="rId12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2678430</wp:posOffset>
            </wp:positionH>
            <wp:positionV relativeFrom="paragraph">
              <wp:posOffset>-1146175</wp:posOffset>
            </wp:positionV>
            <wp:extent cx="12700" cy="8890"/>
            <wp:wrapNone/>
            <wp:docPr id="1244" name="Picture 1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4"/>
                    <pic:cNvPicPr>
                      <a:picLocks noChangeAspect="1" noChangeArrowheads="1"/>
                    </pic:cNvPicPr>
                  </pic:nvPicPr>
                  <pic:blipFill>
                    <a:blip r:embed="rId12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-1146175</wp:posOffset>
            </wp:positionV>
            <wp:extent cx="12700" cy="8890"/>
            <wp:wrapNone/>
            <wp:docPr id="1245" name="Picture 1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5"/>
                    <pic:cNvPicPr>
                      <a:picLocks noChangeAspect="1" noChangeArrowheads="1"/>
                    </pic:cNvPicPr>
                  </pic:nvPicPr>
                  <pic:blipFill>
                    <a:blip r:embed="rId12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2678430</wp:posOffset>
            </wp:positionH>
            <wp:positionV relativeFrom="paragraph">
              <wp:posOffset>-580390</wp:posOffset>
            </wp:positionV>
            <wp:extent cx="12700" cy="8890"/>
            <wp:wrapNone/>
            <wp:docPr id="1246" name="Picture 1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6"/>
                    <pic:cNvPicPr>
                      <a:picLocks noChangeAspect="1" noChangeArrowheads="1"/>
                    </pic:cNvPicPr>
                  </pic:nvPicPr>
                  <pic:blipFill>
                    <a:blip r:embed="rId12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-580390</wp:posOffset>
            </wp:positionV>
            <wp:extent cx="12700" cy="8890"/>
            <wp:wrapNone/>
            <wp:docPr id="1247" name="Picture 1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7"/>
                    <pic:cNvPicPr>
                      <a:picLocks noChangeAspect="1" noChangeArrowheads="1"/>
                    </pic:cNvPicPr>
                  </pic:nvPicPr>
                  <pic:blipFill>
                    <a:blip r:embed="rId12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2678430</wp:posOffset>
            </wp:positionH>
            <wp:positionV relativeFrom="paragraph">
              <wp:posOffset>-14605</wp:posOffset>
            </wp:positionV>
            <wp:extent cx="12700" cy="8890"/>
            <wp:wrapNone/>
            <wp:docPr id="1248" name="Picture 1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8"/>
                    <pic:cNvPicPr>
                      <a:picLocks noChangeAspect="1" noChangeArrowheads="1"/>
                    </pic:cNvPicPr>
                  </pic:nvPicPr>
                  <pic:blipFill>
                    <a:blip r:embed="rId12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49" name="Picture 1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9"/>
                    <pic:cNvPicPr>
                      <a:picLocks noChangeAspect="1" noChangeArrowheads="1"/>
                    </pic:cNvPicPr>
                  </pic:nvPicPr>
                  <pic:blipFill>
                    <a:blip r:embed="rId125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3" w:right="239" w:bottom="0" w:gutter="0" w:footer="0" w:header="0"/>
        </w:sectPr>
      </w:pPr>
    </w:p>
    <w:bookmarkStart w:id="52" w:name="page53"/>
    <w:bookmarkEnd w:id="52"/>
    <w:p>
      <w:pPr>
        <w:ind w:left="1400"/>
        <w:spacing w:after="0"/>
        <w:rPr>
          <w:sz w:val="20"/>
          <w:szCs w:val="20"/>
          <w:color w:val="auto"/>
        </w:rPr>
      </w:pPr>
      <w:r>
        <w:rPr>
          <w:rFonts w:ascii="Times New Roman" w:cs="Times New Roman" w:eastAsia="Times New Roman" w:hAnsi="Times New Roman"/>
          <w:sz w:val="18"/>
          <w:szCs w:val="18"/>
          <w:color w:val="auto"/>
        </w:rPr>
        <w:t>Daniel P. Finkelman</w:t>
      </w:r>
    </w:p>
    <w:p>
      <w:pPr>
        <w:spacing w:after="0" w:line="22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/s/ ROBERT A. MINICUCCI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2688590" cy="21590"/>
            <wp:wrapNone/>
            <wp:docPr id="1250" name="Picture 1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0"/>
                    <pic:cNvPicPr>
                      <a:picLocks noChangeAspect="1" noChangeArrowheads="1"/>
                    </pic:cNvPicPr>
                  </pic:nvPicPr>
                  <pic:blipFill>
                    <a:blip r:embed="rId1257">
                      <a:extLst>
                        <a:ext uri="{28A0092B-C50C-407E-A947-70E740481C1C}"/>
                      </a:extLst>
                    </a:blip>
                    <a:srcRect/>
                    <a:stretch>
                      <a:fillRect/>
                    </a:stretch>
                  </pic:blipFill>
                  <pic:spPr bwMode="auto">
                    <a:xfrm>
                      <a:off x="0" y="0"/>
                      <a:ext cx="2688590" cy="21590"/>
                    </a:xfrm>
                    <a:prstGeom prst="rect">
                      <a:avLst/>
                    </a:prstGeom>
                    <a:noFill/>
                  </pic:spPr>
                </pic:pic>
              </a:graphicData>
            </a:graphic>
          </wp:anchor>
        </w:drawing>
      </w:r>
    </w:p>
    <w:p>
      <w:pPr>
        <w:spacing w:after="0" w:line="232" w:lineRule="exact"/>
        <w:rPr>
          <w:sz w:val="20"/>
          <w:szCs w:val="20"/>
          <w:color w:val="auto"/>
        </w:rPr>
      </w:pPr>
    </w:p>
    <w:p>
      <w:pPr>
        <w:ind w:left="1400"/>
        <w:spacing w:after="0"/>
        <w:tabs>
          <w:tab w:leader="none" w:pos="4440" w:val="left"/>
          <w:tab w:leader="none" w:pos="9640" w:val="left"/>
        </w:tabs>
        <w:rPr>
          <w:sz w:val="20"/>
          <w:szCs w:val="20"/>
          <w:color w:val="auto"/>
        </w:rPr>
      </w:pPr>
      <w:r>
        <w:rPr>
          <w:rFonts w:ascii="Times New Roman" w:cs="Times New Roman" w:eastAsia="Times New Roman" w:hAnsi="Times New Roman"/>
          <w:sz w:val="18"/>
          <w:szCs w:val="18"/>
          <w:color w:val="auto"/>
        </w:rPr>
        <w:t>Robert A. Minicucci</w:t>
      </w:r>
      <w:r>
        <w:rPr>
          <w:sz w:val="20"/>
          <w:szCs w:val="20"/>
          <w:color w:val="auto"/>
        </w:rPr>
        <w:tab/>
      </w:r>
      <w:r>
        <w:rPr>
          <w:rFonts w:ascii="Times New Roman" w:cs="Times New Roman" w:eastAsia="Times New Roman" w:hAnsi="Times New Roman"/>
          <w:sz w:val="18"/>
          <w:szCs w:val="18"/>
          <w:color w:val="auto"/>
        </w:rPr>
        <w:t>Director</w:t>
      </w:r>
      <w:r>
        <w:rPr>
          <w:sz w:val="20"/>
          <w:szCs w:val="20"/>
          <w:color w:val="auto"/>
        </w:rPr>
        <w:tab/>
      </w:r>
      <w:r>
        <w:rPr>
          <w:rFonts w:ascii="Times New Roman" w:cs="Times New Roman" w:eastAsia="Times New Roman" w:hAnsi="Times New Roman"/>
          <w:sz w:val="16"/>
          <w:szCs w:val="16"/>
          <w:color w:val="auto"/>
        </w:rPr>
        <w:t>March 12,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1251" name="Picture 1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1"/>
                    <pic:cNvPicPr>
                      <a:picLocks noChangeAspect="1" noChangeArrowheads="1"/>
                    </pic:cNvPicPr>
                  </pic:nvPicPr>
                  <pic:blipFill>
                    <a:blip r:embed="rId12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460"/>
        <w:spacing w:after="0"/>
        <w:tabs>
          <w:tab w:leader="none" w:pos="9660" w:val="left"/>
          <w:tab w:leader="none" w:pos="10300" w:val="left"/>
        </w:tabs>
        <w:rPr>
          <w:sz w:val="20"/>
          <w:szCs w:val="20"/>
          <w:color w:val="auto"/>
        </w:rPr>
      </w:pPr>
      <w:r>
        <w:rPr>
          <w:rFonts w:ascii="Times New Roman" w:cs="Times New Roman" w:eastAsia="Times New Roman" w:hAnsi="Times New Roman"/>
          <w:sz w:val="18"/>
          <w:szCs w:val="18"/>
          <w:color w:val="auto"/>
        </w:rPr>
        <w:t>Director</w:t>
      </w:r>
      <w:r>
        <w:rPr>
          <w:sz w:val="20"/>
          <w:szCs w:val="20"/>
          <w:color w:val="auto"/>
        </w:rPr>
        <w:tab/>
      </w:r>
      <w:r>
        <w:rPr>
          <w:rFonts w:ascii="Times New Roman" w:cs="Times New Roman" w:eastAsia="Times New Roman" w:hAnsi="Times New Roman"/>
          <w:sz w:val="18"/>
          <w:szCs w:val="18"/>
          <w:color w:val="auto"/>
        </w:rPr>
        <w:t>March</w:t>
      </w:r>
      <w:r>
        <w:rPr>
          <w:sz w:val="20"/>
          <w:szCs w:val="20"/>
          <w:color w:val="auto"/>
        </w:rPr>
        <w:tab/>
      </w:r>
      <w:r>
        <w:rPr>
          <w:rFonts w:ascii="Times New Roman" w:cs="Times New Roman" w:eastAsia="Times New Roman" w:hAnsi="Times New Roman"/>
          <w:sz w:val="16"/>
          <w:szCs w:val="16"/>
          <w:color w:val="auto"/>
        </w:rPr>
        <w:t>,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-38100</wp:posOffset>
            </wp:positionV>
            <wp:extent cx="2688590" cy="21590"/>
            <wp:wrapNone/>
            <wp:docPr id="1252" name="Picture 1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2"/>
                    <pic:cNvPicPr>
                      <a:picLocks noChangeAspect="1" noChangeArrowheads="1"/>
                    </pic:cNvPicPr>
                  </pic:nvPicPr>
                  <pic:blipFill>
                    <a:blip r:embed="rId1259">
                      <a:extLst>
                        <a:ext uri="{28A0092B-C50C-407E-A947-70E740481C1C}"/>
                      </a:extLst>
                    </a:blip>
                    <a:srcRect/>
                    <a:stretch>
                      <a:fillRect/>
                    </a:stretch>
                  </pic:blipFill>
                  <pic:spPr bwMode="auto">
                    <a:xfrm>
                      <a:off x="0" y="0"/>
                      <a:ext cx="2688590" cy="21590"/>
                    </a:xfrm>
                    <a:prstGeom prst="rect">
                      <a:avLst/>
                    </a:prstGeom>
                    <a:noFill/>
                  </pic:spPr>
                </pic:pic>
              </a:graphicData>
            </a:graphic>
          </wp:anchor>
        </w:drawing>
      </w:r>
    </w:p>
    <w:p>
      <w:pPr>
        <w:spacing w:after="0" w:line="43"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Anthony J. de Nicola</w:t>
      </w:r>
    </w:p>
    <w:p>
      <w:pPr>
        <w:spacing w:after="0" w:line="22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/s/ KENNETH R. JENSEN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2688590" cy="21590"/>
            <wp:wrapNone/>
            <wp:docPr id="1253" name="Picture 1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3"/>
                    <pic:cNvPicPr>
                      <a:picLocks noChangeAspect="1" noChangeArrowheads="1"/>
                    </pic:cNvPicPr>
                  </pic:nvPicPr>
                  <pic:blipFill>
                    <a:blip r:embed="rId1260">
                      <a:extLst>
                        <a:ext uri="{28A0092B-C50C-407E-A947-70E740481C1C}"/>
                      </a:extLst>
                    </a:blip>
                    <a:srcRect/>
                    <a:stretch>
                      <a:fillRect/>
                    </a:stretch>
                  </pic:blipFill>
                  <pic:spPr bwMode="auto">
                    <a:xfrm>
                      <a:off x="0" y="0"/>
                      <a:ext cx="2688590" cy="21590"/>
                    </a:xfrm>
                    <a:prstGeom prst="rect">
                      <a:avLst/>
                    </a:prstGeom>
                    <a:noFill/>
                  </pic:spPr>
                </pic:pic>
              </a:graphicData>
            </a:graphic>
          </wp:anchor>
        </w:drawing>
      </w:r>
    </w:p>
    <w:p>
      <w:pPr>
        <w:spacing w:after="0" w:line="232" w:lineRule="exact"/>
        <w:rPr>
          <w:sz w:val="20"/>
          <w:szCs w:val="20"/>
          <w:color w:val="auto"/>
        </w:rPr>
      </w:pPr>
    </w:p>
    <w:p>
      <w:pPr>
        <w:ind w:left="1460"/>
        <w:spacing w:after="0"/>
        <w:tabs>
          <w:tab w:leader="none" w:pos="4440" w:val="left"/>
          <w:tab w:leader="none" w:pos="9640" w:val="left"/>
        </w:tabs>
        <w:rPr>
          <w:sz w:val="20"/>
          <w:szCs w:val="20"/>
          <w:color w:val="auto"/>
        </w:rPr>
      </w:pPr>
      <w:r>
        <w:rPr>
          <w:rFonts w:ascii="Times New Roman" w:cs="Times New Roman" w:eastAsia="Times New Roman" w:hAnsi="Times New Roman"/>
          <w:sz w:val="18"/>
          <w:szCs w:val="18"/>
          <w:color w:val="auto"/>
        </w:rPr>
        <w:t>Kenneth R. Jensen</w:t>
      </w:r>
      <w:r>
        <w:rPr>
          <w:sz w:val="20"/>
          <w:szCs w:val="20"/>
          <w:color w:val="auto"/>
        </w:rPr>
        <w:tab/>
      </w:r>
      <w:r>
        <w:rPr>
          <w:rFonts w:ascii="Times New Roman" w:cs="Times New Roman" w:eastAsia="Times New Roman" w:hAnsi="Times New Roman"/>
          <w:sz w:val="18"/>
          <w:szCs w:val="18"/>
          <w:color w:val="auto"/>
        </w:rPr>
        <w:t>Director</w:t>
      </w:r>
      <w:r>
        <w:rPr>
          <w:sz w:val="20"/>
          <w:szCs w:val="20"/>
          <w:color w:val="auto"/>
        </w:rPr>
        <w:tab/>
      </w:r>
      <w:r>
        <w:rPr>
          <w:rFonts w:ascii="Times New Roman" w:cs="Times New Roman" w:eastAsia="Times New Roman" w:hAnsi="Times New Roman"/>
          <w:sz w:val="16"/>
          <w:szCs w:val="16"/>
          <w:color w:val="auto"/>
        </w:rPr>
        <w:t>March 12, 2003</w:t>
      </w:r>
    </w:p>
    <w:p>
      <w:pPr>
        <w:spacing w:after="0" w:line="225"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color w:val="auto"/>
        </w:rPr>
        <w:t>/s/ BRUCE A. SOLL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2688590" cy="21590"/>
            <wp:wrapNone/>
            <wp:docPr id="1254" name="Picture 1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4"/>
                    <pic:cNvPicPr>
                      <a:picLocks noChangeAspect="1" noChangeArrowheads="1"/>
                    </pic:cNvPicPr>
                  </pic:nvPicPr>
                  <pic:blipFill>
                    <a:blip r:embed="rId1261">
                      <a:extLst>
                        <a:ext uri="{28A0092B-C50C-407E-A947-70E740481C1C}"/>
                      </a:extLst>
                    </a:blip>
                    <a:srcRect/>
                    <a:stretch>
                      <a:fillRect/>
                    </a:stretch>
                  </pic:blipFill>
                  <pic:spPr bwMode="auto">
                    <a:xfrm>
                      <a:off x="0" y="0"/>
                      <a:ext cx="2688590" cy="21590"/>
                    </a:xfrm>
                    <a:prstGeom prst="rect">
                      <a:avLst/>
                    </a:prstGeom>
                    <a:noFill/>
                  </pic:spPr>
                </pic:pic>
              </a:graphicData>
            </a:graphic>
          </wp:anchor>
        </w:drawing>
      </w:r>
    </w:p>
    <w:p>
      <w:pPr>
        <w:spacing w:after="0" w:line="232" w:lineRule="exact"/>
        <w:rPr>
          <w:sz w:val="20"/>
          <w:szCs w:val="20"/>
          <w:color w:val="auto"/>
        </w:rPr>
      </w:pPr>
    </w:p>
    <w:p>
      <w:pPr>
        <w:ind w:left="1640"/>
        <w:spacing w:after="0"/>
        <w:tabs>
          <w:tab w:leader="none" w:pos="4440" w:val="left"/>
          <w:tab w:leader="none" w:pos="9640" w:val="left"/>
        </w:tabs>
        <w:rPr>
          <w:sz w:val="20"/>
          <w:szCs w:val="20"/>
          <w:color w:val="auto"/>
        </w:rPr>
      </w:pPr>
      <w:r>
        <w:rPr>
          <w:rFonts w:ascii="Times New Roman" w:cs="Times New Roman" w:eastAsia="Times New Roman" w:hAnsi="Times New Roman"/>
          <w:sz w:val="18"/>
          <w:szCs w:val="18"/>
          <w:color w:val="auto"/>
        </w:rPr>
        <w:t>Bruce A. Soll</w:t>
      </w:r>
      <w:r>
        <w:rPr>
          <w:sz w:val="20"/>
          <w:szCs w:val="20"/>
          <w:color w:val="auto"/>
        </w:rPr>
        <w:tab/>
      </w:r>
      <w:r>
        <w:rPr>
          <w:rFonts w:ascii="Times New Roman" w:cs="Times New Roman" w:eastAsia="Times New Roman" w:hAnsi="Times New Roman"/>
          <w:sz w:val="18"/>
          <w:szCs w:val="18"/>
          <w:color w:val="auto"/>
        </w:rPr>
        <w:t>Director</w:t>
      </w:r>
      <w:r>
        <w:rPr>
          <w:sz w:val="20"/>
          <w:szCs w:val="20"/>
          <w:color w:val="auto"/>
        </w:rPr>
        <w:tab/>
      </w:r>
      <w:r>
        <w:rPr>
          <w:rFonts w:ascii="Times New Roman" w:cs="Times New Roman" w:eastAsia="Times New Roman" w:hAnsi="Times New Roman"/>
          <w:sz w:val="16"/>
          <w:szCs w:val="16"/>
          <w:color w:val="auto"/>
        </w:rPr>
        <w:t>March 12,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55" name="Picture 1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5"/>
                    <pic:cNvPicPr>
                      <a:picLocks noChangeAspect="1" noChangeArrowheads="1"/>
                    </pic:cNvPicPr>
                  </pic:nvPicPr>
                  <pic:blipFill>
                    <a:blip r:embed="rId12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35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CERTIFICATION OF THE</w:t>
      </w:r>
    </w:p>
    <w:p>
      <w:pPr>
        <w:spacing w:after="0" w:line="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ALLIANCE DATA SYSTEMS CORPORATION</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 Michael Parks, Chief Executive Officer, certify that:</w:t>
      </w:r>
    </w:p>
    <w:p>
      <w:pPr>
        <w:spacing w:after="0" w:line="239" w:lineRule="exact"/>
        <w:rPr>
          <w:sz w:val="20"/>
          <w:szCs w:val="20"/>
          <w:color w:val="auto"/>
        </w:rPr>
      </w:pPr>
    </w:p>
    <w:p>
      <w:pPr>
        <w:ind w:left="540" w:hanging="532"/>
        <w:spacing w:after="0"/>
        <w:tabs>
          <w:tab w:leader="none" w:pos="5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Alliance Data Systems Corporation;</w:t>
      </w:r>
    </w:p>
    <w:p>
      <w:pPr>
        <w:spacing w:after="0" w:line="238" w:lineRule="exact"/>
        <w:rPr>
          <w:rFonts w:ascii="Times New Roman" w:cs="Times New Roman" w:eastAsia="Times New Roman" w:hAnsi="Times New Roman"/>
          <w:sz w:val="18"/>
          <w:szCs w:val="18"/>
          <w:color w:val="auto"/>
        </w:rPr>
      </w:pPr>
    </w:p>
    <w:p>
      <w:pPr>
        <w:jc w:val="both"/>
        <w:ind w:left="540" w:right="80" w:hanging="532"/>
        <w:spacing w:after="0" w:line="262" w:lineRule="auto"/>
        <w:tabs>
          <w:tab w:leader="none" w:pos="5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213" w:lineRule="exact"/>
        <w:rPr>
          <w:rFonts w:ascii="Times New Roman" w:cs="Times New Roman" w:eastAsia="Times New Roman" w:hAnsi="Times New Roman"/>
          <w:sz w:val="18"/>
          <w:szCs w:val="18"/>
          <w:color w:val="auto"/>
        </w:rPr>
      </w:pPr>
    </w:p>
    <w:p>
      <w:pPr>
        <w:ind w:left="540" w:right="60" w:hanging="532"/>
        <w:spacing w:after="0" w:line="275" w:lineRule="auto"/>
        <w:tabs>
          <w:tab w:leader="none" w:pos="5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187" w:lineRule="exact"/>
        <w:rPr>
          <w:rFonts w:ascii="Times New Roman" w:cs="Times New Roman" w:eastAsia="Times New Roman" w:hAnsi="Times New Roman"/>
          <w:sz w:val="18"/>
          <w:szCs w:val="18"/>
          <w:color w:val="auto"/>
        </w:rPr>
      </w:pPr>
    </w:p>
    <w:p>
      <w:pPr>
        <w:ind w:left="540" w:hanging="532"/>
        <w:spacing w:after="0" w:line="275" w:lineRule="auto"/>
        <w:tabs>
          <w:tab w:leader="none" w:pos="5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13a-14 and 15d-14) for the registrant and have:</w:t>
      </w:r>
    </w:p>
    <w:p>
      <w:pPr>
        <w:spacing w:after="0" w:line="200" w:lineRule="exact"/>
        <w:rPr>
          <w:rFonts w:ascii="Times New Roman" w:cs="Times New Roman" w:eastAsia="Times New Roman" w:hAnsi="Times New Roman"/>
          <w:sz w:val="18"/>
          <w:szCs w:val="18"/>
          <w:color w:val="auto"/>
        </w:rPr>
      </w:pPr>
    </w:p>
    <w:p>
      <w:pPr>
        <w:spacing w:after="0" w:line="203" w:lineRule="exact"/>
        <w:rPr>
          <w:rFonts w:ascii="Times New Roman" w:cs="Times New Roman" w:eastAsia="Times New Roman" w:hAnsi="Times New Roman"/>
          <w:sz w:val="18"/>
          <w:szCs w:val="18"/>
          <w:color w:val="auto"/>
        </w:rPr>
      </w:pPr>
    </w:p>
    <w:p>
      <w:pPr>
        <w:ind w:left="1080" w:right="380" w:hanging="532"/>
        <w:spacing w:after="0" w:line="339" w:lineRule="auto"/>
        <w:tabs>
          <w:tab w:leader="none" w:pos="1080" w:val="left"/>
        </w:tabs>
        <w:numPr>
          <w:ilvl w:val="1"/>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to ensure that material information relating to the registrant, including its consolidated subsidiaries, is made known to us by others within those entities, particularly during the period in which this annual report is being prepared;</w:t>
      </w:r>
    </w:p>
    <w:p>
      <w:pPr>
        <w:spacing w:after="0" w:line="155" w:lineRule="exact"/>
        <w:rPr>
          <w:rFonts w:ascii="Times New Roman" w:cs="Times New Roman" w:eastAsia="Times New Roman" w:hAnsi="Times New Roman"/>
          <w:sz w:val="16"/>
          <w:szCs w:val="16"/>
          <w:color w:val="auto"/>
        </w:rPr>
      </w:pPr>
    </w:p>
    <w:p>
      <w:pPr>
        <w:ind w:left="1080" w:right="120" w:hanging="532"/>
        <w:spacing w:after="0" w:line="275" w:lineRule="auto"/>
        <w:tabs>
          <w:tab w:leader="none" w:pos="108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as of a date within 90 days prior to the filing date of this annual report (the "Evaluation Date"); and</w:t>
      </w:r>
    </w:p>
    <w:p>
      <w:pPr>
        <w:spacing w:after="0" w:line="187" w:lineRule="exact"/>
        <w:rPr>
          <w:rFonts w:ascii="Times New Roman" w:cs="Times New Roman" w:eastAsia="Times New Roman" w:hAnsi="Times New Roman"/>
          <w:sz w:val="18"/>
          <w:szCs w:val="18"/>
          <w:color w:val="auto"/>
        </w:rPr>
      </w:pPr>
    </w:p>
    <w:p>
      <w:pPr>
        <w:ind w:left="1080" w:right="60" w:hanging="532"/>
        <w:spacing w:after="0" w:line="275" w:lineRule="auto"/>
        <w:tabs>
          <w:tab w:leader="none" w:pos="108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Presented in this annual report our conclusions about the effectiveness of the disclosure controls and procedures based on our evaluation as of the Evaluation Date;</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46" w:lineRule="exact"/>
        <w:rPr>
          <w:rFonts w:ascii="Times New Roman" w:cs="Times New Roman" w:eastAsia="Times New Roman" w:hAnsi="Times New Roman"/>
          <w:sz w:val="18"/>
          <w:szCs w:val="18"/>
          <w:color w:val="auto"/>
        </w:rPr>
      </w:pPr>
    </w:p>
    <w:p>
      <w:pPr>
        <w:ind w:left="540" w:right="100" w:hanging="532"/>
        <w:spacing w:after="0" w:line="275" w:lineRule="auto"/>
        <w:tabs>
          <w:tab w:leader="none" w:pos="5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to the registrant's auditors and the audit committee of registrant's board of directors (or persons performing the equivalent functions):</w:t>
      </w:r>
    </w:p>
    <w:p>
      <w:pPr>
        <w:spacing w:after="0" w:line="200" w:lineRule="exact"/>
        <w:rPr>
          <w:rFonts w:ascii="Times New Roman" w:cs="Times New Roman" w:eastAsia="Times New Roman" w:hAnsi="Times New Roman"/>
          <w:sz w:val="18"/>
          <w:szCs w:val="18"/>
          <w:color w:val="auto"/>
        </w:rPr>
      </w:pPr>
    </w:p>
    <w:p>
      <w:pPr>
        <w:spacing w:after="0" w:line="217" w:lineRule="exact"/>
        <w:rPr>
          <w:rFonts w:ascii="Times New Roman" w:cs="Times New Roman" w:eastAsia="Times New Roman" w:hAnsi="Times New Roman"/>
          <w:sz w:val="18"/>
          <w:szCs w:val="18"/>
          <w:color w:val="auto"/>
        </w:rPr>
      </w:pPr>
    </w:p>
    <w:p>
      <w:pPr>
        <w:ind w:left="1080" w:right="200" w:hanging="532"/>
        <w:spacing w:after="0" w:line="339" w:lineRule="auto"/>
        <w:tabs>
          <w:tab w:leader="none" w:pos="1080" w:val="left"/>
        </w:tabs>
        <w:numPr>
          <w:ilvl w:val="1"/>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141" w:lineRule="exact"/>
        <w:rPr>
          <w:rFonts w:ascii="Times New Roman" w:cs="Times New Roman" w:eastAsia="Times New Roman" w:hAnsi="Times New Roman"/>
          <w:sz w:val="16"/>
          <w:szCs w:val="16"/>
          <w:color w:val="auto"/>
        </w:rPr>
      </w:pPr>
    </w:p>
    <w:p>
      <w:pPr>
        <w:ind w:left="1080" w:right="80" w:hanging="532"/>
        <w:spacing w:after="0" w:line="275" w:lineRule="auto"/>
        <w:tabs>
          <w:tab w:leader="none" w:pos="108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controls; and</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60" w:lineRule="exact"/>
        <w:rPr>
          <w:rFonts w:ascii="Times New Roman" w:cs="Times New Roman" w:eastAsia="Times New Roman" w:hAnsi="Times New Roman"/>
          <w:sz w:val="18"/>
          <w:szCs w:val="18"/>
          <w:color w:val="auto"/>
        </w:rPr>
      </w:pPr>
    </w:p>
    <w:p>
      <w:pPr>
        <w:ind w:left="540" w:right="120" w:hanging="532"/>
        <w:spacing w:after="0" w:line="262" w:lineRule="auto"/>
        <w:tabs>
          <w:tab w:leader="none" w:pos="5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indicated in this annual report whether or not there were significant changes in internal controls or in other factors that could significantly affect internal controls subsequent to the date of our most recent evaluation, including any corrective actions with regard to significant deficiencies and material weaknesses.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12, 2003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 MICHAEL PARKS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1461770" cy="21590"/>
            <wp:wrapNone/>
            <wp:docPr id="1256" name="Picture 1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6"/>
                    <pic:cNvPicPr>
                      <a:picLocks noChangeAspect="1" noChangeArrowheads="1"/>
                    </pic:cNvPicPr>
                  </pic:nvPicPr>
                  <pic:blipFill>
                    <a:blip r:embed="rId1263">
                      <a:extLst>
                        <a:ext uri="{28A0092B-C50C-407E-A947-70E740481C1C}"/>
                      </a:extLst>
                    </a:blip>
                    <a:srcRect/>
                    <a:stretch>
                      <a:fillRect/>
                    </a:stretch>
                  </pic:blipFill>
                  <pic:spPr bwMode="auto">
                    <a:xfrm>
                      <a:off x="0" y="0"/>
                      <a:ext cx="1461770" cy="21590"/>
                    </a:xfrm>
                    <a:prstGeom prst="rect">
                      <a:avLst/>
                    </a:prstGeom>
                    <a:noFill/>
                  </pic:spPr>
                </pic:pic>
              </a:graphicData>
            </a:graphic>
          </wp:anchor>
        </w:drawing>
      </w:r>
    </w:p>
    <w:p>
      <w:pPr>
        <w:sectPr>
          <w:pgSz w:w="11900" w:h="16838" w:orient="portrait"/>
          <w:cols w:equalWidth="0" w:num="1">
            <w:col w:w="11360"/>
          </w:cols>
          <w:pgMar w:left="240" w:top="125" w:right="299" w:bottom="235" w:gutter="0" w:footer="0" w:header="0"/>
        </w:sectPr>
      </w:pPr>
    </w:p>
    <w:bookmarkStart w:id="53" w:name="page54"/>
    <w:bookmarkEnd w:id="53"/>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 Michael Parks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257" name="Picture 1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7"/>
                    <pic:cNvPicPr>
                      <a:picLocks noChangeAspect="1" noChangeArrowheads="1"/>
                    </pic:cNvPicPr>
                  </pic:nvPicPr>
                  <pic:blipFill>
                    <a:blip r:embed="rId12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CERTIFICATION OF THE</w:t>
      </w:r>
    </w:p>
    <w:p>
      <w:pPr>
        <w:spacing w:after="0" w:line="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ALLIANCE DATA SYSTEMS CORPORATION</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Edward J. Heffernan, Chief Financial Officer, certify that:</w:t>
      </w:r>
    </w:p>
    <w:p>
      <w:pPr>
        <w:spacing w:after="0" w:line="239" w:lineRule="exact"/>
        <w:rPr>
          <w:sz w:val="20"/>
          <w:szCs w:val="20"/>
          <w:color w:val="auto"/>
        </w:rPr>
      </w:pPr>
    </w:p>
    <w:p>
      <w:pPr>
        <w:ind w:left="540" w:hanging="532"/>
        <w:spacing w:after="0"/>
        <w:tabs>
          <w:tab w:leader="none" w:pos="5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Alliance Data Systems Corporation;</w:t>
      </w:r>
    </w:p>
    <w:p>
      <w:pPr>
        <w:spacing w:after="0" w:line="252" w:lineRule="exact"/>
        <w:rPr>
          <w:rFonts w:ascii="Times New Roman" w:cs="Times New Roman" w:eastAsia="Times New Roman" w:hAnsi="Times New Roman"/>
          <w:sz w:val="18"/>
          <w:szCs w:val="18"/>
          <w:color w:val="auto"/>
        </w:rPr>
      </w:pPr>
    </w:p>
    <w:p>
      <w:pPr>
        <w:jc w:val="both"/>
        <w:ind w:left="540" w:right="80" w:hanging="532"/>
        <w:spacing w:after="0" w:line="262" w:lineRule="auto"/>
        <w:tabs>
          <w:tab w:leader="none" w:pos="5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199" w:lineRule="exact"/>
        <w:rPr>
          <w:rFonts w:ascii="Times New Roman" w:cs="Times New Roman" w:eastAsia="Times New Roman" w:hAnsi="Times New Roman"/>
          <w:sz w:val="18"/>
          <w:szCs w:val="18"/>
          <w:color w:val="auto"/>
        </w:rPr>
      </w:pPr>
    </w:p>
    <w:p>
      <w:pPr>
        <w:ind w:left="540" w:right="60" w:hanging="532"/>
        <w:spacing w:after="0" w:line="275" w:lineRule="auto"/>
        <w:tabs>
          <w:tab w:leader="none" w:pos="5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187" w:lineRule="exact"/>
        <w:rPr>
          <w:rFonts w:ascii="Times New Roman" w:cs="Times New Roman" w:eastAsia="Times New Roman" w:hAnsi="Times New Roman"/>
          <w:sz w:val="18"/>
          <w:szCs w:val="18"/>
          <w:color w:val="auto"/>
        </w:rPr>
      </w:pPr>
    </w:p>
    <w:p>
      <w:pPr>
        <w:ind w:left="540" w:hanging="532"/>
        <w:spacing w:after="0" w:line="275" w:lineRule="auto"/>
        <w:tabs>
          <w:tab w:leader="none" w:pos="5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13a-14 and 15d-14) for the registrant and have:</w:t>
      </w:r>
    </w:p>
    <w:p>
      <w:pPr>
        <w:spacing w:after="0" w:line="200" w:lineRule="exact"/>
        <w:rPr>
          <w:rFonts w:ascii="Times New Roman" w:cs="Times New Roman" w:eastAsia="Times New Roman" w:hAnsi="Times New Roman"/>
          <w:sz w:val="18"/>
          <w:szCs w:val="18"/>
          <w:color w:val="auto"/>
        </w:rPr>
      </w:pPr>
    </w:p>
    <w:p>
      <w:pPr>
        <w:spacing w:after="0" w:line="217" w:lineRule="exact"/>
        <w:rPr>
          <w:rFonts w:ascii="Times New Roman" w:cs="Times New Roman" w:eastAsia="Times New Roman" w:hAnsi="Times New Roman"/>
          <w:sz w:val="18"/>
          <w:szCs w:val="18"/>
          <w:color w:val="auto"/>
        </w:rPr>
      </w:pPr>
    </w:p>
    <w:p>
      <w:pPr>
        <w:ind w:left="1080" w:right="380" w:hanging="532"/>
        <w:spacing w:after="0" w:line="339" w:lineRule="auto"/>
        <w:tabs>
          <w:tab w:leader="none" w:pos="1080" w:val="left"/>
        </w:tabs>
        <w:numPr>
          <w:ilvl w:val="1"/>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to ensure that material information relating to the registrant, including its consolidated subsidiaries, is made known to us by others within those entities, particularly during the period in which this annual report is being prepared;</w:t>
      </w:r>
    </w:p>
    <w:p>
      <w:pPr>
        <w:spacing w:after="0" w:line="141" w:lineRule="exact"/>
        <w:rPr>
          <w:rFonts w:ascii="Times New Roman" w:cs="Times New Roman" w:eastAsia="Times New Roman" w:hAnsi="Times New Roman"/>
          <w:sz w:val="16"/>
          <w:szCs w:val="16"/>
          <w:color w:val="auto"/>
        </w:rPr>
      </w:pPr>
    </w:p>
    <w:p>
      <w:pPr>
        <w:ind w:left="1080" w:right="120" w:hanging="532"/>
        <w:spacing w:after="0" w:line="275" w:lineRule="auto"/>
        <w:tabs>
          <w:tab w:leader="none" w:pos="108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as of a date within 90 days prior to the filing date of this annual report (the "Evaluation Date"); and</w:t>
      </w:r>
    </w:p>
    <w:p>
      <w:pPr>
        <w:spacing w:after="0" w:line="187" w:lineRule="exact"/>
        <w:rPr>
          <w:rFonts w:ascii="Times New Roman" w:cs="Times New Roman" w:eastAsia="Times New Roman" w:hAnsi="Times New Roman"/>
          <w:sz w:val="18"/>
          <w:szCs w:val="18"/>
          <w:color w:val="auto"/>
        </w:rPr>
      </w:pPr>
    </w:p>
    <w:p>
      <w:pPr>
        <w:ind w:left="1080" w:right="60" w:hanging="532"/>
        <w:spacing w:after="0" w:line="275" w:lineRule="auto"/>
        <w:tabs>
          <w:tab w:leader="none" w:pos="108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Presented in this annual report our conclusions about the effectiveness of the disclosure controls and procedures based on our evaluation as of the Evaluation Date;</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60" w:lineRule="exact"/>
        <w:rPr>
          <w:rFonts w:ascii="Times New Roman" w:cs="Times New Roman" w:eastAsia="Times New Roman" w:hAnsi="Times New Roman"/>
          <w:sz w:val="18"/>
          <w:szCs w:val="18"/>
          <w:color w:val="auto"/>
        </w:rPr>
      </w:pPr>
    </w:p>
    <w:p>
      <w:pPr>
        <w:ind w:left="540" w:right="100" w:hanging="532"/>
        <w:spacing w:after="0" w:line="275" w:lineRule="auto"/>
        <w:tabs>
          <w:tab w:leader="none" w:pos="5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to the registrant's auditors and the audit committee of registrant's board of directors (or persons performing the equivalent functions):</w:t>
      </w:r>
    </w:p>
    <w:p>
      <w:pPr>
        <w:spacing w:after="0" w:line="200" w:lineRule="exact"/>
        <w:rPr>
          <w:rFonts w:ascii="Times New Roman" w:cs="Times New Roman" w:eastAsia="Times New Roman" w:hAnsi="Times New Roman"/>
          <w:sz w:val="18"/>
          <w:szCs w:val="18"/>
          <w:color w:val="auto"/>
        </w:rPr>
      </w:pPr>
    </w:p>
    <w:p>
      <w:pPr>
        <w:spacing w:after="0" w:line="203" w:lineRule="exact"/>
        <w:rPr>
          <w:rFonts w:ascii="Times New Roman" w:cs="Times New Roman" w:eastAsia="Times New Roman" w:hAnsi="Times New Roman"/>
          <w:sz w:val="18"/>
          <w:szCs w:val="18"/>
          <w:color w:val="auto"/>
        </w:rPr>
      </w:pPr>
    </w:p>
    <w:p>
      <w:pPr>
        <w:ind w:left="1080" w:right="200" w:hanging="532"/>
        <w:spacing w:after="0" w:line="339" w:lineRule="auto"/>
        <w:tabs>
          <w:tab w:leader="none" w:pos="1080" w:val="left"/>
        </w:tabs>
        <w:numPr>
          <w:ilvl w:val="1"/>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141" w:lineRule="exact"/>
        <w:rPr>
          <w:rFonts w:ascii="Times New Roman" w:cs="Times New Roman" w:eastAsia="Times New Roman" w:hAnsi="Times New Roman"/>
          <w:sz w:val="16"/>
          <w:szCs w:val="16"/>
          <w:color w:val="auto"/>
        </w:rPr>
      </w:pPr>
    </w:p>
    <w:p>
      <w:pPr>
        <w:ind w:left="1080" w:right="80" w:hanging="532"/>
        <w:spacing w:after="0" w:line="275" w:lineRule="auto"/>
        <w:tabs>
          <w:tab w:leader="none" w:pos="108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controls; and</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60" w:lineRule="exact"/>
        <w:rPr>
          <w:rFonts w:ascii="Times New Roman" w:cs="Times New Roman" w:eastAsia="Times New Roman" w:hAnsi="Times New Roman"/>
          <w:sz w:val="18"/>
          <w:szCs w:val="18"/>
          <w:color w:val="auto"/>
        </w:rPr>
      </w:pPr>
    </w:p>
    <w:p>
      <w:pPr>
        <w:ind w:left="540" w:right="120" w:hanging="532"/>
        <w:spacing w:after="0" w:line="262" w:lineRule="auto"/>
        <w:tabs>
          <w:tab w:leader="none" w:pos="5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indicated in this annual report whether or not there were significant changes in internal controls or in other factors that could significantly affect internal controls subsequent to the date of our most recent evaluation, including any corrective actions with regard to significant deficiencies and material weaknesses.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12, 2003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EDWARD J. HEFFERNAN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1461770" cy="21590"/>
            <wp:wrapNone/>
            <wp:docPr id="1258" name="Picture 1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8"/>
                    <pic:cNvPicPr>
                      <a:picLocks noChangeAspect="1" noChangeArrowheads="1"/>
                    </pic:cNvPicPr>
                  </pic:nvPicPr>
                  <pic:blipFill>
                    <a:blip r:embed="rId1265">
                      <a:extLst>
                        <a:ext uri="{28A0092B-C50C-407E-A947-70E740481C1C}"/>
                      </a:extLst>
                    </a:blip>
                    <a:srcRect/>
                    <a:stretch>
                      <a:fillRect/>
                    </a:stretch>
                  </pic:blipFill>
                  <pic:spPr bwMode="auto">
                    <a:xfrm>
                      <a:off x="0" y="0"/>
                      <a:ext cx="146177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Edward J. Heffernan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259" name="Picture 1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9"/>
                    <pic:cNvPicPr>
                      <a:picLocks noChangeAspect="1" noChangeArrowheads="1"/>
                    </pic:cNvPicPr>
                  </pic:nvPicPr>
                  <pic:blipFill>
                    <a:blip r:embed="rId12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II</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ALLIANCE DATA SYSTEMS CORPORATION</w:t>
      </w:r>
    </w:p>
    <w:p>
      <w:pPr>
        <w:spacing w:after="0" w:line="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CONSOLIDATED VALUATION AND QUALIFYING ACCOUNTS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jc w:val="center"/>
              <w:ind w:right="47"/>
              <w:spacing w:after="0"/>
              <w:rPr>
                <w:sz w:val="20"/>
                <w:szCs w:val="20"/>
                <w:color w:val="auto"/>
              </w:rPr>
            </w:pPr>
            <w:r>
              <w:rPr>
                <w:rFonts w:ascii="Times New Roman" w:cs="Times New Roman" w:eastAsia="Times New Roman" w:hAnsi="Times New Roman"/>
                <w:sz w:val="14"/>
                <w:szCs w:val="14"/>
                <w:b w:val="1"/>
                <w:bCs w:val="1"/>
                <w:color w:val="auto"/>
                <w:w w:val="95"/>
              </w:rPr>
              <w:t>Balance at</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center"/>
              <w:ind w:right="47"/>
              <w:spacing w:after="0" w:line="149" w:lineRule="exact"/>
              <w:rPr>
                <w:sz w:val="20"/>
                <w:szCs w:val="20"/>
                <w:color w:val="auto"/>
              </w:rPr>
            </w:pPr>
            <w:r>
              <w:rPr>
                <w:rFonts w:ascii="Times New Roman" w:cs="Times New Roman" w:eastAsia="Times New Roman" w:hAnsi="Times New Roman"/>
                <w:sz w:val="14"/>
                <w:szCs w:val="14"/>
                <w:b w:val="1"/>
                <w:bCs w:val="1"/>
                <w:color w:val="auto"/>
                <w:w w:val="96"/>
              </w:rPr>
              <w:t>beginning of</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ind w:right="26"/>
              <w:spacing w:after="0" w:line="149" w:lineRule="exact"/>
              <w:rPr>
                <w:sz w:val="20"/>
                <w:szCs w:val="20"/>
                <w:color w:val="auto"/>
              </w:rPr>
            </w:pPr>
            <w:r>
              <w:rPr>
                <w:rFonts w:ascii="Times New Roman" w:cs="Times New Roman" w:eastAsia="Times New Roman" w:hAnsi="Times New Roman"/>
                <w:sz w:val="14"/>
                <w:szCs w:val="14"/>
                <w:b w:val="1"/>
                <w:bCs w:val="1"/>
                <w:color w:val="auto"/>
                <w:w w:val="95"/>
              </w:rPr>
              <w:t>Balance at</w:t>
            </w:r>
          </w:p>
        </w:tc>
        <w:tc>
          <w:tcPr>
            <w:tcW w:w="0" w:type="dxa"/>
            <w:vAlign w:val="bottom"/>
          </w:tcPr>
          <w:p>
            <w:pPr>
              <w:spacing w:after="0"/>
              <w:rPr>
                <w:sz w:val="1"/>
                <w:szCs w:val="1"/>
                <w:color w:val="auto"/>
              </w:rPr>
            </w:pPr>
          </w:p>
        </w:tc>
      </w:tr>
      <w:tr>
        <w:trPr>
          <w:trHeight w:val="178"/>
        </w:trPr>
        <w:tc>
          <w:tcPr>
            <w:tcW w:w="48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center"/>
              <w:ind w:right="67"/>
              <w:spacing w:after="0"/>
              <w:rPr>
                <w:sz w:val="20"/>
                <w:szCs w:val="20"/>
                <w:color w:val="auto"/>
              </w:rPr>
            </w:pPr>
            <w:r>
              <w:rPr>
                <w:rFonts w:ascii="Times New Roman" w:cs="Times New Roman" w:eastAsia="Times New Roman" w:hAnsi="Times New Roman"/>
                <w:sz w:val="14"/>
                <w:szCs w:val="14"/>
                <w:b w:val="1"/>
                <w:bCs w:val="1"/>
                <w:color w:val="auto"/>
                <w:w w:val="97"/>
              </w:rPr>
              <w:t>period</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Increases</w:t>
            </w:r>
          </w:p>
        </w:tc>
        <w:tc>
          <w:tcPr>
            <w:tcW w:w="180" w:type="dxa"/>
            <w:vAlign w:val="bottom"/>
          </w:tcPr>
          <w:p>
            <w:pPr>
              <w:spacing w:after="0"/>
              <w:rPr>
                <w:sz w:val="15"/>
                <w:szCs w:val="15"/>
                <w:color w:val="auto"/>
              </w:rPr>
            </w:pPr>
          </w:p>
        </w:tc>
        <w:tc>
          <w:tcPr>
            <w:tcW w:w="12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Deductions</w:t>
            </w:r>
          </w:p>
        </w:tc>
        <w:tc>
          <w:tcPr>
            <w:tcW w:w="100" w:type="dxa"/>
            <w:vAlign w:val="bottom"/>
          </w:tcPr>
          <w:p>
            <w:pPr>
              <w:spacing w:after="0"/>
              <w:rPr>
                <w:sz w:val="15"/>
                <w:szCs w:val="15"/>
                <w:color w:val="auto"/>
              </w:rPr>
            </w:pPr>
          </w:p>
        </w:tc>
        <w:tc>
          <w:tcPr>
            <w:tcW w:w="860" w:type="dxa"/>
            <w:vAlign w:val="bottom"/>
          </w:tcPr>
          <w:p>
            <w:pPr>
              <w:jc w:val="center"/>
              <w:ind w:right="26"/>
              <w:spacing w:after="0"/>
              <w:rPr>
                <w:sz w:val="20"/>
                <w:szCs w:val="20"/>
                <w:color w:val="auto"/>
              </w:rPr>
            </w:pPr>
            <w:r>
              <w:rPr>
                <w:rFonts w:ascii="Times New Roman" w:cs="Times New Roman" w:eastAsia="Times New Roman" w:hAnsi="Times New Roman"/>
                <w:sz w:val="14"/>
                <w:szCs w:val="14"/>
                <w:b w:val="1"/>
                <w:bCs w:val="1"/>
                <w:color w:val="auto"/>
                <w:w w:val="95"/>
              </w:rPr>
              <w:t>end of period</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8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for Doubtful Accounts—Trade receivables:</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Year Ended December 31, 2000</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w:t>
            </w: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3,565</w:t>
            </w:r>
          </w:p>
        </w:tc>
        <w:tc>
          <w:tcPr>
            <w:tcW w:w="1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(768)</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3,876</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8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3081655</wp:posOffset>
            </wp:positionH>
            <wp:positionV relativeFrom="paragraph">
              <wp:posOffset>-476885</wp:posOffset>
            </wp:positionV>
            <wp:extent cx="12700" cy="8890"/>
            <wp:wrapNone/>
            <wp:docPr id="1260" name="Picture 1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0"/>
                    <pic:cNvPicPr>
                      <a:picLocks noChangeAspect="1" noChangeArrowheads="1"/>
                    </pic:cNvPicPr>
                  </pic:nvPicPr>
                  <pic:blipFill>
                    <a:blip r:embed="rId12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-476885</wp:posOffset>
            </wp:positionV>
            <wp:extent cx="12700" cy="8890"/>
            <wp:wrapNone/>
            <wp:docPr id="1261" name="Picture 1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1"/>
                    <pic:cNvPicPr>
                      <a:picLocks noChangeAspect="1" noChangeArrowheads="1"/>
                    </pic:cNvPicPr>
                  </pic:nvPicPr>
                  <pic:blipFill>
                    <a:blip r:embed="rId12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-476885</wp:posOffset>
            </wp:positionV>
            <wp:extent cx="12700" cy="8890"/>
            <wp:wrapNone/>
            <wp:docPr id="1262" name="Picture 1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2"/>
                    <pic:cNvPicPr>
                      <a:picLocks noChangeAspect="1" noChangeArrowheads="1"/>
                    </pic:cNvPicPr>
                  </pic:nvPicPr>
                  <pic:blipFill>
                    <a:blip r:embed="rId12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3210560</wp:posOffset>
            </wp:positionH>
            <wp:positionV relativeFrom="paragraph">
              <wp:posOffset>-476885</wp:posOffset>
            </wp:positionV>
            <wp:extent cx="12700" cy="8890"/>
            <wp:wrapNone/>
            <wp:docPr id="1263" name="Picture 1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3"/>
                    <pic:cNvPicPr>
                      <a:picLocks noChangeAspect="1" noChangeArrowheads="1"/>
                    </pic:cNvPicPr>
                  </pic:nvPicPr>
                  <pic:blipFill>
                    <a:blip r:embed="rId12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-476885</wp:posOffset>
            </wp:positionV>
            <wp:extent cx="12700" cy="8890"/>
            <wp:wrapNone/>
            <wp:docPr id="1264" name="Picture 1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4"/>
                    <pic:cNvPicPr>
                      <a:picLocks noChangeAspect="1" noChangeArrowheads="1"/>
                    </pic:cNvPicPr>
                  </pic:nvPicPr>
                  <pic:blipFill>
                    <a:blip r:embed="rId12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4033520</wp:posOffset>
            </wp:positionH>
            <wp:positionV relativeFrom="paragraph">
              <wp:posOffset>-476885</wp:posOffset>
            </wp:positionV>
            <wp:extent cx="12700" cy="8890"/>
            <wp:wrapNone/>
            <wp:docPr id="1265" name="Picture 1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5"/>
                    <pic:cNvPicPr>
                      <a:picLocks noChangeAspect="1" noChangeArrowheads="1"/>
                    </pic:cNvPicPr>
                  </pic:nvPicPr>
                  <pic:blipFill>
                    <a:blip r:embed="rId12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-476885</wp:posOffset>
            </wp:positionV>
            <wp:extent cx="12700" cy="8890"/>
            <wp:wrapNone/>
            <wp:docPr id="1266" name="Picture 1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6"/>
                    <pic:cNvPicPr>
                      <a:picLocks noChangeAspect="1" noChangeArrowheads="1"/>
                    </pic:cNvPicPr>
                  </pic:nvPicPr>
                  <pic:blipFill>
                    <a:blip r:embed="rId12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-476885</wp:posOffset>
            </wp:positionV>
            <wp:extent cx="12700" cy="8890"/>
            <wp:wrapNone/>
            <wp:docPr id="1267" name="Picture 1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7"/>
                    <pic:cNvPicPr>
                      <a:picLocks noChangeAspect="1" noChangeArrowheads="1"/>
                    </pic:cNvPicPr>
                  </pic:nvPicPr>
                  <pic:blipFill>
                    <a:blip r:embed="rId12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-476885</wp:posOffset>
            </wp:positionV>
            <wp:extent cx="12700" cy="8890"/>
            <wp:wrapNone/>
            <wp:docPr id="1268" name="Picture 1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8"/>
                    <pic:cNvPicPr>
                      <a:picLocks noChangeAspect="1" noChangeArrowheads="1"/>
                    </pic:cNvPicPr>
                  </pic:nvPicPr>
                  <pic:blipFill>
                    <a:blip r:embed="rId12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-476885</wp:posOffset>
            </wp:positionV>
            <wp:extent cx="12700" cy="8890"/>
            <wp:wrapNone/>
            <wp:docPr id="1269" name="Picture 1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9"/>
                    <pic:cNvPicPr>
                      <a:picLocks noChangeAspect="1" noChangeArrowheads="1"/>
                    </pic:cNvPicPr>
                  </pic:nvPicPr>
                  <pic:blipFill>
                    <a:blip r:embed="rId127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00" w:orient="portrait"/>
          <w:cols w:equalWidth="0" w:num="1">
            <w:col w:w="11360"/>
          </w:cols>
          <w:pgMar w:left="240" w:top="341" w:right="299" w:bottom="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21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Ended December 31, 2001</w:t>
            </w:r>
          </w:p>
        </w:tc>
        <w:tc>
          <w:tcPr>
            <w:tcW w:w="156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rPr>
              <w:t>3,876</w:t>
            </w:r>
          </w:p>
        </w:tc>
        <w:tc>
          <w:tcPr>
            <w:tcW w:w="1320" w:type="dxa"/>
            <w:vAlign w:val="bottom"/>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rPr>
              <w:t>3,735</w:t>
            </w:r>
          </w:p>
        </w:tc>
        <w:tc>
          <w:tcPr>
            <w:tcW w:w="140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(6,188)</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1,423</w:t>
            </w:r>
          </w:p>
        </w:tc>
        <w:tc>
          <w:tcPr>
            <w:tcW w:w="1380" w:type="dxa"/>
            <w:vAlign w:val="bottom"/>
          </w:tcPr>
          <w:p>
            <w:pPr>
              <w:spacing w:after="0"/>
              <w:rPr>
                <w:sz w:val="18"/>
                <w:szCs w:val="18"/>
                <w:color w:val="auto"/>
              </w:rPr>
            </w:pP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Year Ended December 31, 2002</w:t>
            </w:r>
          </w:p>
        </w:tc>
        <w:tc>
          <w:tcPr>
            <w:tcW w:w="156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rPr>
              <w:t>1,423</w:t>
            </w:r>
          </w:p>
        </w:tc>
        <w:tc>
          <w:tcPr>
            <w:tcW w:w="132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rPr>
              <w:t>3,238</w:t>
            </w:r>
          </w:p>
        </w:tc>
        <w:tc>
          <w:tcPr>
            <w:tcW w:w="140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(2,406)</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2,255</w:t>
            </w:r>
          </w:p>
        </w:tc>
        <w:tc>
          <w:tcPr>
            <w:tcW w:w="1380" w:type="dxa"/>
            <w:vAlign w:val="bottom"/>
          </w:tcPr>
          <w:p>
            <w:pPr>
              <w:spacing w:after="0"/>
              <w:rPr>
                <w:sz w:val="18"/>
                <w:szCs w:val="18"/>
                <w:color w:val="auto"/>
              </w:rPr>
            </w:pPr>
          </w:p>
        </w:tc>
      </w:tr>
      <w:tr>
        <w:trPr>
          <w:trHeight w:val="432"/>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for Doubtful Accounts—Credit Card receivables:</w:t>
            </w:r>
          </w:p>
        </w:tc>
        <w:tc>
          <w:tcPr>
            <w:tcW w:w="15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380" w:type="dxa"/>
            <w:vAlign w:val="bottom"/>
          </w:tcPr>
          <w:p>
            <w:pPr>
              <w:spacing w:after="0"/>
              <w:rPr>
                <w:sz w:val="24"/>
                <w:szCs w:val="24"/>
                <w:color w:val="auto"/>
              </w:rPr>
            </w:pP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Year Ended December 31, 2000</w:t>
            </w:r>
          </w:p>
        </w:tc>
        <w:tc>
          <w:tcPr>
            <w:tcW w:w="156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rPr>
              <w:t>3,657</w:t>
            </w:r>
          </w:p>
        </w:tc>
        <w:tc>
          <w:tcPr>
            <w:tcW w:w="132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rPr>
              <w:t>13,828</w:t>
            </w:r>
          </w:p>
        </w:tc>
        <w:tc>
          <w:tcPr>
            <w:tcW w:w="140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(13,828)</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3,657</w:t>
            </w:r>
          </w:p>
        </w:tc>
        <w:tc>
          <w:tcPr>
            <w:tcW w:w="1380" w:type="dxa"/>
            <w:vAlign w:val="bottom"/>
          </w:tcPr>
          <w:p>
            <w:pPr>
              <w:spacing w:after="0"/>
              <w:rPr>
                <w:sz w:val="18"/>
                <w:szCs w:val="18"/>
                <w:color w:val="auto"/>
              </w:rPr>
            </w:pPr>
          </w:p>
        </w:tc>
      </w:tr>
      <w:tr>
        <w:trPr>
          <w:trHeight w:val="21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Ended December 31, 2001</w:t>
            </w:r>
          </w:p>
        </w:tc>
        <w:tc>
          <w:tcPr>
            <w:tcW w:w="156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rPr>
              <w:t>3,657</w:t>
            </w:r>
          </w:p>
        </w:tc>
        <w:tc>
          <w:tcPr>
            <w:tcW w:w="1320" w:type="dxa"/>
            <w:vAlign w:val="bottom"/>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rPr>
              <w:t>18,887</w:t>
            </w:r>
          </w:p>
        </w:tc>
        <w:tc>
          <w:tcPr>
            <w:tcW w:w="140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(17,778)</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4,766</w:t>
            </w:r>
          </w:p>
        </w:tc>
        <w:tc>
          <w:tcPr>
            <w:tcW w:w="1380" w:type="dxa"/>
            <w:vAlign w:val="bottom"/>
          </w:tcPr>
          <w:p>
            <w:pPr>
              <w:spacing w:after="0"/>
              <w:rPr>
                <w:sz w:val="18"/>
                <w:szCs w:val="18"/>
                <w:color w:val="auto"/>
              </w:rPr>
            </w:pPr>
          </w:p>
        </w:tc>
      </w:tr>
      <w:tr>
        <w:trPr>
          <w:trHeight w:val="228"/>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Year Ended December 31, 2002</w:t>
            </w:r>
          </w:p>
        </w:tc>
        <w:tc>
          <w:tcPr>
            <w:tcW w:w="156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rPr>
              <w:t>4,766</w:t>
            </w:r>
          </w:p>
        </w:tc>
        <w:tc>
          <w:tcPr>
            <w:tcW w:w="132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rPr>
              <w:t>14,824</w:t>
            </w:r>
          </w:p>
        </w:tc>
        <w:tc>
          <w:tcPr>
            <w:tcW w:w="140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(13,678)</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5,912</w:t>
            </w:r>
          </w:p>
        </w:tc>
        <w:tc>
          <w:tcPr>
            <w:tcW w:w="1380" w:type="dxa"/>
            <w:vAlign w:val="bottom"/>
          </w:tcPr>
          <w:p>
            <w:pPr>
              <w:spacing w:after="0"/>
              <w:rPr>
                <w:sz w:val="19"/>
                <w:szCs w:val="19"/>
                <w:color w:val="auto"/>
              </w:rPr>
            </w:pPr>
          </w:p>
        </w:tc>
      </w:tr>
      <w:tr>
        <w:trPr>
          <w:trHeight w:val="106"/>
        </w:trPr>
        <w:tc>
          <w:tcPr>
            <w:tcW w:w="5020" w:type="dxa"/>
            <w:vAlign w:val="bottom"/>
            <w:tcBorders>
              <w:bottom w:val="single" w:sz="8" w:color="808080"/>
            </w:tcBorders>
          </w:tcPr>
          <w:p>
            <w:pPr>
              <w:spacing w:after="0"/>
              <w:rPr>
                <w:sz w:val="9"/>
                <w:szCs w:val="9"/>
                <w:color w:val="auto"/>
              </w:rPr>
            </w:pPr>
          </w:p>
        </w:tc>
        <w:tc>
          <w:tcPr>
            <w:tcW w:w="156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70" name="Picture 1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0"/>
                    <pic:cNvPicPr>
                      <a:picLocks noChangeAspect="1" noChangeArrowheads="1"/>
                    </pic:cNvPicPr>
                  </pic:nvPicPr>
                  <pic:blipFill>
                    <a:blip r:embed="rId12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71" name="Picture 1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1"/>
                    <pic:cNvPicPr>
                      <a:picLocks noChangeAspect="1" noChangeArrowheads="1"/>
                    </pic:cNvPicPr>
                  </pic:nvPicPr>
                  <pic:blipFill>
                    <a:blip r:embed="rId127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55" w:name="page56"/>
    <w:bookmarkEnd w:id="55"/>
    <w:p>
      <w:pPr>
        <w:spacing w:after="0"/>
        <w:rPr>
          <w:rFonts w:ascii="Times New Roman" w:cs="Times New Roman" w:eastAsia="Times New Roman" w:hAnsi="Times New Roman"/>
          <w:sz w:val="22"/>
          <w:szCs w:val="22"/>
          <w:color w:val="0000EE"/>
        </w:rPr>
      </w:pPr>
      <w:hyperlink w:anchor="page57">
        <w:r>
          <w:rPr>
            <w:rFonts w:ascii="Times New Roman" w:cs="Times New Roman" w:eastAsia="Times New Roman" w:hAnsi="Times New Roman"/>
            <w:sz w:val="22"/>
            <w:szCs w:val="22"/>
            <w:u w:val="single" w:color="auto"/>
            <w:color w:val="0000EE"/>
          </w:rPr>
          <w:t>QuickLinks</w:t>
        </w:r>
        <w:r>
          <w:rPr>
            <w:rFonts w:ascii="Times New Roman" w:cs="Times New Roman" w:eastAsia="Times New Roman" w:hAnsi="Times New Roman"/>
            <w:sz w:val="22"/>
            <w:szCs w:val="22"/>
            <w:color w:val="0000EE"/>
          </w:rPr>
          <w:t xml:space="preserve"> </w:t>
        </w:r>
      </w:hyperlink>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22"/>
          <w:szCs w:val="22"/>
          <w:color w:val="000000"/>
        </w:rPr>
        <w:t>Click here to rapidly navigate through this document</w:t>
      </w:r>
    </w:p>
    <w:p>
      <w:pPr>
        <w:spacing w:after="0" w:line="200" w:lineRule="exact"/>
        <w:rPr>
          <w:sz w:val="20"/>
          <w:szCs w:val="20"/>
          <w:color w:val="auto"/>
        </w:rPr>
      </w:pPr>
    </w:p>
    <w:p>
      <w:pPr>
        <w:spacing w:after="0" w:line="23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STRUCTURE AMENDMENT AND TERMINATION AGREEMENT</w:t>
      </w:r>
    </w:p>
    <w:p>
      <w:pPr>
        <w:spacing w:after="0" w:line="227" w:lineRule="exact"/>
        <w:rPr>
          <w:sz w:val="20"/>
          <w:szCs w:val="20"/>
          <w:color w:val="auto"/>
        </w:rPr>
      </w:pPr>
    </w:p>
    <w:p>
      <w:pPr>
        <w:ind w:right="200" w:firstLine="348"/>
        <w:spacing w:after="0" w:line="262" w:lineRule="auto"/>
        <w:rPr>
          <w:sz w:val="20"/>
          <w:szCs w:val="20"/>
          <w:color w:val="auto"/>
        </w:rPr>
      </w:pPr>
      <w:r>
        <w:rPr>
          <w:rFonts w:ascii="Times New Roman" w:cs="Times New Roman" w:eastAsia="Times New Roman" w:hAnsi="Times New Roman"/>
          <w:sz w:val="18"/>
          <w:szCs w:val="18"/>
          <w:color w:val="auto"/>
        </w:rPr>
        <w:t>This Structure Amendment and Termination Agreement is made by and between World Financial Network National Bank ("Bank") and Express, LLC (the "Corporation"), and Retail Factoring, Inc., a Nevada corporation ("Factoring") (the Corporation and Factoring being collectively referred to herein as the "Company").</w:t>
      </w:r>
    </w:p>
    <w:p>
      <w:pPr>
        <w:spacing w:after="0" w:line="184" w:lineRule="exact"/>
        <w:rPr>
          <w:sz w:val="20"/>
          <w:szCs w:val="20"/>
          <w:color w:val="auto"/>
        </w:rPr>
      </w:pPr>
    </w:p>
    <w:p>
      <w:pPr>
        <w:ind w:right="160" w:firstLine="351"/>
        <w:spacing w:after="0" w:line="264"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Bank and Company have entered into a Private Label Credit Card Program Agreement (the "Express Program Agreement") dated August 29,</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2002, pursuant to which Bank issues private label credit cards bearing the Company's Marks, which allows Customers of Company to purchase Goods and/or Services from Company; and</w:t>
      </w:r>
    </w:p>
    <w:p>
      <w:pPr>
        <w:spacing w:after="0" w:line="181" w:lineRule="exact"/>
        <w:rPr>
          <w:sz w:val="20"/>
          <w:szCs w:val="20"/>
          <w:color w:val="auto"/>
        </w:rPr>
      </w:pPr>
    </w:p>
    <w:p>
      <w:pPr>
        <w:ind w:right="80" w:firstLine="351"/>
        <w:spacing w:after="0" w:line="259"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Bank and Structure, Inc., a Delaware corporation and Mountain Factoring, Inc., a Nevada corporation (Structure Inc. and Mountain Factoring,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 collectively referred to herein as "Structure") have entered into a Private Label Credit Card Program Agreement (the "Structure Program Agreement"; together with the Express Program Agreement, the "Program Agreements") dated August 29, 2002, pursuant to which Bank issues private label credit cards bearing Structure's Marks, which allows Customers of Structure to purchase Goods and/or Services from Structure; and</w:t>
      </w:r>
    </w:p>
    <w:p>
      <w:pPr>
        <w:spacing w:after="0" w:line="18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Mountain Factoring, Inc. has been merged into Structure, Inc., and Structure, Inc. has thereafter been merged into the Corporation; and</w:t>
      </w:r>
    </w:p>
    <w:p>
      <w:pPr>
        <w:spacing w:after="0" w:line="225" w:lineRule="exact"/>
        <w:rPr>
          <w:sz w:val="20"/>
          <w:szCs w:val="20"/>
          <w:color w:val="auto"/>
        </w:rPr>
      </w:pPr>
    </w:p>
    <w:p>
      <w:pPr>
        <w:ind w:right="60" w:firstLine="351"/>
        <w:spacing w:after="0" w:line="277"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as a result of the merger, the Corporation and Bank now desire to terminate the Structure Program Agreement and amend the Express Program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to apply to the Structure Accounts.</w:t>
      </w:r>
    </w:p>
    <w:p>
      <w:pPr>
        <w:spacing w:after="0" w:line="17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Bank and Company agree as follows:</w:t>
      </w:r>
    </w:p>
    <w:p>
      <w:pPr>
        <w:spacing w:after="0" w:line="241" w:lineRule="exact"/>
        <w:rPr>
          <w:sz w:val="20"/>
          <w:szCs w:val="20"/>
          <w:color w:val="auto"/>
        </w:rPr>
      </w:pPr>
    </w:p>
    <w:p>
      <w:pPr>
        <w:ind w:left="540" w:right="160" w:hanging="532"/>
        <w:spacing w:after="0" w:line="275" w:lineRule="auto"/>
        <w:tabs>
          <w:tab w:leader="none" w:pos="5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defined herein, capitalized terms used in this Structure Amendment and Termination Agreement shall have the same meaning assigned to them in the respective Program Agreements.</w:t>
      </w:r>
    </w:p>
    <w:p>
      <w:pPr>
        <w:spacing w:after="0" w:line="200" w:lineRule="exact"/>
        <w:rPr>
          <w:rFonts w:ascii="Times New Roman" w:cs="Times New Roman" w:eastAsia="Times New Roman" w:hAnsi="Times New Roman"/>
          <w:sz w:val="18"/>
          <w:szCs w:val="18"/>
          <w:color w:val="auto"/>
        </w:rPr>
      </w:pPr>
    </w:p>
    <w:p>
      <w:pPr>
        <w:ind w:left="540" w:hanging="532"/>
        <w:spacing w:after="0" w:line="262" w:lineRule="auto"/>
        <w:tabs>
          <w:tab w:leader="none" w:pos="5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hereby represents and warrants to Bank that Mountain Factoring, Inc. has been merged into Structure, Inc. and Structure, Inc. has thereafter been merged into the Corporation and that the Corporation, as successor by merger, hereby assumes all of Structure's obligations and liabilities pursuant to the Structure Program Agreement.</w:t>
      </w:r>
    </w:p>
    <w:p>
      <w:pPr>
        <w:spacing w:after="0" w:line="199" w:lineRule="exact"/>
        <w:rPr>
          <w:rFonts w:ascii="Times New Roman" w:cs="Times New Roman" w:eastAsia="Times New Roman" w:hAnsi="Times New Roman"/>
          <w:sz w:val="18"/>
          <w:szCs w:val="18"/>
          <w:color w:val="auto"/>
        </w:rPr>
      </w:pPr>
    </w:p>
    <w:p>
      <w:pPr>
        <w:ind w:left="540" w:right="200" w:hanging="532"/>
        <w:spacing w:after="0" w:line="275" w:lineRule="auto"/>
        <w:tabs>
          <w:tab w:leader="none" w:pos="5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Corporation, as successor by merger to Structure, and Bank hereby agree effective as of 12:00 a.m. February 2, 2003 to terminate the Structure Program Agreement.</w:t>
      </w:r>
    </w:p>
    <w:p>
      <w:pPr>
        <w:spacing w:after="0" w:line="187" w:lineRule="exact"/>
        <w:rPr>
          <w:rFonts w:ascii="Times New Roman" w:cs="Times New Roman" w:eastAsia="Times New Roman" w:hAnsi="Times New Roman"/>
          <w:sz w:val="18"/>
          <w:szCs w:val="18"/>
          <w:color w:val="auto"/>
        </w:rPr>
      </w:pPr>
    </w:p>
    <w:p>
      <w:pPr>
        <w:ind w:left="540" w:right="200" w:hanging="532"/>
        <w:spacing w:after="0" w:line="262" w:lineRule="auto"/>
        <w:tabs>
          <w:tab w:leader="none" w:pos="5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Company hereby represents and warrants to Bank that the term "Structure" is designated by Company as a Mark under the Express Program Agreement and that all of the provisions of Section 2.10, </w:t>
      </w:r>
      <w:r>
        <w:rPr>
          <w:rFonts w:ascii="Times New Roman" w:cs="Times New Roman" w:eastAsia="Times New Roman" w:hAnsi="Times New Roman"/>
          <w:sz w:val="18"/>
          <w:szCs w:val="18"/>
          <w:i w:val="1"/>
          <w:iCs w:val="1"/>
          <w:color w:val="auto"/>
        </w:rPr>
        <w:t>Ownership of Company Name</w:t>
      </w:r>
      <w:r>
        <w:rPr>
          <w:rFonts w:ascii="Times New Roman" w:cs="Times New Roman" w:eastAsia="Times New Roman" w:hAnsi="Times New Roman"/>
          <w:sz w:val="18"/>
          <w:szCs w:val="18"/>
          <w:color w:val="auto"/>
        </w:rPr>
        <w:t>, of the Express Program Agreement shall apply with respect to all Name Rights associated with such Mark.</w:t>
      </w:r>
    </w:p>
    <w:p>
      <w:pPr>
        <w:spacing w:after="0" w:line="211"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definition of the term "Account" in Section 1.1, </w:t>
      </w:r>
      <w:r>
        <w:rPr>
          <w:rFonts w:ascii="Times New Roman" w:cs="Times New Roman" w:eastAsia="Times New Roman" w:hAnsi="Times New Roman"/>
          <w:sz w:val="18"/>
          <w:szCs w:val="18"/>
          <w:i w:val="1"/>
          <w:iCs w:val="1"/>
          <w:color w:val="auto"/>
        </w:rPr>
        <w:t>Certain Definitions</w:t>
      </w:r>
      <w:r>
        <w:rPr>
          <w:rFonts w:ascii="Times New Roman" w:cs="Times New Roman" w:eastAsia="Times New Roman" w:hAnsi="Times New Roman"/>
          <w:sz w:val="18"/>
          <w:szCs w:val="18"/>
          <w:color w:val="auto"/>
        </w:rPr>
        <w:t>, of the Express Program Agreement is hereby amended to read as follows:</w:t>
      </w:r>
    </w:p>
    <w:p>
      <w:pPr>
        <w:spacing w:after="0" w:line="227" w:lineRule="exact"/>
        <w:rPr>
          <w:rFonts w:ascii="Times New Roman" w:cs="Times New Roman" w:eastAsia="Times New Roman" w:hAnsi="Times New Roman"/>
          <w:sz w:val="18"/>
          <w:szCs w:val="18"/>
          <w:color w:val="auto"/>
        </w:rPr>
      </w:pPr>
    </w:p>
    <w:p>
      <w:pPr>
        <w:ind w:left="540" w:right="760"/>
        <w:spacing w:after="0" w:line="2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 shall mean an individual open-end revolving line of credit established by Bank for a Customer pursuant to the terms of a Credit Card Agreement, including without limitation, each of the Existing Accounts and Structure Accounts."</w:t>
      </w:r>
    </w:p>
    <w:p>
      <w:pPr>
        <w:spacing w:after="0" w:line="185"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i w:val="1"/>
          <w:iCs w:val="1"/>
          <w:color w:val="auto"/>
        </w:rPr>
        <w:t>Certain Definitions</w:t>
      </w:r>
      <w:r>
        <w:rPr>
          <w:rFonts w:ascii="Times New Roman" w:cs="Times New Roman" w:eastAsia="Times New Roman" w:hAnsi="Times New Roman"/>
          <w:sz w:val="18"/>
          <w:szCs w:val="18"/>
          <w:color w:val="auto"/>
        </w:rPr>
        <w:t>, of the Express Program Agreement is hereby amended to add the following new definition of Structure Accounts:</w:t>
      </w:r>
    </w:p>
    <w:p>
      <w:pPr>
        <w:spacing w:after="0" w:line="227" w:lineRule="exact"/>
        <w:rPr>
          <w:sz w:val="20"/>
          <w:szCs w:val="20"/>
          <w:color w:val="auto"/>
        </w:rPr>
      </w:pPr>
    </w:p>
    <w:p>
      <w:pPr>
        <w:ind w:left="540" w:right="40"/>
        <w:spacing w:after="0" w:line="275" w:lineRule="auto"/>
        <w:rPr>
          <w:sz w:val="20"/>
          <w:szCs w:val="20"/>
          <w:color w:val="auto"/>
        </w:rPr>
      </w:pPr>
      <w:r>
        <w:rPr>
          <w:rFonts w:ascii="Times New Roman" w:cs="Times New Roman" w:eastAsia="Times New Roman" w:hAnsi="Times New Roman"/>
          <w:sz w:val="18"/>
          <w:szCs w:val="18"/>
          <w:color w:val="auto"/>
        </w:rPr>
        <w:t>"Structure Accounts" shall mean all of those certain Accounts in existence under the Structure Program Agreement as of the effective date of the Structure Amendment and Termination Agreement between the parties hereto."</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72" name="Picture 1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2"/>
                    <pic:cNvPicPr>
                      <a:picLocks noChangeAspect="1" noChangeArrowheads="1"/>
                    </pic:cNvPicPr>
                  </pic:nvPicPr>
                  <pic:blipFill>
                    <a:blip r:embed="rId12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540" w:right="180" w:hanging="532"/>
        <w:spacing w:after="0" w:line="275" w:lineRule="auto"/>
        <w:tabs>
          <w:tab w:leader="none" w:pos="5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any conflict between the provisions of this Structure Amendment and Termination Agreement and the provisions of the Express Program Agreement, the provisions of this Structure Amendment and Termination Agreement shall prevail.</w:t>
      </w:r>
    </w:p>
    <w:p>
      <w:pPr>
        <w:spacing w:after="0" w:line="200"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 date of this Structure Amendment and Termination Agreement shall be 12:00 a.m. on the 2nd day of February, 2003.</w:t>
      </w:r>
    </w:p>
    <w:p>
      <w:pPr>
        <w:spacing w:after="0" w:line="238"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hereby amended and supplemented, the Express Program Agreement shall remain in full force and effect.</w:t>
      </w:r>
    </w:p>
    <w:p>
      <w:pPr>
        <w:spacing w:after="0" w:line="2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have executed this Structure Amendment and Termination Agreement as of the dates set forth below.</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World Financial Network National Bank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646430</wp:posOffset>
            </wp:positionH>
            <wp:positionV relativeFrom="paragraph">
              <wp:posOffset>-38100</wp:posOffset>
            </wp:positionV>
            <wp:extent cx="2791460" cy="21590"/>
            <wp:wrapNone/>
            <wp:docPr id="1273" name="Picture 1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3"/>
                    <pic:cNvPicPr>
                      <a:picLocks noChangeAspect="1" noChangeArrowheads="1"/>
                    </pic:cNvPicPr>
                  </pic:nvPicPr>
                  <pic:blipFill>
                    <a:blip r:embed="rId1280">
                      <a:extLst>
                        <a:ext uri="{28A0092B-C50C-407E-A947-70E740481C1C}"/>
                      </a:extLst>
                    </a:blip>
                    <a:srcRect/>
                    <a:stretch>
                      <a:fillRect/>
                    </a:stretch>
                  </pic:blipFill>
                  <pic:spPr bwMode="auto">
                    <a:xfrm>
                      <a:off x="0" y="0"/>
                      <a:ext cx="2791460" cy="21590"/>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646430</wp:posOffset>
            </wp:positionH>
            <wp:positionV relativeFrom="paragraph">
              <wp:posOffset>-38100</wp:posOffset>
            </wp:positionV>
            <wp:extent cx="2791460" cy="21590"/>
            <wp:wrapNone/>
            <wp:docPr id="1274" name="Picture 1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4"/>
                    <pic:cNvPicPr>
                      <a:picLocks noChangeAspect="1" noChangeArrowheads="1"/>
                    </pic:cNvPicPr>
                  </pic:nvPicPr>
                  <pic:blipFill>
                    <a:blip r:embed="rId1281">
                      <a:extLst>
                        <a:ext uri="{28A0092B-C50C-407E-A947-70E740481C1C}"/>
                      </a:extLst>
                    </a:blip>
                    <a:srcRect/>
                    <a:stretch>
                      <a:fillRect/>
                    </a:stretch>
                  </pic:blipFill>
                  <pic:spPr bwMode="auto">
                    <a:xfrm>
                      <a:off x="0" y="0"/>
                      <a:ext cx="2791460" cy="21590"/>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646430</wp:posOffset>
            </wp:positionH>
            <wp:positionV relativeFrom="paragraph">
              <wp:posOffset>-38100</wp:posOffset>
            </wp:positionV>
            <wp:extent cx="2791460" cy="21590"/>
            <wp:wrapNone/>
            <wp:docPr id="1275" name="Picture 1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5"/>
                    <pic:cNvPicPr>
                      <a:picLocks noChangeAspect="1" noChangeArrowheads="1"/>
                    </pic:cNvPicPr>
                  </pic:nvPicPr>
                  <pic:blipFill>
                    <a:blip r:embed="rId1282">
                      <a:extLst>
                        <a:ext uri="{28A0092B-C50C-407E-A947-70E740481C1C}"/>
                      </a:extLst>
                    </a:blip>
                    <a:srcRect/>
                    <a:stretch>
                      <a:fillRect/>
                    </a:stretch>
                  </pic:blipFill>
                  <pic:spPr bwMode="auto">
                    <a:xfrm>
                      <a:off x="0" y="0"/>
                      <a:ext cx="2791460" cy="21590"/>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646430</wp:posOffset>
            </wp:positionH>
            <wp:positionV relativeFrom="paragraph">
              <wp:posOffset>-38100</wp:posOffset>
            </wp:positionV>
            <wp:extent cx="2791460" cy="21590"/>
            <wp:wrapNone/>
            <wp:docPr id="1276" name="Picture 1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6"/>
                    <pic:cNvPicPr>
                      <a:picLocks noChangeAspect="1" noChangeArrowheads="1"/>
                    </pic:cNvPicPr>
                  </pic:nvPicPr>
                  <pic:blipFill>
                    <a:blip r:embed="rId1283">
                      <a:extLst>
                        <a:ext uri="{28A0092B-C50C-407E-A947-70E740481C1C}"/>
                      </a:extLst>
                    </a:blip>
                    <a:srcRect/>
                    <a:stretch>
                      <a:fillRect/>
                    </a:stretch>
                  </pic:blipFill>
                  <pic:spPr bwMode="auto">
                    <a:xfrm>
                      <a:off x="0" y="0"/>
                      <a:ext cx="2791460" cy="21590"/>
                    </a:xfrm>
                    <a:prstGeom prst="rect">
                      <a:avLst/>
                    </a:prstGeom>
                    <a:noFill/>
                  </pic:spPr>
                </pic:pic>
              </a:graphicData>
            </a:graphic>
          </wp:anchor>
        </w:drawing>
      </w:r>
    </w:p>
    <w:p>
      <w:pPr>
        <w:spacing w:after="0" w:line="259" w:lineRule="exact"/>
        <w:rPr>
          <w:sz w:val="20"/>
          <w:szCs w:val="20"/>
          <w:color w:val="auto"/>
        </w:rPr>
      </w:pPr>
    </w:p>
    <w:p>
      <w:pPr>
        <w:spacing w:after="0"/>
        <w:tabs>
          <w:tab w:leader="none" w:pos="5960" w:val="left"/>
        </w:tabs>
        <w:rPr>
          <w:sz w:val="20"/>
          <w:szCs w:val="20"/>
          <w:color w:val="auto"/>
        </w:rPr>
      </w:pPr>
      <w:r>
        <w:rPr>
          <w:rFonts w:ascii="Times New Roman" w:cs="Times New Roman" w:eastAsia="Times New Roman" w:hAnsi="Times New Roman"/>
          <w:sz w:val="18"/>
          <w:szCs w:val="18"/>
          <w:color w:val="auto"/>
        </w:rPr>
        <w:t>Express, LLC</w:t>
      </w:r>
      <w:r>
        <w:rPr>
          <w:sz w:val="20"/>
          <w:szCs w:val="20"/>
          <w:color w:val="auto"/>
        </w:rPr>
        <w:tab/>
      </w:r>
      <w:r>
        <w:rPr>
          <w:rFonts w:ascii="Times New Roman" w:cs="Times New Roman" w:eastAsia="Times New Roman" w:hAnsi="Times New Roman"/>
          <w:sz w:val="16"/>
          <w:szCs w:val="16"/>
          <w:color w:val="auto"/>
        </w:rPr>
        <w:t>Retail Factoring, Inc.</w:t>
      </w:r>
    </w:p>
    <w:p>
      <w:pPr>
        <w:sectPr>
          <w:pgSz w:w="11900" w:h="16838" w:orient="portrait"/>
          <w:cols w:equalWidth="0" w:num="1">
            <w:col w:w="11420"/>
          </w:cols>
          <w:pgMar w:left="240" w:top="355" w:right="239" w:bottom="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207"/>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400" w:type="dxa"/>
            <w:vAlign w:val="bottom"/>
            <w:tcBorders>
              <w:bottom w:val="single" w:sz="8" w:color="808080"/>
            </w:tcBorders>
          </w:tcPr>
          <w:p>
            <w:pPr>
              <w:spacing w:after="0"/>
              <w:rPr>
                <w:sz w:val="17"/>
                <w:szCs w:val="17"/>
                <w:color w:val="auto"/>
              </w:rPr>
            </w:pPr>
          </w:p>
        </w:tc>
        <w:tc>
          <w:tcPr>
            <w:tcW w:w="15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By:</w:t>
            </w:r>
          </w:p>
        </w:tc>
        <w:tc>
          <w:tcPr>
            <w:tcW w:w="4420" w:type="dxa"/>
            <w:vAlign w:val="bottom"/>
            <w:tcBorders>
              <w:bottom w:val="single" w:sz="8" w:color="808080"/>
            </w:tcBorders>
          </w:tcPr>
          <w:p>
            <w:pPr>
              <w:spacing w:after="0"/>
              <w:rPr>
                <w:sz w:val="17"/>
                <w:szCs w:val="17"/>
                <w:color w:val="auto"/>
              </w:rPr>
            </w:pPr>
          </w:p>
        </w:tc>
      </w:tr>
      <w:tr>
        <w:trPr>
          <w:trHeight w:val="46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400" w:type="dxa"/>
            <w:vAlign w:val="bottom"/>
            <w:tcBorders>
              <w:bottom w:val="single" w:sz="8" w:color="808080"/>
            </w:tcBorders>
          </w:tcPr>
          <w:p>
            <w:pPr>
              <w:spacing w:after="0"/>
              <w:rPr>
                <w:sz w:val="24"/>
                <w:szCs w:val="24"/>
                <w:color w:val="auto"/>
              </w:rPr>
            </w:pPr>
          </w:p>
        </w:tc>
        <w:tc>
          <w:tcPr>
            <w:tcW w:w="15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Name:</w:t>
            </w:r>
          </w:p>
        </w:tc>
        <w:tc>
          <w:tcPr>
            <w:tcW w:w="4420" w:type="dxa"/>
            <w:vAlign w:val="bottom"/>
            <w:tcBorders>
              <w:bottom w:val="single" w:sz="8" w:color="808080"/>
            </w:tcBorders>
          </w:tcPr>
          <w:p>
            <w:pPr>
              <w:spacing w:after="0"/>
              <w:rPr>
                <w:sz w:val="24"/>
                <w:szCs w:val="24"/>
                <w:color w:val="auto"/>
              </w:rPr>
            </w:pPr>
          </w:p>
        </w:tc>
      </w:tr>
      <w:tr>
        <w:trPr>
          <w:trHeight w:val="46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400" w:type="dxa"/>
            <w:vAlign w:val="bottom"/>
            <w:tcBorders>
              <w:bottom w:val="single" w:sz="8" w:color="808080"/>
            </w:tcBorders>
          </w:tcPr>
          <w:p>
            <w:pPr>
              <w:spacing w:after="0"/>
              <w:rPr>
                <w:sz w:val="24"/>
                <w:szCs w:val="24"/>
                <w:color w:val="auto"/>
              </w:rPr>
            </w:pPr>
          </w:p>
        </w:tc>
        <w:tc>
          <w:tcPr>
            <w:tcW w:w="15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Title:</w:t>
            </w:r>
          </w:p>
        </w:tc>
        <w:tc>
          <w:tcPr>
            <w:tcW w:w="4420" w:type="dxa"/>
            <w:vAlign w:val="bottom"/>
            <w:tcBorders>
              <w:bottom w:val="single" w:sz="8" w:color="808080"/>
            </w:tcBorders>
          </w:tcPr>
          <w:p>
            <w:pPr>
              <w:spacing w:after="0"/>
              <w:rPr>
                <w:sz w:val="24"/>
                <w:szCs w:val="24"/>
                <w:color w:val="auto"/>
              </w:rPr>
            </w:pPr>
          </w:p>
        </w:tc>
      </w:tr>
      <w:tr>
        <w:trPr>
          <w:trHeight w:val="46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4400" w:type="dxa"/>
            <w:vAlign w:val="bottom"/>
            <w:tcBorders>
              <w:bottom w:val="single" w:sz="8" w:color="808080"/>
            </w:tcBorders>
          </w:tcPr>
          <w:p>
            <w:pPr>
              <w:spacing w:after="0"/>
              <w:rPr>
                <w:sz w:val="24"/>
                <w:szCs w:val="24"/>
                <w:color w:val="auto"/>
              </w:rPr>
            </w:pPr>
          </w:p>
        </w:tc>
        <w:tc>
          <w:tcPr>
            <w:tcW w:w="15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Date:</w:t>
            </w:r>
          </w:p>
        </w:tc>
        <w:tc>
          <w:tcPr>
            <w:tcW w:w="4420" w:type="dxa"/>
            <w:vAlign w:val="bottom"/>
            <w:tcBorders>
              <w:bottom w:val="single" w:sz="8" w:color="808080"/>
            </w:tcBorders>
          </w:tcPr>
          <w:p>
            <w:pPr>
              <w:spacing w:after="0"/>
              <w:rPr>
                <w:sz w:val="24"/>
                <w:szCs w:val="24"/>
                <w:color w:val="auto"/>
              </w:rPr>
            </w:pPr>
          </w:p>
        </w:tc>
      </w:tr>
      <w:tr>
        <w:trPr>
          <w:trHeight w:val="535"/>
        </w:trPr>
        <w:tc>
          <w:tcPr>
            <w:tcW w:w="1020" w:type="dxa"/>
            <w:vAlign w:val="bottom"/>
          </w:tcPr>
          <w:p>
            <w:pPr>
              <w:spacing w:after="0"/>
              <w:rPr>
                <w:sz w:val="24"/>
                <w:szCs w:val="24"/>
                <w:color w:val="auto"/>
              </w:rPr>
            </w:pPr>
          </w:p>
        </w:tc>
        <w:tc>
          <w:tcPr>
            <w:tcW w:w="5980" w:type="dxa"/>
            <w:vAlign w:val="bottom"/>
            <w:gridSpan w:val="2"/>
          </w:tcPr>
          <w:p>
            <w:pPr>
              <w:jc w:val="right"/>
              <w:ind w:right="1152"/>
              <w:spacing w:after="0"/>
              <w:rPr>
                <w:sz w:val="20"/>
                <w:szCs w:val="20"/>
                <w:color w:val="auto"/>
              </w:rPr>
            </w:pPr>
            <w:r>
              <w:rPr>
                <w:rFonts w:ascii="Times New Roman" w:cs="Times New Roman" w:eastAsia="Times New Roman" w:hAnsi="Times New Roman"/>
                <w:sz w:val="18"/>
                <w:szCs w:val="18"/>
                <w:color w:val="auto"/>
              </w:rPr>
              <w:t>2</w:t>
            </w:r>
          </w:p>
        </w:tc>
        <w:tc>
          <w:tcPr>
            <w:tcW w:w="4420" w:type="dxa"/>
            <w:vAlign w:val="bottom"/>
          </w:tcPr>
          <w:p>
            <w:pPr>
              <w:spacing w:after="0"/>
              <w:rPr>
                <w:sz w:val="24"/>
                <w:szCs w:val="24"/>
                <w:color w:val="auto"/>
              </w:rPr>
            </w:pPr>
          </w:p>
        </w:tc>
      </w:tr>
      <w:tr>
        <w:trPr>
          <w:trHeight w:val="228"/>
        </w:trPr>
        <w:tc>
          <w:tcPr>
            <w:tcW w:w="1020" w:type="dxa"/>
            <w:vAlign w:val="bottom"/>
            <w:tcBorders>
              <w:bottom w:val="single" w:sz="8" w:color="808080"/>
            </w:tcBorders>
          </w:tcPr>
          <w:p>
            <w:pPr>
              <w:spacing w:after="0"/>
              <w:rPr>
                <w:sz w:val="19"/>
                <w:szCs w:val="19"/>
                <w:color w:val="auto"/>
              </w:rPr>
            </w:pPr>
          </w:p>
        </w:tc>
        <w:tc>
          <w:tcPr>
            <w:tcW w:w="4400" w:type="dxa"/>
            <w:vAlign w:val="bottom"/>
            <w:tcBorders>
              <w:bottom w:val="single" w:sz="8" w:color="808080"/>
            </w:tcBorders>
          </w:tcPr>
          <w:p>
            <w:pPr>
              <w:spacing w:after="0"/>
              <w:rPr>
                <w:sz w:val="19"/>
                <w:szCs w:val="19"/>
                <w:color w:val="auto"/>
              </w:rPr>
            </w:pPr>
          </w:p>
        </w:tc>
        <w:tc>
          <w:tcPr>
            <w:tcW w:w="1580" w:type="dxa"/>
            <w:vAlign w:val="bottom"/>
            <w:tcBorders>
              <w:bottom w:val="single" w:sz="8" w:color="808080"/>
            </w:tcBorders>
          </w:tcPr>
          <w:p>
            <w:pPr>
              <w:spacing w:after="0"/>
              <w:rPr>
                <w:sz w:val="19"/>
                <w:szCs w:val="19"/>
                <w:color w:val="auto"/>
              </w:rPr>
            </w:pPr>
          </w:p>
        </w:tc>
        <w:tc>
          <w:tcPr>
            <w:tcW w:w="44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3424555</wp:posOffset>
            </wp:positionH>
            <wp:positionV relativeFrom="paragraph">
              <wp:posOffset>-1437640</wp:posOffset>
            </wp:positionV>
            <wp:extent cx="12700" cy="8890"/>
            <wp:wrapNone/>
            <wp:docPr id="1277" name="Picture 1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7"/>
                    <pic:cNvPicPr>
                      <a:picLocks noChangeAspect="1" noChangeArrowheads="1"/>
                    </pic:cNvPicPr>
                  </pic:nvPicPr>
                  <pic:blipFill>
                    <a:blip r:embed="rId12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646430</wp:posOffset>
            </wp:positionH>
            <wp:positionV relativeFrom="paragraph">
              <wp:posOffset>-1437640</wp:posOffset>
            </wp:positionV>
            <wp:extent cx="12700" cy="8890"/>
            <wp:wrapNone/>
            <wp:docPr id="1278" name="Picture 1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8"/>
                    <pic:cNvPicPr>
                      <a:picLocks noChangeAspect="1" noChangeArrowheads="1"/>
                    </pic:cNvPicPr>
                  </pic:nvPicPr>
                  <pic:blipFill>
                    <a:blip r:embed="rId12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-1437640</wp:posOffset>
            </wp:positionV>
            <wp:extent cx="12700" cy="8890"/>
            <wp:wrapNone/>
            <wp:docPr id="1279" name="Picture 1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9"/>
                    <pic:cNvPicPr>
                      <a:picLocks noChangeAspect="1" noChangeArrowheads="1"/>
                    </pic:cNvPicPr>
                  </pic:nvPicPr>
                  <pic:blipFill>
                    <a:blip r:embed="rId12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-1437640</wp:posOffset>
            </wp:positionV>
            <wp:extent cx="12700" cy="8890"/>
            <wp:wrapNone/>
            <wp:docPr id="1280" name="Picture 1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0"/>
                    <pic:cNvPicPr>
                      <a:picLocks noChangeAspect="1" noChangeArrowheads="1"/>
                    </pic:cNvPicPr>
                  </pic:nvPicPr>
                  <pic:blipFill>
                    <a:blip r:embed="rId12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3424555</wp:posOffset>
            </wp:positionH>
            <wp:positionV relativeFrom="paragraph">
              <wp:posOffset>-1129030</wp:posOffset>
            </wp:positionV>
            <wp:extent cx="12700" cy="8890"/>
            <wp:wrapNone/>
            <wp:docPr id="1281" name="Picture 1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1"/>
                    <pic:cNvPicPr>
                      <a:picLocks noChangeAspect="1" noChangeArrowheads="1"/>
                    </pic:cNvPicPr>
                  </pic:nvPicPr>
                  <pic:blipFill>
                    <a:blip r:embed="rId12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646430</wp:posOffset>
            </wp:positionH>
            <wp:positionV relativeFrom="paragraph">
              <wp:posOffset>-1129030</wp:posOffset>
            </wp:positionV>
            <wp:extent cx="12700" cy="8890"/>
            <wp:wrapNone/>
            <wp:docPr id="1282" name="Picture 1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2"/>
                    <pic:cNvPicPr>
                      <a:picLocks noChangeAspect="1" noChangeArrowheads="1"/>
                    </pic:cNvPicPr>
                  </pic:nvPicPr>
                  <pic:blipFill>
                    <a:blip r:embed="rId12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-1129030</wp:posOffset>
            </wp:positionV>
            <wp:extent cx="12700" cy="8890"/>
            <wp:wrapNone/>
            <wp:docPr id="1283" name="Picture 1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3"/>
                    <pic:cNvPicPr>
                      <a:picLocks noChangeAspect="1" noChangeArrowheads="1"/>
                    </pic:cNvPicPr>
                  </pic:nvPicPr>
                  <pic:blipFill>
                    <a:blip r:embed="rId12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-1129030</wp:posOffset>
            </wp:positionV>
            <wp:extent cx="12700" cy="8890"/>
            <wp:wrapNone/>
            <wp:docPr id="1284" name="Picture 1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4"/>
                    <pic:cNvPicPr>
                      <a:picLocks noChangeAspect="1" noChangeArrowheads="1"/>
                    </pic:cNvPicPr>
                  </pic:nvPicPr>
                  <pic:blipFill>
                    <a:blip r:embed="rId12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3424555</wp:posOffset>
            </wp:positionH>
            <wp:positionV relativeFrom="paragraph">
              <wp:posOffset>-820420</wp:posOffset>
            </wp:positionV>
            <wp:extent cx="12700" cy="8890"/>
            <wp:wrapNone/>
            <wp:docPr id="1285" name="Picture 1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5"/>
                    <pic:cNvPicPr>
                      <a:picLocks noChangeAspect="1" noChangeArrowheads="1"/>
                    </pic:cNvPicPr>
                  </pic:nvPicPr>
                  <pic:blipFill>
                    <a:blip r:embed="rId12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646430</wp:posOffset>
            </wp:positionH>
            <wp:positionV relativeFrom="paragraph">
              <wp:posOffset>-820420</wp:posOffset>
            </wp:positionV>
            <wp:extent cx="12700" cy="8890"/>
            <wp:wrapNone/>
            <wp:docPr id="1286" name="Picture 1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6"/>
                    <pic:cNvPicPr>
                      <a:picLocks noChangeAspect="1" noChangeArrowheads="1"/>
                    </pic:cNvPicPr>
                  </pic:nvPicPr>
                  <pic:blipFill>
                    <a:blip r:embed="rId12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-820420</wp:posOffset>
            </wp:positionV>
            <wp:extent cx="12700" cy="8890"/>
            <wp:wrapNone/>
            <wp:docPr id="1287" name="Picture 1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7"/>
                    <pic:cNvPicPr>
                      <a:picLocks noChangeAspect="1" noChangeArrowheads="1"/>
                    </pic:cNvPicPr>
                  </pic:nvPicPr>
                  <pic:blipFill>
                    <a:blip r:embed="rId12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-820420</wp:posOffset>
            </wp:positionV>
            <wp:extent cx="12700" cy="8890"/>
            <wp:wrapNone/>
            <wp:docPr id="1288" name="Picture 1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8"/>
                    <pic:cNvPicPr>
                      <a:picLocks noChangeAspect="1" noChangeArrowheads="1"/>
                    </pic:cNvPicPr>
                  </pic:nvPicPr>
                  <pic:blipFill>
                    <a:blip r:embed="rId12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3424555</wp:posOffset>
            </wp:positionH>
            <wp:positionV relativeFrom="paragraph">
              <wp:posOffset>-511810</wp:posOffset>
            </wp:positionV>
            <wp:extent cx="12700" cy="8890"/>
            <wp:wrapNone/>
            <wp:docPr id="1289" name="Picture 1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9"/>
                    <pic:cNvPicPr>
                      <a:picLocks noChangeAspect="1" noChangeArrowheads="1"/>
                    </pic:cNvPicPr>
                  </pic:nvPicPr>
                  <pic:blipFill>
                    <a:blip r:embed="rId12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646430</wp:posOffset>
            </wp:positionH>
            <wp:positionV relativeFrom="paragraph">
              <wp:posOffset>-511810</wp:posOffset>
            </wp:positionV>
            <wp:extent cx="12700" cy="8890"/>
            <wp:wrapNone/>
            <wp:docPr id="1290" name="Picture 1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0"/>
                    <pic:cNvPicPr>
                      <a:picLocks noChangeAspect="1" noChangeArrowheads="1"/>
                    </pic:cNvPicPr>
                  </pic:nvPicPr>
                  <pic:blipFill>
                    <a:blip r:embed="rId12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-511810</wp:posOffset>
            </wp:positionV>
            <wp:extent cx="12700" cy="8890"/>
            <wp:wrapNone/>
            <wp:docPr id="1291" name="Picture 1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1"/>
                    <pic:cNvPicPr>
                      <a:picLocks noChangeAspect="1" noChangeArrowheads="1"/>
                    </pic:cNvPicPr>
                  </pic:nvPicPr>
                  <pic:blipFill>
                    <a:blip r:embed="rId12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-511810</wp:posOffset>
            </wp:positionV>
            <wp:extent cx="12700" cy="8890"/>
            <wp:wrapNone/>
            <wp:docPr id="1292" name="Picture 1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2"/>
                    <pic:cNvPicPr>
                      <a:picLocks noChangeAspect="1" noChangeArrowheads="1"/>
                    </pic:cNvPicPr>
                  </pic:nvPicPr>
                  <pic:blipFill>
                    <a:blip r:embed="rId12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93" name="Picture 1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3"/>
                    <pic:cNvPicPr>
                      <a:picLocks noChangeAspect="1" noChangeArrowheads="1"/>
                    </pic:cNvPicPr>
                  </pic:nvPicPr>
                  <pic:blipFill>
                    <a:blip r:embed="rId13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94" name="Picture 1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4"/>
                    <pic:cNvPicPr>
                      <a:picLocks noChangeAspect="1" noChangeArrowheads="1"/>
                    </pic:cNvPicPr>
                  </pic:nvPicPr>
                  <pic:blipFill>
                    <a:blip r:embed="rId130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QuickLinks</w:t>
      </w:r>
    </w:p>
    <w:p>
      <w:pPr>
        <w:spacing w:after="0" w:line="21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56">
        <w:r>
          <w:rPr>
            <w:rFonts w:ascii="Times New Roman" w:cs="Times New Roman" w:eastAsia="Times New Roman" w:hAnsi="Times New Roman"/>
            <w:sz w:val="18"/>
            <w:szCs w:val="18"/>
            <w:u w:val="single" w:color="auto"/>
            <w:color w:val="0000EE"/>
          </w:rPr>
          <w:t>STRUCTURE AMENDMENT AND TERMINATION AGREEMENT</w:t>
        </w:r>
      </w:hyperlink>
    </w:p>
    <w:p>
      <w:pPr>
        <w:sectPr>
          <w:pgSz w:w="11900" w:h="16838" w:orient="portrait"/>
          <w:cols w:equalWidth="0" w:num="1">
            <w:col w:w="11420"/>
          </w:cols>
          <w:pgMar w:left="240" w:top="294" w:right="239" w:bottom="1440" w:gutter="0" w:footer="0" w:header="0"/>
        </w:sectPr>
      </w:pPr>
    </w:p>
    <w:bookmarkStart w:id="57" w:name="page58"/>
    <w:bookmarkEnd w:id="57"/>
    <w:p>
      <w:pPr>
        <w:spacing w:after="0" w:line="22" w:lineRule="exact"/>
        <w:rPr>
          <w:sz w:val="20"/>
          <w:szCs w:val="20"/>
          <w:color w:val="auto"/>
        </w:rPr>
      </w:pPr>
    </w:p>
    <w:p>
      <w:pPr>
        <w:spacing w:after="0"/>
        <w:rPr>
          <w:rFonts w:ascii="Times New Roman" w:cs="Times New Roman" w:eastAsia="Times New Roman" w:hAnsi="Times New Roman"/>
          <w:sz w:val="22"/>
          <w:szCs w:val="22"/>
          <w:color w:val="0000EE"/>
        </w:rPr>
      </w:pPr>
      <w:hyperlink w:anchor="page71">
        <w:r>
          <w:rPr>
            <w:rFonts w:ascii="Times New Roman" w:cs="Times New Roman" w:eastAsia="Times New Roman" w:hAnsi="Times New Roman"/>
            <w:sz w:val="22"/>
            <w:szCs w:val="22"/>
            <w:u w:val="single" w:color="auto"/>
            <w:color w:val="0000EE"/>
          </w:rPr>
          <w:t>QuickLinks</w:t>
        </w:r>
        <w:r>
          <w:rPr>
            <w:rFonts w:ascii="Times New Roman" w:cs="Times New Roman" w:eastAsia="Times New Roman" w:hAnsi="Times New Roman"/>
            <w:sz w:val="22"/>
            <w:szCs w:val="22"/>
            <w:color w:val="0000EE"/>
          </w:rPr>
          <w:t xml:space="preserve"> </w:t>
        </w:r>
      </w:hyperlink>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22"/>
          <w:szCs w:val="22"/>
          <w:color w:val="000000"/>
        </w:rPr>
        <w:t>Click here to rapidly navigate through this document</w:t>
      </w:r>
    </w:p>
    <w:p>
      <w:pPr>
        <w:spacing w:after="0" w:line="200" w:lineRule="exact"/>
        <w:rPr>
          <w:sz w:val="20"/>
          <w:szCs w:val="20"/>
          <w:color w:val="auto"/>
        </w:rPr>
      </w:pPr>
    </w:p>
    <w:p>
      <w:pPr>
        <w:spacing w:after="0" w:line="233" w:lineRule="exact"/>
        <w:rPr>
          <w:sz w:val="20"/>
          <w:szCs w:val="20"/>
          <w:color w:val="auto"/>
        </w:rPr>
      </w:pPr>
    </w:p>
    <w:p>
      <w:pPr>
        <w:ind w:left="10380"/>
        <w:spacing w:after="0"/>
        <w:rPr>
          <w:sz w:val="20"/>
          <w:szCs w:val="20"/>
          <w:color w:val="auto"/>
        </w:rPr>
      </w:pPr>
      <w:r>
        <w:rPr>
          <w:rFonts w:ascii="Times New Roman" w:cs="Times New Roman" w:eastAsia="Times New Roman" w:hAnsi="Times New Roman"/>
          <w:sz w:val="18"/>
          <w:szCs w:val="18"/>
          <w:b w:val="1"/>
          <w:bCs w:val="1"/>
          <w:color w:val="auto"/>
        </w:rPr>
        <w:t>Exhibit 10.12</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LEASE AMENDING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THIS AGREEMENT </w:t>
      </w:r>
      <w:r>
        <w:rPr>
          <w:rFonts w:ascii="Times New Roman" w:cs="Times New Roman" w:eastAsia="Times New Roman" w:hAnsi="Times New Roman"/>
          <w:sz w:val="18"/>
          <w:szCs w:val="18"/>
          <w:color w:val="auto"/>
        </w:rPr>
        <w:t>is dated the 14th day of April, 2000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BETWEEN: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YCC LIMITED and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LONDON LIFE INSURANCE COMPANY</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(collectively the "Landlord")</w:t>
      </w:r>
    </w:p>
    <w:p>
      <w:pPr>
        <w:spacing w:after="0" w:line="21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OF THE FIRST PART</w:t>
      </w:r>
    </w:p>
    <w:p>
      <w:pPr>
        <w:spacing w:after="0" w:line="225"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8"/>
          <w:szCs w:val="18"/>
          <w:color w:val="auto"/>
        </w:rPr>
        <w:t>- and -</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LOYALTY MANAGEMENT GROUP CANADA INC.</w:t>
      </w:r>
    </w:p>
    <w:p>
      <w:pPr>
        <w:spacing w:after="0" w:line="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"Tenant")</w:t>
      </w:r>
    </w:p>
    <w:p>
      <w:pPr>
        <w:spacing w:after="0" w:line="21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OF THE SECOND PART</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WHEREAS:</w:t>
      </w:r>
    </w:p>
    <w:p>
      <w:pPr>
        <w:spacing w:after="0" w:line="227" w:lineRule="exact"/>
        <w:rPr>
          <w:sz w:val="20"/>
          <w:szCs w:val="20"/>
          <w:color w:val="auto"/>
        </w:rPr>
      </w:pPr>
    </w:p>
    <w:p>
      <w:pPr>
        <w:ind w:right="100" w:firstLine="8"/>
        <w:spacing w:after="0" w:line="256" w:lineRule="auto"/>
        <w:tabs>
          <w:tab w:leader="none" w:pos="346"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 lease dated the 28th day of May, 1997 (the "Lease"), the Landlord leased to the Tenant, for and during a term (the "Term") of ten (10) years, commencing on the 1st day of September, 1997 and expiring on the 31st day of August, 2007, certain premises (the "Original Premises") having a Rentable Area of approximately seventy-three thousand, five hundred and thirty-four (73,534) square feet, as shown outlined in red on Schedules "B-1" and "B-2" attached to the Lease, located on the 2nd and 3rd floors of the building (the "Building") forming part of the development (the "Development") known as Yonge Corporate Centre, with a municipal of 4110 Yonge Street, in the City of Toronto, in the Province of Ontario;</w:t>
      </w:r>
    </w:p>
    <w:p>
      <w:pPr>
        <w:spacing w:after="0" w:line="192" w:lineRule="exact"/>
        <w:rPr>
          <w:rFonts w:ascii="Times New Roman" w:cs="Times New Roman" w:eastAsia="Times New Roman" w:hAnsi="Times New Roman"/>
          <w:sz w:val="18"/>
          <w:szCs w:val="18"/>
          <w:color w:val="auto"/>
        </w:rPr>
      </w:pPr>
    </w:p>
    <w:p>
      <w:pPr>
        <w:ind w:right="220" w:firstLine="8"/>
        <w:spacing w:after="0" w:line="258" w:lineRule="auto"/>
        <w:tabs>
          <w:tab w:leader="none" w:pos="337"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an agreement dated as of the 19th day of June, 1997 (the "First Amending Agreement"), made between the Landlord and the Tenant, the Lease was amended, inter alia, to amend the Term so that it would commence on the 17th day of September, 1997 and expire on the 18th day of September, 2007, on the terms and conditions more particularly set out therein (the Lease and the Term, as amended by the First Amending Agreement, are hereinafter referred to as the "Lease" and the "Term");</w:t>
      </w:r>
    </w:p>
    <w:p>
      <w:pPr>
        <w:spacing w:after="0" w:line="190" w:lineRule="exact"/>
        <w:rPr>
          <w:rFonts w:ascii="Times New Roman" w:cs="Times New Roman" w:eastAsia="Times New Roman" w:hAnsi="Times New Roman"/>
          <w:sz w:val="18"/>
          <w:szCs w:val="18"/>
          <w:color w:val="auto"/>
        </w:rPr>
      </w:pPr>
    </w:p>
    <w:p>
      <w:pPr>
        <w:ind w:right="80" w:firstLine="8"/>
        <w:spacing w:after="0" w:line="256" w:lineRule="auto"/>
        <w:tabs>
          <w:tab w:leader="none" w:pos="337"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an agreement dated the 15th day of January, 1996 (the "Second Lease Amending Agreement"), made between the Landlord and the Tenant, the Landlord leased to the Tenant additional premises on the 4th floor of the Building comprising: (i) a Rentable Area of approximately eighteen thousand (18,000) square feet (the "First Additional Premises"); and (ii) a Rentable Area of approximately nineteen thousand, four hundred and seventeen (19,417) square feet (the "Special Refusal Space"), and the Lease was amended on the terms and conditions more particularly set out therein (the Lease, as amended by the Second Lease Amending Agreement, is hereinafter referred to as the "Lease");</w:t>
      </w:r>
    </w:p>
    <w:p>
      <w:pPr>
        <w:spacing w:after="0" w:line="192"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Original Premises, the First Additional Premises and the Special Refusal Space are hereinafter collectively referred to as the "Premises";</w:t>
      </w:r>
    </w:p>
    <w:p>
      <w:pPr>
        <w:spacing w:after="0" w:line="225" w:lineRule="exact"/>
        <w:rPr>
          <w:rFonts w:ascii="Times New Roman" w:cs="Times New Roman" w:eastAsia="Times New Roman" w:hAnsi="Times New Roman"/>
          <w:sz w:val="18"/>
          <w:szCs w:val="18"/>
          <w:color w:val="auto"/>
        </w:rPr>
      </w:pPr>
    </w:p>
    <w:p>
      <w:pPr>
        <w:ind w:right="400" w:firstLine="8"/>
        <w:spacing w:after="0" w:line="275" w:lineRule="auto"/>
        <w:tabs>
          <w:tab w:leader="none" w:pos="327"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provisions of Section 12.07 of the Lease, the Tenant has exercised its right of first refusal to lease additional premises from the Landlord effective on the 1st day of June, 2000 (the "Effective Date"); and</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95" name="Picture 1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5"/>
                    <pic:cNvPicPr>
                      <a:picLocks noChangeAspect="1" noChangeArrowheads="1"/>
                    </pic:cNvPicPr>
                  </pic:nvPicPr>
                  <pic:blipFill>
                    <a:blip r:embed="rId13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460" w:firstLine="8"/>
        <w:spacing w:after="0" w:line="275" w:lineRule="auto"/>
        <w:tabs>
          <w:tab w:leader="none" w:pos="3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Landlord and the Tenant have agreed to amend the Lease to give effect to the foregoing, in accordance with and subject to the terms and conditions hereinafter set forth.</w:t>
      </w:r>
    </w:p>
    <w:p>
      <w:pPr>
        <w:spacing w:after="0" w:line="172" w:lineRule="exact"/>
        <w:rPr>
          <w:sz w:val="20"/>
          <w:szCs w:val="20"/>
          <w:color w:val="auto"/>
        </w:rPr>
      </w:pPr>
    </w:p>
    <w:p>
      <w:pPr>
        <w:ind w:right="160" w:firstLine="351"/>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NOW THEREFORE THIS AGREEMENT WITNESSES </w:t>
      </w:r>
      <w:r>
        <w:rPr>
          <w:rFonts w:ascii="Times New Roman" w:cs="Times New Roman" w:eastAsia="Times New Roman" w:hAnsi="Times New Roman"/>
          <w:sz w:val="18"/>
          <w:szCs w:val="18"/>
          <w:color w:val="auto"/>
        </w:rPr>
        <w:t>that in consideration of the sum of Two Dollars ($2.00) now paid by each of the parties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(the receipt and sufficiency of which is hereby acknowledged), and other mutual covenants and agreements, the parties agree as follows:</w:t>
      </w:r>
    </w:p>
    <w:p>
      <w:pPr>
        <w:spacing w:after="0" w:line="186" w:lineRule="exact"/>
        <w:rPr>
          <w:sz w:val="20"/>
          <w:szCs w:val="20"/>
          <w:color w:val="auto"/>
        </w:rPr>
      </w:pPr>
    </w:p>
    <w:p>
      <w:pPr>
        <w:ind w:left="540" w:hanging="532"/>
        <w:spacing w:after="0"/>
        <w:tabs>
          <w:tab w:leader="none" w:pos="5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foregoing recitals are true in substance and in fact.</w:t>
      </w:r>
    </w:p>
    <w:p>
      <w:pPr>
        <w:spacing w:after="0" w:line="252" w:lineRule="exact"/>
        <w:rPr>
          <w:rFonts w:ascii="Times New Roman" w:cs="Times New Roman" w:eastAsia="Times New Roman" w:hAnsi="Times New Roman"/>
          <w:sz w:val="18"/>
          <w:szCs w:val="18"/>
          <w:color w:val="auto"/>
        </w:rPr>
      </w:pPr>
    </w:p>
    <w:p>
      <w:pPr>
        <w:ind w:left="540" w:right="20" w:hanging="532"/>
        <w:spacing w:after="0" w:line="288" w:lineRule="auto"/>
        <w:tabs>
          <w:tab w:leader="none" w:pos="54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Tenant shall lease, for and during a term commencing on the Effective Date and expiring on the 16th day of September, 2007, additional premises (the "Second Additional Premises") comprising a Rentable Area of approximately fifteen thousand, one hundred and sixty-eight (15,168) square feet on the 5th floor of the Building and shown outlined in red on Schedule "B-4" attached hereto Except as otherwise indicated in this Agreement, the Premises and the Second Additional Premises shall hereinafter be collectively referred to as the "Premises". The parties confirm that, as of the Effective Date, the Premises will have an aggregate Rentable Area of one hundred and twenty-six thousand, one hundred and nineteen (126,119) square feet and will be comprised of: (a) the Original Premises containing a Rentable Area of approximately seventy-three thousand, five hundred and thirty-four (73,534) square feet located on the 2nd and 3rd floors of the Building; (b) the First Additional Premises containing a Rentable Area of approximately eighteen thousand (18,000) square feet located on the 4th floor of the Building; (c) the Special Refusal Space containing a Rentable Area of approximately nineteen thousand, four hundred and seventeen (19,417) square feet located on the 4th floor of the Building: and (d) the Second Additional Premises containing a Rentable Area of approximately fifteen thousand, one hundred and sixty-eight (15,168) square feet located on the 5th floor of the Building.</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w:t>
      </w:r>
    </w:p>
    <w:p>
      <w:pPr>
        <w:sectPr>
          <w:pgSz w:w="11900" w:h="16861" w:orient="portrait"/>
          <w:cols w:equalWidth="0" w:num="1">
            <w:col w:w="11420"/>
          </w:cols>
          <w:pgMar w:left="240" w:top="355" w:right="239" w:bottom="0" w:gutter="0" w:footer="0" w:header="0"/>
        </w:sectPr>
      </w:pPr>
    </w:p>
    <w:bookmarkStart w:id="58" w:name="page59"/>
    <w:bookmarkEnd w:id="58"/>
    <w:p>
      <w:pPr>
        <w:ind w:right="140"/>
        <w:spacing w:after="0" w:line="275" w:lineRule="auto"/>
        <w:rPr>
          <w:sz w:val="20"/>
          <w:szCs w:val="20"/>
          <w:color w:val="auto"/>
        </w:rPr>
      </w:pPr>
      <w:r>
        <w:rPr>
          <w:rFonts w:ascii="Times New Roman" w:cs="Times New Roman" w:eastAsia="Times New Roman" w:hAnsi="Times New Roman"/>
          <w:sz w:val="18"/>
          <w:szCs w:val="18"/>
          <w:color w:val="auto"/>
        </w:rPr>
        <w:t>The Tenant shall occupy the Second Additional Premises from and after the Effective Date on the same terms, covenants and conditions as are contained in the Lease, except that:</w:t>
      </w:r>
    </w:p>
    <w:p>
      <w:pPr>
        <w:spacing w:after="0" w:line="200" w:lineRule="exact"/>
        <w:rPr>
          <w:sz w:val="20"/>
          <w:szCs w:val="20"/>
          <w:color w:val="auto"/>
        </w:rPr>
      </w:pPr>
    </w:p>
    <w:p>
      <w:pPr>
        <w:spacing w:after="0" w:line="204" w:lineRule="exact"/>
        <w:rPr>
          <w:sz w:val="20"/>
          <w:szCs w:val="20"/>
          <w:color w:val="auto"/>
        </w:rPr>
      </w:pPr>
    </w:p>
    <w:p>
      <w:pPr>
        <w:ind w:left="540" w:hanging="532"/>
        <w:spacing w:after="0"/>
        <w:tabs>
          <w:tab w:leader="none" w:pos="5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Tenant shall pay Net Rent in respect of the Second Additional Premises as follows:</w:t>
      </w:r>
    </w:p>
    <w:p>
      <w:pPr>
        <w:spacing w:after="0" w:line="200" w:lineRule="exact"/>
        <w:rPr>
          <w:rFonts w:ascii="Times New Roman" w:cs="Times New Roman" w:eastAsia="Times New Roman" w:hAnsi="Times New Roman"/>
          <w:sz w:val="18"/>
          <w:szCs w:val="18"/>
          <w:color w:val="auto"/>
        </w:rPr>
      </w:pPr>
    </w:p>
    <w:p>
      <w:pPr>
        <w:spacing w:after="0" w:line="268" w:lineRule="exact"/>
        <w:rPr>
          <w:rFonts w:ascii="Times New Roman" w:cs="Times New Roman" w:eastAsia="Times New Roman" w:hAnsi="Times New Roman"/>
          <w:sz w:val="18"/>
          <w:szCs w:val="18"/>
          <w:color w:val="auto"/>
        </w:rPr>
      </w:pPr>
    </w:p>
    <w:p>
      <w:pPr>
        <w:ind w:left="1080" w:right="300" w:hanging="532"/>
        <w:spacing w:after="0" w:line="256" w:lineRule="auto"/>
        <w:tabs>
          <w:tab w:leader="none" w:pos="108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period from and including the 1st day of June, 2000 to and including the 31st day of October, 2000, the sum of THREE HUNDRED AND NINETY THOUSAND, FIVE HUNDRED AND SEVENTY-SIX DOLLARS ($390,576.00) per annum payable in equal monthly instalments of THIRTY-TWO THOUSAND, FIVE HUNDRED AND FORTY-EIGHT DOLLARS ($32,548.00) each in advance on the first day of each calendar month during the aforesaid period, based upon an annual rate of TWENTY-FIVE DOLLARS AND SEVENTY-FIVE CENTS ($25.75) per square foot of the Rentable Area of the Second Additional Premises; and</w:t>
      </w:r>
    </w:p>
    <w:p>
      <w:pPr>
        <w:spacing w:after="0" w:line="206" w:lineRule="exact"/>
        <w:rPr>
          <w:rFonts w:ascii="Times New Roman" w:cs="Times New Roman" w:eastAsia="Times New Roman" w:hAnsi="Times New Roman"/>
          <w:sz w:val="18"/>
          <w:szCs w:val="18"/>
          <w:color w:val="auto"/>
        </w:rPr>
      </w:pPr>
    </w:p>
    <w:p>
      <w:pPr>
        <w:ind w:left="1080" w:right="80" w:hanging="532"/>
        <w:spacing w:after="0" w:line="255" w:lineRule="auto"/>
        <w:tabs>
          <w:tab w:leader="none" w:pos="108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period from and including the 1st day of November, 2000 to and including the 16th day of September, 2007 the sum of THREE HUNDRED AND NINETY THREE THOUSAND, SIX HUNDRED AND NINE DOLLARS AND SIXTY CENTS ($393,609.60) per annum payable in equal monthly instalments of THIRTY-TWO THOUSAND AND EIGHT HUNDRED DOLLARS AND EIGHTY CENTS($32,800.80) each in advance on the first day of each calendar month during the aforesaid period, based upon an annual rate of TWENTY-FIVE DOLLARS AND NINETY-FIVE CENTS ($25.95) per square foot of the Rentable Area of the Second Additional Premises.</w:t>
      </w:r>
    </w:p>
    <w:p>
      <w:pPr>
        <w:spacing w:after="0" w:line="193" w:lineRule="exact"/>
        <w:rPr>
          <w:sz w:val="20"/>
          <w:szCs w:val="20"/>
          <w:color w:val="auto"/>
        </w:rPr>
      </w:pPr>
    </w:p>
    <w:p>
      <w:pPr>
        <w:ind w:left="540" w:right="160"/>
        <w:spacing w:after="0" w:line="275" w:lineRule="auto"/>
        <w:rPr>
          <w:sz w:val="20"/>
          <w:szCs w:val="20"/>
          <w:color w:val="auto"/>
        </w:rPr>
      </w:pPr>
      <w:r>
        <w:rPr>
          <w:rFonts w:ascii="Times New Roman" w:cs="Times New Roman" w:eastAsia="Times New Roman" w:hAnsi="Times New Roman"/>
          <w:sz w:val="18"/>
          <w:szCs w:val="18"/>
          <w:color w:val="auto"/>
        </w:rPr>
        <w:t>It is acknowledged and agreed that, commencing on the Effective Date, the Tenant shall pay Additional Rent in respect of the Second Additional Premises in accordance with the terms of the Lease:</w:t>
      </w:r>
    </w:p>
    <w:p>
      <w:pPr>
        <w:spacing w:after="0" w:line="187" w:lineRule="exact"/>
        <w:rPr>
          <w:sz w:val="20"/>
          <w:szCs w:val="20"/>
          <w:color w:val="auto"/>
        </w:rPr>
      </w:pPr>
    </w:p>
    <w:p>
      <w:pPr>
        <w:ind w:left="5140" w:right="4520" w:hanging="5132"/>
        <w:spacing w:after="0" w:line="525" w:lineRule="auto"/>
        <w:tabs>
          <w:tab w:leader="none" w:pos="558"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Tenant shall accept the Second Additional Premises in base building condition; 2</w:t>
      </w:r>
    </w:p>
    <w:p>
      <w:pPr>
        <w:spacing w:after="0" w:line="228" w:lineRule="exact"/>
        <w:rPr>
          <w:rFonts w:ascii="Times New Roman" w:cs="Times New Roman" w:eastAsia="Times New Roman" w:hAnsi="Times New Roman"/>
          <w:sz w:val="18"/>
          <w:szCs w:val="18"/>
          <w:color w:val="auto"/>
        </w:rPr>
      </w:pPr>
    </w:p>
    <w:p>
      <w:pPr>
        <w:ind w:left="540" w:right="180" w:hanging="532"/>
        <w:spacing w:after="0" w:line="339" w:lineRule="auto"/>
        <w:tabs>
          <w:tab w:leader="none" w:pos="54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Landlord has no responsibility or liability for making any renovations, alterations, or improvements in or to the Second Additional Premises, except that the Landlord will deliver the Second Additional Premises in base building condition, which shall include the following:</w:t>
      </w:r>
    </w:p>
    <w:p>
      <w:pPr>
        <w:spacing w:after="0" w:line="358" w:lineRule="exact"/>
        <w:rPr>
          <w:rFonts w:ascii="Times New Roman" w:cs="Times New Roman" w:eastAsia="Times New Roman" w:hAnsi="Times New Roman"/>
          <w:sz w:val="16"/>
          <w:szCs w:val="16"/>
          <w:color w:val="auto"/>
        </w:rPr>
      </w:pPr>
    </w:p>
    <w:p>
      <w:pPr>
        <w:ind w:left="1080" w:hanging="532"/>
        <w:spacing w:after="0"/>
        <w:tabs>
          <w:tab w:leader="none" w:pos="108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T-bar suspended ceiling:</w:t>
      </w:r>
    </w:p>
    <w:p>
      <w:pPr>
        <w:spacing w:after="0" w:line="2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fluorescent light fixtures:</w:t>
      </w:r>
    </w:p>
    <w:p>
      <w:pPr>
        <w:spacing w:after="0" w:line="36"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acoustic ceiling tiles:</w:t>
      </w:r>
    </w:p>
    <w:p>
      <w:pPr>
        <w:spacing w:after="0" w:line="2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horizontal venetian blinds:</w:t>
      </w:r>
    </w:p>
    <w:p>
      <w:pPr>
        <w:spacing w:after="0" w:line="2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demising walls: and</w:t>
      </w:r>
    </w:p>
    <w:p>
      <w:pPr>
        <w:spacing w:after="0" w:line="36"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(1) entrance door with lock-set two (2) sets of keys: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97" w:lineRule="exact"/>
        <w:rPr>
          <w:rFonts w:ascii="Times New Roman" w:cs="Times New Roman" w:eastAsia="Times New Roman" w:hAnsi="Times New Roman"/>
          <w:sz w:val="18"/>
          <w:szCs w:val="18"/>
          <w:color w:val="auto"/>
        </w:rPr>
      </w:pPr>
    </w:p>
    <w:p>
      <w:pPr>
        <w:ind w:left="540" w:right="60" w:hanging="532"/>
        <w:spacing w:after="0" w:line="291" w:lineRule="auto"/>
        <w:tabs>
          <w:tab w:leader="none" w:pos="54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further renovations, alterations or improvements in or to the Second Additional Premises are the sole responsibility of the Tenant and shall be undertaken and completed at the Tenant's expense and strictly in accordance with the provisions of the Lease (the "Tenant's Work"). The labour union affiliations of the Tenant's contractors, subcontractors and workers will be compatible with those of persons working in the Development on behalf of the Landlord and will otherwise be acceptable to the Landlord. The Tenant will be permitted to enter the Second Additional Premises for a period commencing on the 1st day of April, 2000 and expiring on the 31st day of May, 2000 (the "Fixturing Period") in order to perform Tenant's Work. During the Fixturing Period, the Tenant shall not be obligated to pay any Net Rent and Additional Rent (including utilities) in respect of the Second Additional Premises, but the Tenant shall otherwise be bound by the terms and conditions of the Lease;</w:t>
      </w:r>
    </w:p>
    <w:p>
      <w:pPr>
        <w:spacing w:after="0" w:line="180" w:lineRule="exact"/>
        <w:rPr>
          <w:rFonts w:ascii="Times New Roman" w:cs="Times New Roman" w:eastAsia="Times New Roman" w:hAnsi="Times New Roman"/>
          <w:sz w:val="16"/>
          <w:szCs w:val="16"/>
          <w:color w:val="auto"/>
        </w:rPr>
      </w:pPr>
    </w:p>
    <w:p>
      <w:pPr>
        <w:ind w:left="540" w:hanging="532"/>
        <w:spacing w:after="0" w:line="275" w:lineRule="auto"/>
        <w:tabs>
          <w:tab w:leader="none" w:pos="5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Second Additional Premises, the Landlord will pay to the Tenant the sum equal to Twenty-Five Dollars ($25.00) per square foot (plus goods and services tax thereon) of the Rentable Area of the Second Additional Premises (the "Allowance").</w:t>
      </w:r>
    </w:p>
    <w:p>
      <w:pPr>
        <w:spacing w:after="0" w:line="173" w:lineRule="exact"/>
        <w:rPr>
          <w:rFonts w:ascii="Times New Roman" w:cs="Times New Roman" w:eastAsia="Times New Roman" w:hAnsi="Times New Roman"/>
          <w:sz w:val="18"/>
          <w:szCs w:val="18"/>
          <w:color w:val="auto"/>
        </w:rPr>
      </w:pPr>
    </w:p>
    <w:p>
      <w:pPr>
        <w:ind w:left="54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During such time as the Tenant is carrying out Tenant's Work with respect to the Second Additional Premises, the Landlord shall advance to the Tenant as progress payments portions of the Allowance, in instalments of not less than Fifty Thousand Dollars ($50,000.00) each, totalling not more than ninety percent (90%) of the Allowance, to be payable within ten (10) business days following the date of the Tenant's written request for such draw (and subject to all required holdbacks under the </w:t>
      </w:r>
      <w:r>
        <w:rPr>
          <w:rFonts w:ascii="Times New Roman" w:cs="Times New Roman" w:eastAsia="Times New Roman" w:hAnsi="Times New Roman"/>
          <w:sz w:val="18"/>
          <w:szCs w:val="18"/>
          <w:i w:val="1"/>
          <w:iCs w:val="1"/>
          <w:color w:val="auto"/>
        </w:rPr>
        <w:t>Construction Lien Act (Ontario))</w:t>
      </w:r>
      <w:r>
        <w:rPr>
          <w:rFonts w:ascii="Times New Roman" w:cs="Times New Roman" w:eastAsia="Times New Roman" w:hAnsi="Times New Roman"/>
          <w:sz w:val="18"/>
          <w:szCs w:val="18"/>
          <w:color w:val="auto"/>
        </w:rPr>
        <w:t xml:space="preserve"> subject to receipt, review and approval by the Landlord of each of the following:</w:t>
      </w:r>
    </w:p>
    <w:p>
      <w:pPr>
        <w:spacing w:after="0" w:line="219"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receipted invoices for all materials and services supplied in respect of the Tenant's Work completed to the date of such draw request;</w:t>
      </w:r>
    </w:p>
    <w:p>
      <w:pPr>
        <w:spacing w:after="0" w:line="238" w:lineRule="exact"/>
        <w:rPr>
          <w:rFonts w:ascii="Times New Roman" w:cs="Times New Roman" w:eastAsia="Times New Roman" w:hAnsi="Times New Roman"/>
          <w:sz w:val="18"/>
          <w:szCs w:val="18"/>
          <w:color w:val="auto"/>
        </w:rPr>
      </w:pPr>
    </w:p>
    <w:p>
      <w:pPr>
        <w:ind w:left="1080" w:right="220" w:hanging="532"/>
        <w:spacing w:after="0" w:line="275" w:lineRule="auto"/>
        <w:tabs>
          <w:tab w:leader="none" w:pos="108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Tenant satisfying the Landlord that the value of the construction materials and the labour therefor is commensurate with the amounts invoiced;</w:t>
      </w:r>
    </w:p>
    <w:p>
      <w:pPr>
        <w:spacing w:after="0" w:line="200" w:lineRule="exact"/>
        <w:rPr>
          <w:rFonts w:ascii="Times New Roman" w:cs="Times New Roman" w:eastAsia="Times New Roman" w:hAnsi="Times New Roman"/>
          <w:sz w:val="18"/>
          <w:szCs w:val="18"/>
          <w:color w:val="auto"/>
        </w:rPr>
      </w:pPr>
    </w:p>
    <w:p>
      <w:pPr>
        <w:ind w:left="1080" w:right="460" w:hanging="532"/>
        <w:spacing w:after="0" w:line="275" w:lineRule="auto"/>
        <w:tabs>
          <w:tab w:leader="none" w:pos="108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statement from the Tenant's contractor to the Landlord certifying the value of the materials and services supplied in respect of the Tenant's Work relating to the current progress draw; and</w:t>
      </w:r>
    </w:p>
    <w:p>
      <w:pPr>
        <w:spacing w:after="0" w:line="187" w:lineRule="exact"/>
        <w:rPr>
          <w:rFonts w:ascii="Times New Roman" w:cs="Times New Roman" w:eastAsia="Times New Roman" w:hAnsi="Times New Roman"/>
          <w:sz w:val="18"/>
          <w:szCs w:val="18"/>
          <w:color w:val="auto"/>
        </w:rPr>
      </w:pPr>
    </w:p>
    <w:p>
      <w:pPr>
        <w:ind w:left="1080" w:right="100" w:hanging="532"/>
        <w:spacing w:after="0" w:line="256" w:lineRule="auto"/>
        <w:tabs>
          <w:tab w:leader="none" w:pos="108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invoice from the Tenant to the Landlord including the Tenant's goods and services tax registration number. In lieu of receipted invoices for the performance of the Tenant's Work, the Landlord may, at its option, accept unreceipted invoices provided that the Tenant delivers to the Landlord, in addition to such other requirements set forth in this Paragraph 3(e)(iv), a statutory declaration by the Tenant's contractor that all subcontractors, their employees and suppliers have been paid, as well as a direction to the Landlord assigning payment to the Tenant's contractor and the Tenant jointly.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-6233160</wp:posOffset>
            </wp:positionV>
            <wp:extent cx="7250430" cy="21590"/>
            <wp:wrapNone/>
            <wp:docPr id="1296" name="Picture 1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6"/>
                    <pic:cNvPicPr>
                      <a:picLocks noChangeAspect="1" noChangeArrowheads="1"/>
                    </pic:cNvPicPr>
                  </pic:nvPicPr>
                  <pic:blipFill>
                    <a:blip r:embed="rId13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173" w:lineRule="exact"/>
        <w:rPr>
          <w:sz w:val="20"/>
          <w:szCs w:val="20"/>
          <w:color w:val="auto"/>
        </w:rPr>
      </w:pPr>
    </w:p>
    <w:p>
      <w:pPr>
        <w:ind w:left="540" w:right="120"/>
        <w:spacing w:after="0" w:line="275" w:lineRule="auto"/>
        <w:rPr>
          <w:sz w:val="20"/>
          <w:szCs w:val="20"/>
          <w:color w:val="auto"/>
        </w:rPr>
      </w:pPr>
      <w:r>
        <w:rPr>
          <w:rFonts w:ascii="Times New Roman" w:cs="Times New Roman" w:eastAsia="Times New Roman" w:hAnsi="Times New Roman"/>
          <w:sz w:val="18"/>
          <w:szCs w:val="18"/>
          <w:color w:val="auto"/>
        </w:rPr>
        <w:t>Provided the Tenant is not in default under the Lease, the final advance of the Allowance will be paid to the Tenant after all of the following have occurred:</w:t>
      </w:r>
    </w:p>
    <w:p>
      <w:pPr>
        <w:sectPr>
          <w:pgSz w:w="11900" w:h="16838" w:orient="portrait"/>
          <w:cols w:equalWidth="0" w:num="1">
            <w:col w:w="10880"/>
          </w:cols>
          <w:pgMar w:left="780" w:top="125" w:right="239" w:bottom="0" w:gutter="0" w:footer="0" w:header="0"/>
        </w:sectPr>
      </w:pPr>
    </w:p>
    <w:bookmarkStart w:id="59" w:name="page60"/>
    <w:bookmarkEnd w:id="59"/>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97" name="Picture 1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7"/>
                    <pic:cNvPicPr>
                      <a:picLocks noChangeAspect="1" noChangeArrowheads="1"/>
                    </pic:cNvPicPr>
                  </pic:nvPicPr>
                  <pic:blipFill>
                    <a:blip r:embed="rId13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620" w:hanging="532"/>
        <w:spacing w:after="0"/>
        <w:tabs>
          <w:tab w:leader="none" w:pos="16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execution of this Agreement by both parties;</w:t>
      </w:r>
    </w:p>
    <w:p>
      <w:pPr>
        <w:spacing w:after="0" w:line="252" w:lineRule="exact"/>
        <w:rPr>
          <w:rFonts w:ascii="Times New Roman" w:cs="Times New Roman" w:eastAsia="Times New Roman" w:hAnsi="Times New Roman"/>
          <w:sz w:val="18"/>
          <w:szCs w:val="18"/>
          <w:color w:val="auto"/>
        </w:rPr>
      </w:pPr>
    </w:p>
    <w:p>
      <w:pPr>
        <w:ind w:left="1620" w:hanging="532"/>
        <w:spacing w:after="0"/>
        <w:tabs>
          <w:tab w:leader="none" w:pos="16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commencement of the Tenant's business in the Second Additional Premises;</w:t>
      </w:r>
    </w:p>
    <w:p>
      <w:pPr>
        <w:spacing w:after="0" w:line="238" w:lineRule="exact"/>
        <w:rPr>
          <w:rFonts w:ascii="Times New Roman" w:cs="Times New Roman" w:eastAsia="Times New Roman" w:hAnsi="Times New Roman"/>
          <w:sz w:val="18"/>
          <w:szCs w:val="18"/>
          <w:color w:val="auto"/>
        </w:rPr>
      </w:pPr>
    </w:p>
    <w:p>
      <w:pPr>
        <w:ind w:left="1620" w:hanging="532"/>
        <w:spacing w:after="0"/>
        <w:tabs>
          <w:tab w:leader="none" w:pos="16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 Date;</w:t>
      </w:r>
    </w:p>
    <w:p>
      <w:pPr>
        <w:spacing w:after="0" w:line="238" w:lineRule="exact"/>
        <w:rPr>
          <w:rFonts w:ascii="Times New Roman" w:cs="Times New Roman" w:eastAsia="Times New Roman" w:hAnsi="Times New Roman"/>
          <w:sz w:val="18"/>
          <w:szCs w:val="18"/>
          <w:color w:val="auto"/>
        </w:rPr>
      </w:pPr>
    </w:p>
    <w:p>
      <w:pPr>
        <w:ind w:left="1620" w:right="140" w:hanging="532"/>
        <w:spacing w:after="0" w:line="275" w:lineRule="auto"/>
        <w:tabs>
          <w:tab w:leader="none" w:pos="16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the Tenant's Work in accordance with plans and specifications provided by the Tenant to the Landlord and approved by the Landlord;</w:t>
      </w:r>
    </w:p>
    <w:p>
      <w:pPr>
        <w:spacing w:after="0" w:line="200" w:lineRule="exact"/>
        <w:rPr>
          <w:rFonts w:ascii="Times New Roman" w:cs="Times New Roman" w:eastAsia="Times New Roman" w:hAnsi="Times New Roman"/>
          <w:sz w:val="18"/>
          <w:szCs w:val="18"/>
          <w:color w:val="auto"/>
        </w:rPr>
      </w:pPr>
    </w:p>
    <w:p>
      <w:pPr>
        <w:ind w:left="1620" w:right="80" w:hanging="532"/>
        <w:spacing w:after="0" w:line="275" w:lineRule="auto"/>
        <w:tabs>
          <w:tab w:leader="none" w:pos="16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to the Landlord of evidence satisfactory to the Landlord that all accounts relating to the Tenant's Work have been paid and that no liens have or may be claimed with respect thereto; and</w:t>
      </w:r>
    </w:p>
    <w:p>
      <w:pPr>
        <w:spacing w:after="0" w:line="187" w:lineRule="exact"/>
        <w:rPr>
          <w:rFonts w:ascii="Times New Roman" w:cs="Times New Roman" w:eastAsia="Times New Roman" w:hAnsi="Times New Roman"/>
          <w:sz w:val="18"/>
          <w:szCs w:val="18"/>
          <w:color w:val="auto"/>
        </w:rPr>
      </w:pPr>
    </w:p>
    <w:p>
      <w:pPr>
        <w:ind w:left="1620" w:right="480" w:hanging="532"/>
        <w:spacing w:after="0" w:line="275" w:lineRule="auto"/>
        <w:tabs>
          <w:tab w:leader="none" w:pos="16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to the Landlord of a statutory declaration by an officer of the Tenant confirming that there are no liens registered against the Second Additional Premises or the Building in relation to the Tenant's Work.</w:t>
      </w:r>
    </w:p>
    <w:p>
      <w:pPr>
        <w:spacing w:after="0" w:line="174" w:lineRule="exact"/>
        <w:rPr>
          <w:sz w:val="20"/>
          <w:szCs w:val="20"/>
          <w:color w:val="auto"/>
        </w:rPr>
      </w:pPr>
    </w:p>
    <w:p>
      <w:pPr>
        <w:ind w:left="1080" w:right="20"/>
        <w:spacing w:after="0" w:line="262" w:lineRule="auto"/>
        <w:rPr>
          <w:sz w:val="20"/>
          <w:szCs w:val="20"/>
          <w:color w:val="auto"/>
        </w:rPr>
      </w:pPr>
      <w:r>
        <w:rPr>
          <w:rFonts w:ascii="Times New Roman" w:cs="Times New Roman" w:eastAsia="Times New Roman" w:hAnsi="Times New Roman"/>
          <w:sz w:val="18"/>
          <w:szCs w:val="18"/>
          <w:color w:val="auto"/>
        </w:rPr>
        <w:t>The Landlord shall not be required to pay any amount in excess of the Allowance for the total cost of the Tenant's Work with respect to the Second Additional Premises. In the event the total cost of the Tenant's Work with respect to the Second Additional Premises is less than the Allowance, the Landlord shall credit the Tenant with such difference against the next Rent due under the Lease.</w:t>
      </w:r>
    </w:p>
    <w:p>
      <w:pPr>
        <w:spacing w:after="0" w:line="186" w:lineRule="exact"/>
        <w:rPr>
          <w:sz w:val="20"/>
          <w:szCs w:val="20"/>
          <w:color w:val="auto"/>
        </w:rPr>
      </w:pPr>
    </w:p>
    <w:p>
      <w:pPr>
        <w:ind w:left="1080"/>
        <w:spacing w:after="0" w:line="275" w:lineRule="auto"/>
        <w:rPr>
          <w:sz w:val="20"/>
          <w:szCs w:val="20"/>
          <w:color w:val="auto"/>
        </w:rPr>
      </w:pPr>
      <w:r>
        <w:rPr>
          <w:rFonts w:ascii="Times New Roman" w:cs="Times New Roman" w:eastAsia="Times New Roman" w:hAnsi="Times New Roman"/>
          <w:sz w:val="18"/>
          <w:szCs w:val="18"/>
          <w:color w:val="auto"/>
        </w:rPr>
        <w:t>The payment by the Landlord of the Allowance is subject to compliance by all parties with the provisions of any construction lien or other relevant legislation in force in the Province of Ontario and is subject to any holdbacks specified under any such legislation; and</w:t>
      </w:r>
    </w:p>
    <w:p>
      <w:pPr>
        <w:spacing w:after="0" w:line="187" w:lineRule="exact"/>
        <w:rPr>
          <w:sz w:val="20"/>
          <w:szCs w:val="20"/>
          <w:color w:val="auto"/>
        </w:rPr>
      </w:pPr>
    </w:p>
    <w:p>
      <w:pPr>
        <w:ind w:left="1080" w:hanging="532"/>
        <w:spacing w:after="0"/>
        <w:tabs>
          <w:tab w:leader="none" w:pos="108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lease is amended as set out in Paragraph 4 below.</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11"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Lease is amended as of the Effective Date as follows:</w:t>
      </w:r>
    </w:p>
    <w:p>
      <w:pPr>
        <w:spacing w:after="0" w:line="200" w:lineRule="exact"/>
        <w:rPr>
          <w:rFonts w:ascii="Times New Roman" w:cs="Times New Roman" w:eastAsia="Times New Roman" w:hAnsi="Times New Roman"/>
          <w:sz w:val="18"/>
          <w:szCs w:val="18"/>
          <w:color w:val="auto"/>
        </w:rPr>
      </w:pPr>
    </w:p>
    <w:p>
      <w:pPr>
        <w:spacing w:after="0" w:line="254"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sentence of Section 12.09 is deleted and replaced with the following:</w:t>
      </w:r>
    </w:p>
    <w:p>
      <w:pPr>
        <w:spacing w:after="0" w:line="225" w:lineRule="exact"/>
        <w:rPr>
          <w:rFonts w:ascii="Times New Roman" w:cs="Times New Roman" w:eastAsia="Times New Roman" w:hAnsi="Times New Roman"/>
          <w:sz w:val="18"/>
          <w:szCs w:val="18"/>
          <w:color w:val="auto"/>
        </w:rPr>
      </w:pPr>
    </w:p>
    <w:p>
      <w:pPr>
        <w:ind w:left="1080" w:right="80"/>
        <w:spacing w:after="0" w:line="2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1st day of June, 2000 and thereafter during the Term, the Tenant will be entitled to use eighteen (18) unreserved indoor parking permits for the parking facility provided for the Building within the Development"; and</w:t>
      </w:r>
    </w:p>
    <w:p>
      <w:pPr>
        <w:spacing w:after="0" w:line="18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 "B-4" attached hereto is deemed appended to the Lease.</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11" w:lineRule="exact"/>
        <w:rPr>
          <w:rFonts w:ascii="Times New Roman" w:cs="Times New Roman" w:eastAsia="Times New Roman" w:hAnsi="Times New Roman"/>
          <w:sz w:val="18"/>
          <w:szCs w:val="18"/>
          <w:color w:val="auto"/>
        </w:rPr>
      </w:pPr>
    </w:p>
    <w:p>
      <w:pPr>
        <w:ind w:left="540" w:right="40" w:hanging="532"/>
        <w:spacing w:after="0" w:line="262" w:lineRule="auto"/>
        <w:tabs>
          <w:tab w:leader="none" w:pos="5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confirm that in all other respects, the terms, covenants and conditions of the Lease remain unchanged and in full force and effect except as modified by this Agreement. All capitalized words used in this Agreement have the same meaning as they have in the Lease, unless a contrary intention is expressed herein.</w:t>
      </w:r>
    </w:p>
    <w:p>
      <w:pPr>
        <w:spacing w:after="0" w:line="199" w:lineRule="exact"/>
        <w:rPr>
          <w:rFonts w:ascii="Times New Roman" w:cs="Times New Roman" w:eastAsia="Times New Roman" w:hAnsi="Times New Roman"/>
          <w:sz w:val="18"/>
          <w:szCs w:val="18"/>
          <w:color w:val="auto"/>
        </w:rPr>
      </w:pPr>
    </w:p>
    <w:p>
      <w:pPr>
        <w:ind w:left="540" w:right="700" w:hanging="532"/>
        <w:spacing w:after="0" w:line="275" w:lineRule="auto"/>
        <w:tabs>
          <w:tab w:leader="none" w:pos="5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enure to the benefit of and be binding upon the parties hereto, the successors and assigns of the Landlord and the permitted successors and permitted assigns of the Tenant.</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98" name="Picture 1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8"/>
                    <pic:cNvPicPr>
                      <a:picLocks noChangeAspect="1" noChangeArrowheads="1"/>
                    </pic:cNvPicPr>
                  </pic:nvPicPr>
                  <pic:blipFill>
                    <a:blip r:embed="rId13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 xml:space="preserve">IN WITNESS WHEREOF </w:t>
      </w:r>
      <w:r>
        <w:rPr>
          <w:rFonts w:ascii="Times New Roman" w:cs="Times New Roman" w:eastAsia="Times New Roman" w:hAnsi="Times New Roman"/>
          <w:sz w:val="18"/>
          <w:szCs w:val="18"/>
          <w:color w:val="auto"/>
        </w:rPr>
        <w:t>the parties hereto have signed and sealed this Agreement.</w:t>
      </w:r>
    </w:p>
    <w:p>
      <w:pPr>
        <w:spacing w:after="0" w:line="225"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YCC LIMITED</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(Landlord)</w:t>
      </w:r>
    </w:p>
    <w:p>
      <w:pPr>
        <w:spacing w:after="0" w:line="213"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/s/ E. WILLIAMSON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3047365</wp:posOffset>
            </wp:positionH>
            <wp:positionV relativeFrom="paragraph">
              <wp:posOffset>81280</wp:posOffset>
            </wp:positionV>
            <wp:extent cx="4206240" cy="21590"/>
            <wp:wrapNone/>
            <wp:docPr id="1299" name="Picture 1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9"/>
                    <pic:cNvPicPr>
                      <a:picLocks noChangeAspect="1" noChangeArrowheads="1"/>
                    </pic:cNvPicPr>
                  </pic:nvPicPr>
                  <pic:blipFill>
                    <a:blip r:embed="rId1306">
                      <a:extLst>
                        <a:ext uri="{28A0092B-C50C-407E-A947-70E740481C1C}"/>
                      </a:extLst>
                    </a:blip>
                    <a:srcRect/>
                    <a:stretch>
                      <a:fillRect/>
                    </a:stretch>
                  </pic:blipFill>
                  <pic:spPr bwMode="auto">
                    <a:xfrm>
                      <a:off x="0" y="0"/>
                      <a:ext cx="4206240" cy="21590"/>
                    </a:xfrm>
                    <a:prstGeom prst="rect">
                      <a:avLst/>
                    </a:prstGeom>
                    <a:noFill/>
                  </pic:spPr>
                </pic:pic>
              </a:graphicData>
            </a:graphic>
          </wp:anchor>
        </w:drawing>
      </w:r>
    </w:p>
    <w:p>
      <w:pPr>
        <w:spacing w:after="0" w:line="232"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Name:</w:t>
      </w:r>
    </w:p>
    <w:p>
      <w:pPr>
        <w:spacing w:after="0" w:line="21"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Title:</w:t>
      </w:r>
    </w:p>
    <w:p>
      <w:pPr>
        <w:spacing w:after="0" w:line="213"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/s/ ILLEGIBLE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3047365</wp:posOffset>
            </wp:positionH>
            <wp:positionV relativeFrom="paragraph">
              <wp:posOffset>81280</wp:posOffset>
            </wp:positionV>
            <wp:extent cx="4206240" cy="21590"/>
            <wp:wrapNone/>
            <wp:docPr id="1300" name="Picture 1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0"/>
                    <pic:cNvPicPr>
                      <a:picLocks noChangeAspect="1" noChangeArrowheads="1"/>
                    </pic:cNvPicPr>
                  </pic:nvPicPr>
                  <pic:blipFill>
                    <a:blip r:embed="rId1307">
                      <a:extLst>
                        <a:ext uri="{28A0092B-C50C-407E-A947-70E740481C1C}"/>
                      </a:extLst>
                    </a:blip>
                    <a:srcRect/>
                    <a:stretch>
                      <a:fillRect/>
                    </a:stretch>
                  </pic:blipFill>
                  <pic:spPr bwMode="auto">
                    <a:xfrm>
                      <a:off x="0" y="0"/>
                      <a:ext cx="4206240" cy="21590"/>
                    </a:xfrm>
                    <a:prstGeom prst="rect">
                      <a:avLst/>
                    </a:prstGeom>
                    <a:noFill/>
                  </pic:spPr>
                </pic:pic>
              </a:graphicData>
            </a:graphic>
          </wp:anchor>
        </w:drawing>
      </w:r>
    </w:p>
    <w:p>
      <w:pPr>
        <w:spacing w:after="0" w:line="232"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Name:</w:t>
      </w:r>
    </w:p>
    <w:p>
      <w:pPr>
        <w:spacing w:after="0" w:line="21"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Title:</w:t>
      </w:r>
    </w:p>
    <w:p>
      <w:pPr>
        <w:spacing w:after="0" w:line="213"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I/We have authority to bind the corporation.</w:t>
      </w:r>
    </w:p>
    <w:p>
      <w:pPr>
        <w:spacing w:after="0" w:line="250"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LONDON LIFE INSURANCE COMPANY</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(Landlord)</w:t>
      </w:r>
    </w:p>
    <w:p>
      <w:pPr>
        <w:spacing w:after="0" w:line="213"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/s/ MICHAEL SNELL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3047365</wp:posOffset>
            </wp:positionH>
            <wp:positionV relativeFrom="paragraph">
              <wp:posOffset>81280</wp:posOffset>
            </wp:positionV>
            <wp:extent cx="4206240" cy="21590"/>
            <wp:wrapNone/>
            <wp:docPr id="1301" name="Picture 1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1"/>
                    <pic:cNvPicPr>
                      <a:picLocks noChangeAspect="1" noChangeArrowheads="1"/>
                    </pic:cNvPicPr>
                  </pic:nvPicPr>
                  <pic:blipFill>
                    <a:blip r:embed="rId1308">
                      <a:extLst>
                        <a:ext uri="{28A0092B-C50C-407E-A947-70E740481C1C}"/>
                      </a:extLst>
                    </a:blip>
                    <a:srcRect/>
                    <a:stretch>
                      <a:fillRect/>
                    </a:stretch>
                  </pic:blipFill>
                  <pic:spPr bwMode="auto">
                    <a:xfrm>
                      <a:off x="0" y="0"/>
                      <a:ext cx="4206240" cy="21590"/>
                    </a:xfrm>
                    <a:prstGeom prst="rect">
                      <a:avLst/>
                    </a:prstGeom>
                    <a:noFill/>
                  </pic:spPr>
                </pic:pic>
              </a:graphicData>
            </a:graphic>
          </wp:anchor>
        </w:drawing>
      </w:r>
    </w:p>
    <w:p>
      <w:pPr>
        <w:sectPr>
          <w:pgSz w:w="11900" w:h="16838" w:orient="portrait"/>
          <w:cols w:equalWidth="0" w:num="1">
            <w:col w:w="11420"/>
          </w:cols>
          <w:pgMar w:left="240" w:top="125" w:right="239" w:bottom="194" w:gutter="0" w:footer="0" w:header="0"/>
        </w:sectPr>
      </w:pPr>
    </w:p>
    <w:bookmarkStart w:id="60" w:name="page61"/>
    <w:bookmarkEnd w:id="60"/>
    <w:p>
      <w:pPr>
        <w:ind w:left="4800"/>
        <w:spacing w:after="0"/>
        <w:rPr>
          <w:sz w:val="20"/>
          <w:szCs w:val="20"/>
          <w:color w:val="auto"/>
        </w:rPr>
      </w:pPr>
      <w:r>
        <w:rPr>
          <w:rFonts w:ascii="Times New Roman" w:cs="Times New Roman" w:eastAsia="Times New Roman" w:hAnsi="Times New Roman"/>
          <w:sz w:val="18"/>
          <w:szCs w:val="18"/>
          <w:color w:val="auto"/>
        </w:rPr>
        <w:t>Name: Michael Snell</w:t>
      </w:r>
    </w:p>
    <w:p>
      <w:pPr>
        <w:spacing w:after="0" w:line="21"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Title: Regional Director</w:t>
      </w:r>
    </w:p>
    <w:p>
      <w:pPr>
        <w:spacing w:after="0" w:line="213"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color w:val="auto"/>
        </w:rPr>
        <w:t>/s/ PHILIP D. GUNN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3047365</wp:posOffset>
            </wp:positionH>
            <wp:positionV relativeFrom="paragraph">
              <wp:posOffset>81280</wp:posOffset>
            </wp:positionV>
            <wp:extent cx="4206240" cy="21590"/>
            <wp:wrapNone/>
            <wp:docPr id="1302" name="Picture 1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2"/>
                    <pic:cNvPicPr>
                      <a:picLocks noChangeAspect="1" noChangeArrowheads="1"/>
                    </pic:cNvPicPr>
                  </pic:nvPicPr>
                  <pic:blipFill>
                    <a:blip r:embed="rId1309">
                      <a:extLst>
                        <a:ext uri="{28A0092B-C50C-407E-A947-70E740481C1C}"/>
                      </a:extLst>
                    </a:blip>
                    <a:srcRect/>
                    <a:stretch>
                      <a:fillRect/>
                    </a:stretch>
                  </pic:blipFill>
                  <pic:spPr bwMode="auto">
                    <a:xfrm>
                      <a:off x="0" y="0"/>
                      <a:ext cx="4206240" cy="21590"/>
                    </a:xfrm>
                    <a:prstGeom prst="rect">
                      <a:avLst/>
                    </a:prstGeom>
                    <a:noFill/>
                  </pic:spPr>
                </pic:pic>
              </a:graphicData>
            </a:graphic>
          </wp:anchor>
        </w:drawing>
      </w:r>
    </w:p>
    <w:p>
      <w:pPr>
        <w:spacing w:after="0" w:line="232"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Name: Philip D. Gunn</w:t>
      </w:r>
    </w:p>
    <w:p>
      <w:pPr>
        <w:spacing w:after="0" w:line="21"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Title: Asset Manager</w:t>
      </w:r>
    </w:p>
    <w:p>
      <w:pPr>
        <w:spacing w:after="0" w:line="213"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I/We have authority to bind the corporation.</w:t>
      </w:r>
    </w:p>
    <w:p>
      <w:pPr>
        <w:spacing w:after="0" w:line="250"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LOYALTY MANAGEMENT GROUP CANADA INC.</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(Tenant)</w:t>
      </w:r>
    </w:p>
    <w:p>
      <w:pPr>
        <w:spacing w:after="0" w:line="213"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/s/ TODD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3047365</wp:posOffset>
            </wp:positionH>
            <wp:positionV relativeFrom="paragraph">
              <wp:posOffset>81280</wp:posOffset>
            </wp:positionV>
            <wp:extent cx="4206240" cy="21590"/>
            <wp:wrapNone/>
            <wp:docPr id="1303" name="Picture 1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3"/>
                    <pic:cNvPicPr>
                      <a:picLocks noChangeAspect="1" noChangeArrowheads="1"/>
                    </pic:cNvPicPr>
                  </pic:nvPicPr>
                  <pic:blipFill>
                    <a:blip r:embed="rId1310">
                      <a:extLst>
                        <a:ext uri="{28A0092B-C50C-407E-A947-70E740481C1C}"/>
                      </a:extLst>
                    </a:blip>
                    <a:srcRect/>
                    <a:stretch>
                      <a:fillRect/>
                    </a:stretch>
                  </pic:blipFill>
                  <pic:spPr bwMode="auto">
                    <a:xfrm>
                      <a:off x="0" y="0"/>
                      <a:ext cx="4206240" cy="21590"/>
                    </a:xfrm>
                    <a:prstGeom prst="rect">
                      <a:avLst/>
                    </a:prstGeom>
                    <a:noFill/>
                  </pic:spPr>
                </pic:pic>
              </a:graphicData>
            </a:graphic>
          </wp:anchor>
        </w:drawing>
      </w:r>
    </w:p>
    <w:p>
      <w:pPr>
        <w:spacing w:after="0" w:line="232"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Name: Todd March</w:t>
      </w:r>
    </w:p>
    <w:p>
      <w:pPr>
        <w:spacing w:after="0" w:line="21"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Title: VP Finance &amp; Planning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3047365</wp:posOffset>
            </wp:positionH>
            <wp:positionV relativeFrom="paragraph">
              <wp:posOffset>347980</wp:posOffset>
            </wp:positionV>
            <wp:extent cx="4206240" cy="21590"/>
            <wp:wrapNone/>
            <wp:docPr id="1304" name="Picture 1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4"/>
                    <pic:cNvPicPr>
                      <a:picLocks noChangeAspect="1" noChangeArrowheads="1"/>
                    </pic:cNvPicPr>
                  </pic:nvPicPr>
                  <pic:blipFill>
                    <a:blip r:embed="rId1311">
                      <a:extLst>
                        <a:ext uri="{28A0092B-C50C-407E-A947-70E740481C1C}"/>
                      </a:extLst>
                    </a:blip>
                    <a:srcRect/>
                    <a:stretch>
                      <a:fillRect/>
                    </a:stretch>
                  </pic:blipFill>
                  <pic:spPr bwMode="auto">
                    <a:xfrm>
                      <a:off x="0" y="0"/>
                      <a:ext cx="420624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Name:</w:t>
      </w:r>
    </w:p>
    <w:p>
      <w:pPr>
        <w:spacing w:after="0" w:line="21"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Title:</w:t>
      </w:r>
    </w:p>
    <w:p>
      <w:pPr>
        <w:spacing w:after="0" w:line="213"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I/We have authority to bind the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05" name="Picture 1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5"/>
                    <pic:cNvPicPr>
                      <a:picLocks noChangeAspect="1" noChangeArrowheads="1"/>
                    </pic:cNvPicPr>
                  </pic:nvPicPr>
                  <pic:blipFill>
                    <a:blip r:embed="rId13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"B-4"</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FLOOR PLAN OF THE SECOND ADDITIONAL PREMISES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06" name="Picture 1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6"/>
                    <pic:cNvPicPr>
                      <a:picLocks noChangeAspect="1" noChangeArrowheads="1"/>
                    </pic:cNvPicPr>
                  </pic:nvPicPr>
                  <pic:blipFill>
                    <a:blip r:embed="rId13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b w:val="1"/>
          <w:bCs w:val="1"/>
          <w:color w:val="auto"/>
        </w:rPr>
        <w:t>LEASE AMENDING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THIS AGREEMENT </w:t>
      </w:r>
      <w:r>
        <w:rPr>
          <w:rFonts w:ascii="Times New Roman" w:cs="Times New Roman" w:eastAsia="Times New Roman" w:hAnsi="Times New Roman"/>
          <w:sz w:val="18"/>
          <w:szCs w:val="18"/>
          <w:color w:val="auto"/>
        </w:rPr>
        <w:t>is dated the</w:t>
      </w:r>
      <w:r>
        <w:rPr>
          <w:rFonts w:ascii="Times New Roman" w:cs="Times New Roman" w:eastAsia="Times New Roman" w:hAnsi="Times New Roman"/>
          <w:sz w:val="18"/>
          <w:szCs w:val="18"/>
          <w:b w:val="1"/>
          <w:bCs w:val="1"/>
          <w:color w:val="auto"/>
        </w:rPr>
        <w:t xml:space="preserve"> 17th </w:t>
      </w:r>
      <w:r>
        <w:rPr>
          <w:rFonts w:ascii="Times New Roman" w:cs="Times New Roman" w:eastAsia="Times New Roman" w:hAnsi="Times New Roman"/>
          <w:sz w:val="18"/>
          <w:szCs w:val="18"/>
          <w:color w:val="auto"/>
        </w:rPr>
        <w:t>day of</w:t>
      </w:r>
      <w:r>
        <w:rPr>
          <w:rFonts w:ascii="Times New Roman" w:cs="Times New Roman" w:eastAsia="Times New Roman" w:hAnsi="Times New Roman"/>
          <w:sz w:val="18"/>
          <w:szCs w:val="18"/>
          <w:b w:val="1"/>
          <w:bCs w:val="1"/>
          <w:color w:val="auto"/>
        </w:rPr>
        <w:t xml:space="preserve"> January, 2001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BETWEEN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YCC LIMITED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LONDON LIFE INSURANCE COMPANY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(hereinafter called the "Landlord")</w:t>
      </w:r>
    </w:p>
    <w:p>
      <w:pPr>
        <w:spacing w:after="0" w:line="21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OF THE FIRST PART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LOYALTY MANAGEMENT GROUP CANADA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(hereinafter called the "Tenant")</w:t>
      </w:r>
    </w:p>
    <w:p>
      <w:pPr>
        <w:spacing w:after="0" w:line="21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OF THE SECOND PART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WHEREAS:</w:t>
      </w:r>
    </w:p>
    <w:p>
      <w:pPr>
        <w:spacing w:after="0" w:line="227" w:lineRule="exact"/>
        <w:rPr>
          <w:sz w:val="20"/>
          <w:szCs w:val="20"/>
          <w:color w:val="auto"/>
        </w:rPr>
      </w:pPr>
    </w:p>
    <w:p>
      <w:pPr>
        <w:jc w:val="both"/>
        <w:ind w:right="80" w:firstLine="8"/>
        <w:spacing w:after="0" w:line="289" w:lineRule="auto"/>
        <w:tabs>
          <w:tab w:leader="none" w:pos="346"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By a lease dated the 28th day of May, 1997, (the "Lease"), the Landlord leased to the Tenant for and during a term of Ten (10) years, commencing on the 1st day of September, 1997 and expiring on the 31st day of August, 2007 certain premises, (the "Premises"), comprising a Rentable Area of approximately Seventy-</w:t>
      </w:r>
    </w:p>
    <w:p>
      <w:pPr>
        <w:spacing w:after="0" w:line="1" w:lineRule="exact"/>
        <w:rPr>
          <w:sz w:val="20"/>
          <w:szCs w:val="20"/>
          <w:color w:val="auto"/>
        </w:rPr>
      </w:pPr>
    </w:p>
    <w:p>
      <w:pPr>
        <w:ind w:right="180"/>
        <w:spacing w:after="0" w:line="209" w:lineRule="auto"/>
        <w:rPr>
          <w:sz w:val="20"/>
          <w:szCs w:val="20"/>
          <w:color w:val="auto"/>
        </w:rPr>
      </w:pPr>
      <w:r>
        <w:rPr>
          <w:rFonts w:ascii="Times New Roman" w:cs="Times New Roman" w:eastAsia="Times New Roman" w:hAnsi="Times New Roman"/>
          <w:sz w:val="18"/>
          <w:szCs w:val="18"/>
          <w:color w:val="auto"/>
        </w:rPr>
        <w:t>Three Thousand Five Hundred and Thirty-Four (73,534) square feet located on the 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xml:space="preserve"> and 3rd floors shown outlined in red on the plan attached to the Lease as Schedules "B-1" and "B-2", located at 4110 Yonge Street, (the "Building"), in the City of Toronto, in the Province of Ontario.</w:t>
      </w:r>
    </w:p>
    <w:p>
      <w:pPr>
        <w:spacing w:after="0" w:line="159" w:lineRule="exact"/>
        <w:rPr>
          <w:sz w:val="20"/>
          <w:szCs w:val="20"/>
          <w:color w:val="auto"/>
        </w:rPr>
      </w:pPr>
    </w:p>
    <w:p>
      <w:pPr>
        <w:ind w:left="340" w:hanging="332"/>
        <w:spacing w:after="0"/>
        <w:tabs>
          <w:tab w:leader="none" w:pos="34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an agreement dated the 19</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day of June, 1997 (the "First Amending Agreement"), made between the Landlord and the Tenant, the Lease was amended so</w:t>
      </w:r>
    </w:p>
    <w:p>
      <w:pPr>
        <w:ind w:right="20"/>
        <w:spacing w:after="0" w:line="206" w:lineRule="auto"/>
        <w:rPr>
          <w:sz w:val="20"/>
          <w:szCs w:val="20"/>
          <w:color w:val="auto"/>
        </w:rPr>
      </w:pPr>
      <w:r>
        <w:rPr>
          <w:rFonts w:ascii="Times New Roman" w:cs="Times New Roman" w:eastAsia="Times New Roman" w:hAnsi="Times New Roman"/>
          <w:sz w:val="18"/>
          <w:szCs w:val="18"/>
          <w:color w:val="auto"/>
        </w:rPr>
        <w:t>that the term of the Lease (the "Term") would commence on the 17</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of September, 1997 and expire on the 16</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of September, 2007, and to further amend the Lease in accordance with terms and conditions more particularly set out therein.</w:t>
      </w:r>
    </w:p>
    <w:p>
      <w:pPr>
        <w:spacing w:after="0" w:line="159" w:lineRule="exact"/>
        <w:rPr>
          <w:sz w:val="20"/>
          <w:szCs w:val="20"/>
          <w:color w:val="auto"/>
        </w:rPr>
      </w:pPr>
    </w:p>
    <w:p>
      <w:pPr>
        <w:ind w:left="340" w:hanging="332"/>
        <w:spacing w:after="0"/>
        <w:tabs>
          <w:tab w:leader="none" w:pos="34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and agreement dated the 15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day of January, 1998 (the "Second Lease Amending Agreement"), the Landlord leased to the Tenant additional premises on</w:t>
      </w:r>
    </w:p>
    <w:p>
      <w:pPr>
        <w:ind w:right="20"/>
        <w:spacing w:after="0" w:line="218" w:lineRule="auto"/>
        <w:rPr>
          <w:sz w:val="20"/>
          <w:szCs w:val="20"/>
          <w:color w:val="auto"/>
        </w:rPr>
      </w:pPr>
      <w:r>
        <w:rPr>
          <w:rFonts w:ascii="Times New Roman" w:cs="Times New Roman" w:eastAsia="Times New Roman" w:hAnsi="Times New Roman"/>
          <w:sz w:val="18"/>
          <w:szCs w:val="18"/>
          <w:color w:val="auto"/>
        </w:rPr>
        <w:t>the 4</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 of the building comprising: (i) a Rentable Area of approximately 18,000 square feet (the "First Additional Premises"); and (ii) a Rentable Area of approximately 19,417 square feet (the "Special Refusal Space"), and to further amend the Lease in accordance with terms and conditions more particularly set out therein.</w:t>
      </w:r>
    </w:p>
    <w:p>
      <w:pPr>
        <w:sectPr>
          <w:pgSz w:w="11900" w:h="16838" w:orient="portrait"/>
          <w:cols w:equalWidth="0" w:num="1">
            <w:col w:w="11420"/>
          </w:cols>
          <w:pgMar w:left="240" w:top="125" w:right="239" w:bottom="0" w:gutter="0" w:footer="0" w:header="0"/>
        </w:sectPr>
      </w:pPr>
    </w:p>
    <w:bookmarkStart w:id="61" w:name="page62"/>
    <w:bookmarkEnd w:id="61"/>
    <w:p>
      <w:pPr>
        <w:ind w:left="360" w:hanging="352"/>
        <w:spacing w:after="0"/>
        <w:tabs>
          <w:tab w:leader="none" w:pos="3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an agreement dated the 14</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of April, 2000, the Tenant exercised its right of first refusal pursuant to Section 12.07 of the Lease and the Landlord</w:t>
      </w:r>
    </w:p>
    <w:p>
      <w:pPr>
        <w:ind w:right="40"/>
        <w:spacing w:after="0" w:line="206" w:lineRule="auto"/>
        <w:rPr>
          <w:sz w:val="20"/>
          <w:szCs w:val="20"/>
          <w:color w:val="auto"/>
        </w:rPr>
      </w:pPr>
      <w:r>
        <w:rPr>
          <w:rFonts w:ascii="Times New Roman" w:cs="Times New Roman" w:eastAsia="Times New Roman" w:hAnsi="Times New Roman"/>
          <w:sz w:val="18"/>
          <w:szCs w:val="18"/>
          <w:color w:val="auto"/>
        </w:rPr>
        <w:t>leased to the Tenant additional premises comprising a Rentable Area of approximately 15,168 square feet on the 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 of the Building (the "Second Additional Premises") and to further amend the Lease in accordance with terms and conditions more particularly set out therein.</w:t>
      </w:r>
    </w:p>
    <w:p>
      <w:pPr>
        <w:spacing w:after="0" w:line="206" w:lineRule="exact"/>
        <w:rPr>
          <w:sz w:val="20"/>
          <w:szCs w:val="20"/>
          <w:color w:val="auto"/>
        </w:rPr>
      </w:pPr>
    </w:p>
    <w:p>
      <w:pPr>
        <w:ind w:right="280" w:firstLine="8"/>
        <w:spacing w:after="0" w:line="275" w:lineRule="auto"/>
        <w:tabs>
          <w:tab w:leader="none" w:pos="32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Landlord and the Tenant have agreed to add further additional space to the Premises and to further amend the Lease in accordance with the terms and conditions hereinafter set forth.</w:t>
      </w:r>
    </w:p>
    <w:p>
      <w:pPr>
        <w:spacing w:after="0" w:line="172" w:lineRule="exact"/>
        <w:rPr>
          <w:sz w:val="20"/>
          <w:szCs w:val="20"/>
          <w:color w:val="auto"/>
        </w:rPr>
      </w:pPr>
    </w:p>
    <w:p>
      <w:pPr>
        <w:ind w:right="260" w:firstLine="351"/>
        <w:spacing w:after="0" w:line="342" w:lineRule="auto"/>
        <w:rPr>
          <w:sz w:val="20"/>
          <w:szCs w:val="20"/>
          <w:color w:val="auto"/>
        </w:rPr>
      </w:pPr>
      <w:r>
        <w:rPr>
          <w:rFonts w:ascii="Times New Roman" w:cs="Times New Roman" w:eastAsia="Times New Roman" w:hAnsi="Times New Roman"/>
          <w:sz w:val="16"/>
          <w:szCs w:val="16"/>
          <w:b w:val="1"/>
          <w:bCs w:val="1"/>
          <w:color w:val="auto"/>
        </w:rPr>
        <w:t xml:space="preserve">NOW THEREFORE THIS AGREEMENT WITNESSETH </w:t>
      </w:r>
      <w:r>
        <w:rPr>
          <w:rFonts w:ascii="Times New Roman" w:cs="Times New Roman" w:eastAsia="Times New Roman" w:hAnsi="Times New Roman"/>
          <w:sz w:val="16"/>
          <w:szCs w:val="16"/>
          <w:color w:val="auto"/>
        </w:rPr>
        <w:t>that in consideration of the sum of Two Dollars ($2.00) now paid by each of the Parties to</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 other (the receipt and sufficiency whereof is hereby acknowledged), and other mutual covenants and agreements, the Parties do hereby agree as follows:</w:t>
      </w:r>
    </w:p>
    <w:p>
      <w:pPr>
        <w:spacing w:after="0" w:line="126" w:lineRule="exact"/>
        <w:rPr>
          <w:sz w:val="20"/>
          <w:szCs w:val="20"/>
          <w:color w:val="auto"/>
        </w:rPr>
      </w:pPr>
    </w:p>
    <w:p>
      <w:pPr>
        <w:ind w:left="5680" w:right="3300" w:hanging="5672"/>
        <w:spacing w:after="0" w:line="525" w:lineRule="auto"/>
        <w:tabs>
          <w:tab w:leader="none" w:pos="322"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hereby acknowledge, confirm and agree that the foregoing recitals are true in substance and in fact. 1</w:t>
      </w:r>
    </w:p>
    <w:p>
      <w:pPr>
        <w:spacing w:after="0" w:line="200" w:lineRule="exact"/>
        <w:rPr>
          <w:rFonts w:ascii="Times New Roman" w:cs="Times New Roman" w:eastAsia="Times New Roman" w:hAnsi="Times New Roman"/>
          <w:sz w:val="18"/>
          <w:szCs w:val="18"/>
          <w:color w:val="auto"/>
        </w:rPr>
      </w:pPr>
    </w:p>
    <w:p>
      <w:pPr>
        <w:spacing w:after="0" w:line="35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Lease is amended as of the 1st day of February, 2001, (the "Effective Date"), as follows: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1.01 (Grant and Premises) is amended by adding thereto the following:</w:t>
      </w:r>
    </w:p>
    <w:p>
      <w:pPr>
        <w:spacing w:after="0" w:line="225" w:lineRule="exact"/>
        <w:rPr>
          <w:rFonts w:ascii="Times New Roman" w:cs="Times New Roman" w:eastAsia="Times New Roman" w:hAnsi="Times New Roman"/>
          <w:sz w:val="18"/>
          <w:szCs w:val="18"/>
          <w:color w:val="auto"/>
        </w:rPr>
      </w:pPr>
    </w:p>
    <w:p>
      <w:pPr>
        <w:ind w:left="1080" w:right="6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consideration of the performance by the Tenant of its obligations under this Lease, the Landlord leases additional premises (the "Third Additional Premises") to the Tenant on an "as is" basis for a term (the "Term of the Third Additional Premises") commencing on February 1, 2001 and ending at midnight September 16, 2007. The Third Additional Premises are located on the 5th floor of the Building and are shown crosshatched on the floor plan attached hereto as Schedule "B-5". The aggregate Rentable Area of the Third Additional Premises is approximately Eleven Thousand Two Hundred and Ninety-Two (11,292) square feet. The Tenant shall have the use of the partitioning, carpeting and window covering existing in the Third Additional Premises as at February 1, 2001."</w:t>
      </w:r>
    </w:p>
    <w:p>
      <w:pPr>
        <w:spacing w:after="0" w:line="220" w:lineRule="exact"/>
        <w:rPr>
          <w:rFonts w:ascii="Times New Roman" w:cs="Times New Roman" w:eastAsia="Times New Roman" w:hAnsi="Times New Roman"/>
          <w:sz w:val="18"/>
          <w:szCs w:val="18"/>
          <w:color w:val="auto"/>
        </w:rPr>
      </w:pPr>
    </w:p>
    <w:p>
      <w:pPr>
        <w:ind w:left="1080" w:right="4080" w:hanging="532"/>
        <w:spacing w:after="0" w:line="563" w:lineRule="auto"/>
        <w:tabs>
          <w:tab w:leader="none" w:pos="1080" w:val="left"/>
        </w:tabs>
        <w:numPr>
          <w:ilvl w:val="1"/>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Section 1.04 (Use and Conduct of Business) is amended by adding thereto the following: "The Third Additional Premises shall be used solely for general office purposes."</w:t>
      </w:r>
    </w:p>
    <w:p>
      <w:pPr>
        <w:spacing w:after="0" w:line="14" w:lineRule="exact"/>
        <w:rPr>
          <w:rFonts w:ascii="Times New Roman" w:cs="Times New Roman" w:eastAsia="Times New Roman" w:hAnsi="Times New Roman"/>
          <w:sz w:val="16"/>
          <w:szCs w:val="16"/>
          <w:color w:val="auto"/>
        </w:rPr>
      </w:pPr>
    </w:p>
    <w:p>
      <w:pPr>
        <w:ind w:left="1080" w:hanging="532"/>
        <w:spacing w:after="0"/>
        <w:tabs>
          <w:tab w:leader="none" w:pos="108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2.02 (Net Rent) of the Lease is hereby amended by adding thereto the following:</w:t>
      </w:r>
    </w:p>
    <w:p>
      <w:pPr>
        <w:spacing w:after="0" w:line="225" w:lineRule="exact"/>
        <w:rPr>
          <w:rFonts w:ascii="Times New Roman" w:cs="Times New Roman" w:eastAsia="Times New Roman" w:hAnsi="Times New Roman"/>
          <w:sz w:val="18"/>
          <w:szCs w:val="18"/>
          <w:color w:val="auto"/>
        </w:rPr>
      </w:pPr>
    </w:p>
    <w:p>
      <w:pPr>
        <w:ind w:left="10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"Commencing February 1, 2001, the Tenant shall pay as Net Rent with respect to the Third Additional Premises:</w:t>
      </w:r>
    </w:p>
    <w:p>
      <w:pPr>
        <w:spacing w:after="0" w:line="238" w:lineRule="exact"/>
        <w:rPr>
          <w:rFonts w:ascii="Times New Roman" w:cs="Times New Roman" w:eastAsia="Times New Roman" w:hAnsi="Times New Roman"/>
          <w:sz w:val="18"/>
          <w:szCs w:val="18"/>
          <w:color w:val="auto"/>
        </w:rPr>
      </w:pPr>
    </w:p>
    <w:p>
      <w:pPr>
        <w:ind w:left="1620" w:hanging="532"/>
        <w:spacing w:after="0" w:line="289" w:lineRule="auto"/>
        <w:tabs>
          <w:tab w:leader="none" w:pos="1620" w:val="left"/>
        </w:tabs>
        <w:numPr>
          <w:ilvl w:val="2"/>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period from and including the 1st day of February, 2001 to and including the 31st day of January, 2002, TWO HUNDRED AND FIFTY-NINE THOUSAND SEVEN HUNDRED AND SIXTEEN DOLLARS ($259,716.00) per annum, payable in equal monthly instalments of TWENTY-ONE THOUSAND SIX HUNDRED AND FORTY-THREE DOLLARS ($21,643.00) each in advance on the first day of each calendar month of such period during the Term of the Third Additional Premises. The Net Rent for such period is based on an annual rate of TWENTY-THREE DOLLARS ($23.00) per square foot of the Rentable Area of the Third Additional Premises. As soon as reasonably possible after completion of the construction of the Third Additional Premises, the Landlord shall provide a certificate of measurement from the architect verifying the Net Rentable Area of the Third Additional Premises and shall calculate the Rentable Area of the Third Additional Premises in accordance with the Standard Method for Measuring Floor Area in Office Buildings, as per ANSI Z65-1-1980 as established by the Building Owners and managers Association International and Rent shall be adjusted accordingly.</w:t>
      </w:r>
    </w:p>
    <w:p>
      <w:pPr>
        <w:spacing w:after="0" w:line="193" w:lineRule="exact"/>
        <w:rPr>
          <w:rFonts w:ascii="Times New Roman" w:cs="Times New Roman" w:eastAsia="Times New Roman" w:hAnsi="Times New Roman"/>
          <w:sz w:val="16"/>
          <w:szCs w:val="16"/>
          <w:color w:val="auto"/>
        </w:rPr>
      </w:pPr>
    </w:p>
    <w:p>
      <w:pPr>
        <w:ind w:left="1620" w:right="320" w:hanging="532"/>
        <w:spacing w:after="0" w:line="255" w:lineRule="auto"/>
        <w:tabs>
          <w:tab w:leader="none" w:pos="1620" w:val="left"/>
        </w:tabs>
        <w:numPr>
          <w:ilvl w:val="2"/>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period from and including the 1st day of February, 2002 to and including the 31st day January, 2003. TWO HUNDRED AND NINETY THOUSAND SEVEN HUNDRED AND SIXTY-NINE DOLLARS ($290,769.00) per annum, payable in equal monthly instalments of TWENTY-FOUR THOUSAND TWO HUNDRED AND THIRTY DOLLARS AND SEVENTY-FIVE CENTS ($24,230.75) each in advance on the first day of each calendar month of such period during the Term of the Third Additional Premises. The Net Rent for such period is based on an annual rate of TWENTY-FIVE DOLLARS AND SEVENTY-FIVE CENTS ($25.75) per square foot of the Rentable Area of the Third Additional Premises.</w:t>
      </w:r>
    </w:p>
    <w:p>
      <w:pPr>
        <w:spacing w:after="0" w:line="206" w:lineRule="exact"/>
        <w:rPr>
          <w:rFonts w:ascii="Times New Roman" w:cs="Times New Roman" w:eastAsia="Times New Roman" w:hAnsi="Times New Roman"/>
          <w:sz w:val="18"/>
          <w:szCs w:val="18"/>
          <w:color w:val="auto"/>
        </w:rPr>
      </w:pPr>
    </w:p>
    <w:p>
      <w:pPr>
        <w:ind w:left="1620" w:right="80" w:hanging="532"/>
        <w:spacing w:after="0" w:line="258" w:lineRule="auto"/>
        <w:tabs>
          <w:tab w:leader="none" w:pos="1620" w:val="left"/>
        </w:tabs>
        <w:numPr>
          <w:ilvl w:val="2"/>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period from and including the 1st day of February, 2003 to and including the 31st day of January, 2005, THREE HUNDRED AND TWO THOUSAND AND SIXTY-ONE DOLLARS ($302,061.00) per annum, payable in equal monthly instalments of TWENTY-FIVE THOUSAND ONE HUNDRED AND SEVENTY-ONE DOLLARS AND SEVENTY-FIVE CENTS ($25,171.75) each in advance on the first day of each calendar month of such period during the Term of the Third Additional Premises.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-5942965</wp:posOffset>
            </wp:positionV>
            <wp:extent cx="7250430" cy="21590"/>
            <wp:wrapNone/>
            <wp:docPr id="1307" name="Picture 1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7"/>
                    <pic:cNvPicPr>
                      <a:picLocks noChangeAspect="1" noChangeArrowheads="1"/>
                    </pic:cNvPicPr>
                  </pic:nvPicPr>
                  <pic:blipFill>
                    <a:blip r:embed="rId13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1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08" name="Picture 1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8"/>
                    <pic:cNvPicPr>
                      <a:picLocks noChangeAspect="1" noChangeArrowheads="1"/>
                    </pic:cNvPicPr>
                  </pic:nvPicPr>
                  <pic:blipFill>
                    <a:blip r:embed="rId13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620" w:right="20"/>
        <w:spacing w:after="0" w:line="275" w:lineRule="auto"/>
        <w:rPr>
          <w:sz w:val="20"/>
          <w:szCs w:val="20"/>
          <w:color w:val="auto"/>
        </w:rPr>
      </w:pPr>
      <w:r>
        <w:rPr>
          <w:rFonts w:ascii="Times New Roman" w:cs="Times New Roman" w:eastAsia="Times New Roman" w:hAnsi="Times New Roman"/>
          <w:sz w:val="18"/>
          <w:szCs w:val="18"/>
          <w:color w:val="auto"/>
        </w:rPr>
        <w:t>Net Rent for such period is based on an annual rate of TWENTY-SIX DOLLARS AND SEVENTY-FIVE CENTS ($26.75) per square foot of the Rentable Area of the Third Additional Premises.</w:t>
      </w:r>
    </w:p>
    <w:p>
      <w:pPr>
        <w:spacing w:after="0" w:line="187" w:lineRule="exact"/>
        <w:rPr>
          <w:sz w:val="20"/>
          <w:szCs w:val="20"/>
          <w:color w:val="auto"/>
        </w:rPr>
      </w:pPr>
    </w:p>
    <w:p>
      <w:pPr>
        <w:ind w:left="1620" w:right="60" w:hanging="532"/>
        <w:spacing w:after="0" w:line="296" w:lineRule="auto"/>
        <w:tabs>
          <w:tab w:leader="none" w:pos="1620"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period from and including the 1st day of February, 2005 to and including the 16th day of September, 2007, THREE HUNDRED AND FOUR THOUSAND EIGHT HUNDRED AND EIGHTY-FOUR DOLLARS ($304,884.00) per annum, payable in equal monthly instalments of TWENTY-FIVE THOUSAND FOUR HUNDRED AND SEVEN DOLLARS ($25,407.00) each in advance on the first day of each calendar month of such period during the Term of the Third Additional Premises. The Net Rent is based on an annual rate of TWENTY-SEVEN DOLLARS ($27.00) per square foot of the Rentable Area of the Third Additional Premises."</w:t>
      </w:r>
    </w:p>
    <w:p>
      <w:pPr>
        <w:sectPr>
          <w:pgSz w:w="11900" w:h="16838" w:orient="portrait"/>
          <w:cols w:equalWidth="0" w:num="1">
            <w:col w:w="11420"/>
          </w:cols>
          <w:pgMar w:left="240" w:top="67" w:right="239" w:bottom="17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080" w:hanging="532"/>
        <w:spacing w:after="0"/>
        <w:tabs>
          <w:tab w:leader="none" w:pos="108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Section 2.03 (Payment of Operating Costs) of the Lease is hereby amended by adding thereto the following:</w:t>
      </w:r>
    </w:p>
    <w:p>
      <w:pPr>
        <w:sectPr>
          <w:pgSz w:w="11900" w:h="16838" w:orient="portrait"/>
          <w:cols w:equalWidth="0" w:num="1">
            <w:col w:w="11420"/>
          </w:cols>
          <w:pgMar w:left="240" w:top="67" w:right="239" w:bottom="177" w:gutter="0" w:footer="0" w:header="0"/>
          <w:type w:val="continuous"/>
        </w:sectPr>
      </w:pPr>
    </w:p>
    <w:bookmarkStart w:id="62" w:name="page63"/>
    <w:bookmarkEnd w:id="62"/>
    <w:p>
      <w:pPr>
        <w:ind w:left="1080" w:right="540"/>
        <w:spacing w:after="0" w:line="275" w:lineRule="auto"/>
        <w:rPr>
          <w:sz w:val="20"/>
          <w:szCs w:val="20"/>
          <w:color w:val="auto"/>
        </w:rPr>
      </w:pPr>
      <w:r>
        <w:rPr>
          <w:rFonts w:ascii="Times New Roman" w:cs="Times New Roman" w:eastAsia="Times New Roman" w:hAnsi="Times New Roman"/>
          <w:sz w:val="18"/>
          <w:szCs w:val="18"/>
          <w:color w:val="auto"/>
        </w:rPr>
        <w:t>"Notwithstanding the foregoing, the Tenant shall commence payment to Landlord the Tenant's Proportionate Share of Operating Costs with respect to the Third Additional Premises on February 1, 2001."</w:t>
      </w:r>
    </w:p>
    <w:p>
      <w:pPr>
        <w:spacing w:after="0" w:line="187" w:lineRule="exact"/>
        <w:rPr>
          <w:sz w:val="20"/>
          <w:szCs w:val="20"/>
          <w:color w:val="auto"/>
        </w:rPr>
      </w:pPr>
    </w:p>
    <w:p>
      <w:pPr>
        <w:ind w:left="1080" w:hanging="532"/>
        <w:spacing w:after="0"/>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2.04(c) and Section 2.04(d) (Payment of Taxes) of the Lease are amended by adding thereto the following:</w:t>
      </w:r>
    </w:p>
    <w:p>
      <w:pPr>
        <w:spacing w:after="0" w:line="225" w:lineRule="exact"/>
        <w:rPr>
          <w:rFonts w:ascii="Times New Roman" w:cs="Times New Roman" w:eastAsia="Times New Roman" w:hAnsi="Times New Roman"/>
          <w:sz w:val="18"/>
          <w:szCs w:val="18"/>
          <w:color w:val="auto"/>
        </w:rPr>
      </w:pPr>
    </w:p>
    <w:p>
      <w:pPr>
        <w:ind w:left="1080" w:right="260"/>
        <w:spacing w:after="0" w:line="2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the Tenant shall commence payment to the Landlord its Proportionate Share of Taxes with respect to the Third Additional Premises on "February 1, 2001."</w:t>
      </w:r>
    </w:p>
    <w:p>
      <w:pPr>
        <w:spacing w:after="0" w:line="20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2.08 (Utilities) of the Lease is hereby amended by adding thereto the following:</w:t>
      </w:r>
    </w:p>
    <w:p>
      <w:pPr>
        <w:spacing w:after="0" w:line="225" w:lineRule="exact"/>
        <w:rPr>
          <w:rFonts w:ascii="Times New Roman" w:cs="Times New Roman" w:eastAsia="Times New Roman" w:hAnsi="Times New Roman"/>
          <w:sz w:val="18"/>
          <w:szCs w:val="18"/>
          <w:color w:val="auto"/>
        </w:rPr>
      </w:pPr>
    </w:p>
    <w:p>
      <w:pPr>
        <w:ind w:left="1080" w:right="100"/>
        <w:spacing w:after="0" w:line="2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the Tenant shall commence payment to the Landlord the charges and costs under Section 2.08 with respect to the Third Additional Premises on February 1, 2001."</w:t>
      </w:r>
    </w:p>
    <w:p>
      <w:pPr>
        <w:spacing w:after="0" w:line="18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12.09 is amended by deleting the first sentence and replacing it with the following:</w:t>
      </w:r>
    </w:p>
    <w:p>
      <w:pPr>
        <w:spacing w:after="0" w:line="228" w:lineRule="exact"/>
        <w:rPr>
          <w:rFonts w:ascii="Times New Roman" w:cs="Times New Roman" w:eastAsia="Times New Roman" w:hAnsi="Times New Roman"/>
          <w:sz w:val="18"/>
          <w:szCs w:val="18"/>
          <w:color w:val="auto"/>
        </w:rPr>
      </w:pPr>
    </w:p>
    <w:p>
      <w:pPr>
        <w:ind w:left="1080" w:right="140"/>
        <w:spacing w:after="0" w:line="22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the Third Additional Premises remain a part of the Premises, from the 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day of February, 2001, and thereafter during the Term of the Third Additional Premises, the Tenant will be entitled to use twenty-two (22) unreserved indoor parking permits for the parking facility provided for the Building within the Development."</w:t>
      </w:r>
    </w:p>
    <w:p>
      <w:pPr>
        <w:spacing w:after="0" w:line="217" w:lineRule="exact"/>
        <w:rPr>
          <w:rFonts w:ascii="Times New Roman" w:cs="Times New Roman" w:eastAsia="Times New Roman" w:hAnsi="Times New Roman"/>
          <w:sz w:val="18"/>
          <w:szCs w:val="18"/>
          <w:color w:val="auto"/>
        </w:rPr>
      </w:pPr>
    </w:p>
    <w:p>
      <w:pPr>
        <w:ind w:left="1080" w:hanging="532"/>
        <w:spacing w:after="0" w:line="262" w:lineRule="auto"/>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12.01 (Leasehold Improvement Allowance), Section 12.02 (Landlord's Work), Section 12.03 (Tenant's Work), Section 12.04 (Early Access and Occupancy), Section 12.05 (Termination Right), Section 12.06 (Renewal Options), and Section 12.10 (Irrevocable Letter of Credit) are amended by adding thereto the following:</w:t>
      </w:r>
    </w:p>
    <w:p>
      <w:pPr>
        <w:spacing w:after="0" w:line="186" w:lineRule="exact"/>
        <w:rPr>
          <w:rFonts w:ascii="Times New Roman" w:cs="Times New Roman" w:eastAsia="Times New Roman" w:hAnsi="Times New Roman"/>
          <w:sz w:val="18"/>
          <w:szCs w:val="18"/>
          <w:color w:val="auto"/>
        </w:rPr>
      </w:pPr>
    </w:p>
    <w:p>
      <w:pPr>
        <w:ind w:left="1080" w:right="540"/>
        <w:spacing w:after="0" w:line="2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the Landlord and Tenant covenant and agree that the provisions of this Section shall not apply to the Third Additional Premises."</w:t>
      </w:r>
    </w:p>
    <w:p>
      <w:pPr>
        <w:spacing w:after="0" w:line="200" w:lineRule="exact"/>
        <w:rPr>
          <w:rFonts w:ascii="Times New Roman" w:cs="Times New Roman" w:eastAsia="Times New Roman" w:hAnsi="Times New Roman"/>
          <w:sz w:val="18"/>
          <w:szCs w:val="18"/>
          <w:color w:val="auto"/>
        </w:rPr>
      </w:pPr>
    </w:p>
    <w:p>
      <w:pPr>
        <w:ind w:left="1080" w:right="3840" w:hanging="532"/>
        <w:spacing w:after="0" w:line="501" w:lineRule="auto"/>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12.11 (Tenant's Work—Third Additional Premises) is added to the Lease as follows: "Section 12.11 Tenant's Work—Third Additional Premises</w:t>
      </w:r>
    </w:p>
    <w:p>
      <w:pPr>
        <w:ind w:left="1080" w:right="140"/>
        <w:spacing w:after="0" w:line="258" w:lineRule="auto"/>
        <w:rPr>
          <w:sz w:val="20"/>
          <w:szCs w:val="20"/>
          <w:color w:val="auto"/>
        </w:rPr>
      </w:pPr>
      <w:r>
        <w:rPr>
          <w:rFonts w:ascii="Times New Roman" w:cs="Times New Roman" w:eastAsia="Times New Roman" w:hAnsi="Times New Roman"/>
          <w:sz w:val="18"/>
          <w:szCs w:val="18"/>
          <w:color w:val="auto"/>
        </w:rPr>
        <w:t>The Tenant will submit four sets of detailed working drawings to the Landlord for any work which the Tenant is required or proposes to do in the Third Additional Premises. All Tenant's work will be performed at the Tenant's expense in a good and workmanlike manner and in accordance with the leasehold improvements manual, by contractors, sub-contractors and workers engaged by the Tenant but approved by the Landlord. All labour union affiliations will be compatible with those of persons working in the Building on behalf of the Landlord</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09" name="Picture 1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9"/>
                    <pic:cNvPicPr>
                      <a:picLocks noChangeAspect="1" noChangeArrowheads="1"/>
                    </pic:cNvPicPr>
                  </pic:nvPicPr>
                  <pic:blipFill>
                    <a:blip r:embed="rId13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080" w:right="160"/>
        <w:spacing w:after="0" w:line="275" w:lineRule="auto"/>
        <w:rPr>
          <w:sz w:val="20"/>
          <w:szCs w:val="20"/>
          <w:color w:val="auto"/>
        </w:rPr>
      </w:pPr>
      <w:r>
        <w:rPr>
          <w:rFonts w:ascii="Times New Roman" w:cs="Times New Roman" w:eastAsia="Times New Roman" w:hAnsi="Times New Roman"/>
          <w:sz w:val="18"/>
          <w:szCs w:val="18"/>
          <w:color w:val="auto"/>
        </w:rPr>
        <w:t>and will otherwise be acceptable to the Landlord. The Tenant's working drawings, contractors, sub-contractors and workers will be subject to the Landlord's approval. The Landlord will not unreasonably deny or delay its approvals.</w:t>
      </w:r>
    </w:p>
    <w:p>
      <w:pPr>
        <w:spacing w:after="0" w:line="174" w:lineRule="exact"/>
        <w:rPr>
          <w:sz w:val="20"/>
          <w:szCs w:val="20"/>
          <w:color w:val="auto"/>
        </w:rPr>
      </w:pPr>
    </w:p>
    <w:p>
      <w:pPr>
        <w:jc w:val="both"/>
        <w:ind w:left="1080" w:right="40"/>
        <w:spacing w:after="0" w:line="262" w:lineRule="auto"/>
        <w:rPr>
          <w:sz w:val="20"/>
          <w:szCs w:val="20"/>
          <w:color w:val="auto"/>
        </w:rPr>
      </w:pPr>
      <w:r>
        <w:rPr>
          <w:rFonts w:ascii="Times New Roman" w:cs="Times New Roman" w:eastAsia="Times New Roman" w:hAnsi="Times New Roman"/>
          <w:sz w:val="18"/>
          <w:szCs w:val="18"/>
          <w:color w:val="auto"/>
        </w:rPr>
        <w:t>The Tenant will pay the Landlord a fee equal to the lesser of: (i) 5% of the cost of the Leasehold improvements; or (ii) $0.80 per square foot of the Net Rentable Area of the Third Additional Premises to cover the cost of the Landlord's supervision and overhead during construction of Leasehold improvements."</w:t>
      </w:r>
    </w:p>
    <w:p>
      <w:pPr>
        <w:spacing w:after="0" w:line="200" w:lineRule="exact"/>
        <w:rPr>
          <w:sz w:val="20"/>
          <w:szCs w:val="20"/>
          <w:color w:val="auto"/>
        </w:rPr>
      </w:pPr>
    </w:p>
    <w:p>
      <w:pPr>
        <w:ind w:left="1080" w:hanging="532"/>
        <w:spacing w:after="0"/>
        <w:tabs>
          <w:tab w:leader="none" w:pos="108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 "B-5", attached hereto and forming a part of this Lease Amending Agreement, is added to the Lease.</w:t>
      </w:r>
    </w:p>
    <w:p>
      <w:pPr>
        <w:spacing w:after="0" w:line="225" w:lineRule="exact"/>
        <w:rPr>
          <w:rFonts w:ascii="Times New Roman" w:cs="Times New Roman" w:eastAsia="Times New Roman" w:hAnsi="Times New Roman"/>
          <w:sz w:val="18"/>
          <w:szCs w:val="18"/>
          <w:color w:val="auto"/>
        </w:rPr>
      </w:pPr>
    </w:p>
    <w:p>
      <w:pPr>
        <w:ind w:right="500" w:firstLine="8"/>
        <w:spacing w:after="0" w:line="275" w:lineRule="auto"/>
        <w:tabs>
          <w:tab w:leader="none" w:pos="307"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herein, all references in the Lease to the "Premises" shall be deemed to include the First Additional Premises, the Second Additional Premises and the Third Additional Premises.</w:t>
      </w:r>
    </w:p>
    <w:p>
      <w:pPr>
        <w:spacing w:after="0" w:line="173" w:lineRule="exact"/>
        <w:rPr>
          <w:rFonts w:ascii="Times New Roman" w:cs="Times New Roman" w:eastAsia="Times New Roman" w:hAnsi="Times New Roman"/>
          <w:sz w:val="18"/>
          <w:szCs w:val="18"/>
          <w:color w:val="auto"/>
        </w:rPr>
      </w:pPr>
    </w:p>
    <w:p>
      <w:pPr>
        <w:ind w:right="400" w:firstLine="8"/>
        <w:spacing w:after="0" w:line="262" w:lineRule="auto"/>
        <w:tabs>
          <w:tab w:leader="none" w:pos="304"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confirm that in all other respects, the terms, covenants and conditions of the Lease remain unchanged and in full force and effect, except as modified by this Agreement. It is understood and agreed that all terms and expressions when used in this Agreement, unless a contrary intention is expressed herein, have the same meaning as they have in the Lease.</w:t>
      </w:r>
    </w:p>
    <w:p>
      <w:pPr>
        <w:spacing w:after="0" w:line="186" w:lineRule="exact"/>
        <w:rPr>
          <w:rFonts w:ascii="Times New Roman" w:cs="Times New Roman" w:eastAsia="Times New Roman" w:hAnsi="Times New Roman"/>
          <w:sz w:val="18"/>
          <w:szCs w:val="18"/>
          <w:color w:val="auto"/>
        </w:rPr>
      </w:pPr>
    </w:p>
    <w:p>
      <w:pPr>
        <w:ind w:right="140" w:firstLine="8"/>
        <w:spacing w:after="0" w:line="275" w:lineRule="auto"/>
        <w:tabs>
          <w:tab w:leader="none" w:pos="304"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enure to the benefit of and be binding upon the Parties hereto, the successors and assigns of the Landlord and the permitted successors and permitted assigns of the Tenant.</w:t>
      </w:r>
    </w:p>
    <w:p>
      <w:pPr>
        <w:spacing w:after="0" w:line="172" w:lineRule="exact"/>
        <w:rPr>
          <w:sz w:val="20"/>
          <w:szCs w:val="20"/>
          <w:color w:val="auto"/>
        </w:rPr>
      </w:pPr>
    </w:p>
    <w:p>
      <w:pPr>
        <w:ind w:right="380" w:firstLine="351"/>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IN WITNESS WHEREOF </w:t>
      </w:r>
      <w:r>
        <w:rPr>
          <w:rFonts w:ascii="Times New Roman" w:cs="Times New Roman" w:eastAsia="Times New Roman" w:hAnsi="Times New Roman"/>
          <w:sz w:val="18"/>
          <w:szCs w:val="18"/>
          <w:color w:val="auto"/>
        </w:rPr>
        <w:t>the Parties hereto have duly executed this Agreement as of the day and year first above written, by affixing their respective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corporate seals under the hands of their proper</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10" name="Picture 1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0"/>
                    <pic:cNvPicPr>
                      <a:picLocks noChangeAspect="1" noChangeArrowheads="1"/>
                    </pic:cNvPicPr>
                  </pic:nvPicPr>
                  <pic:blipFill>
                    <a:blip r:embed="rId13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signing officers duly authorized in that behalf or by setting their respective hands and seals in their personal capacity, as the case may be.</w:t>
      </w:r>
    </w:p>
    <w:p>
      <w:pPr>
        <w:spacing w:after="0" w:line="225"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YCC LIMITED</w:t>
      </w:r>
    </w:p>
    <w:p>
      <w:pPr>
        <w:spacing w:after="0" w:line="21" w:lineRule="exact"/>
        <w:rPr>
          <w:sz w:val="20"/>
          <w:szCs w:val="20"/>
          <w:color w:val="auto"/>
        </w:rPr>
      </w:pPr>
    </w:p>
    <w:tbl>
      <w:tblPr>
        <w:tblLayout w:type="fixed"/>
        <w:tblInd w:w="4820" w:type="dxa"/>
        <w:tblCellMar>
          <w:top w:w="0" w:type="dxa"/>
          <w:left w:w="0" w:type="dxa"/>
          <w:bottom w:w="0" w:type="dxa"/>
          <w:right w:w="0" w:type="dxa"/>
        </w:tblCellMar>
      </w:tblPr>
      <w:tr>
        <w:trPr>
          <w:trHeight w:val="228"/>
        </w:trPr>
        <w:tc>
          <w:tcPr>
            <w:tcW w:w="560" w:type="dxa"/>
            <w:vAlign w:val="bottom"/>
          </w:tcPr>
          <w:p>
            <w:pPr>
              <w:spacing w:after="0"/>
              <w:rPr>
                <w:sz w:val="19"/>
                <w:szCs w:val="19"/>
                <w:color w:val="auto"/>
              </w:rPr>
            </w:pPr>
          </w:p>
        </w:tc>
        <w:tc>
          <w:tcPr>
            <w:tcW w:w="6040" w:type="dxa"/>
            <w:vAlign w:val="bottom"/>
          </w:tcPr>
          <w:p>
            <w:pPr>
              <w:ind w:left="5280"/>
              <w:spacing w:after="0"/>
              <w:rPr>
                <w:sz w:val="20"/>
                <w:szCs w:val="20"/>
                <w:color w:val="auto"/>
              </w:rPr>
            </w:pPr>
            <w:r>
              <w:rPr>
                <w:rFonts w:ascii="Times New Roman" w:cs="Times New Roman" w:eastAsia="Times New Roman" w:hAnsi="Times New Roman"/>
                <w:sz w:val="18"/>
                <w:szCs w:val="18"/>
                <w:color w:val="auto"/>
                <w:w w:val="94"/>
              </w:rPr>
              <w:t>(Landlord)</w:t>
            </w:r>
          </w:p>
        </w:tc>
      </w:tr>
      <w:tr>
        <w:trPr>
          <w:trHeight w:val="407"/>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Per:</w:t>
            </w:r>
          </w:p>
        </w:tc>
        <w:tc>
          <w:tcPr>
            <w:tcW w:w="604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/s/ MICHELLE CARRIE</w:t>
            </w:r>
          </w:p>
        </w:tc>
      </w:tr>
      <w:tr>
        <w:trPr>
          <w:trHeight w:val="228"/>
        </w:trPr>
        <w:tc>
          <w:tcPr>
            <w:tcW w:w="560" w:type="dxa"/>
            <w:vAlign w:val="bottom"/>
          </w:tcPr>
          <w:p>
            <w:pPr>
              <w:spacing w:after="0"/>
              <w:rPr>
                <w:sz w:val="19"/>
                <w:szCs w:val="19"/>
                <w:color w:val="auto"/>
              </w:rPr>
            </w:pPr>
          </w:p>
        </w:tc>
        <w:tc>
          <w:tcPr>
            <w:tcW w:w="6040" w:type="dxa"/>
            <w:vAlign w:val="bottom"/>
          </w:tcPr>
          <w:p>
            <w:pPr>
              <w:ind w:left="2520"/>
              <w:spacing w:after="0"/>
              <w:rPr>
                <w:sz w:val="20"/>
                <w:szCs w:val="20"/>
                <w:color w:val="auto"/>
              </w:rPr>
            </w:pPr>
            <w:r>
              <w:rPr>
                <w:rFonts w:ascii="Times New Roman" w:cs="Times New Roman" w:eastAsia="Times New Roman" w:hAnsi="Times New Roman"/>
                <w:sz w:val="18"/>
                <w:szCs w:val="18"/>
                <w:color w:val="auto"/>
              </w:rPr>
              <w:t>Legal Counsel</w:t>
            </w:r>
          </w:p>
        </w:tc>
      </w:tr>
      <w:tr>
        <w:trPr>
          <w:trHeight w:val="120"/>
        </w:trPr>
        <w:tc>
          <w:tcPr>
            <w:tcW w:w="560" w:type="dxa"/>
            <w:vAlign w:val="bottom"/>
          </w:tcPr>
          <w:p>
            <w:pPr>
              <w:spacing w:after="0"/>
              <w:rPr>
                <w:sz w:val="10"/>
                <w:szCs w:val="10"/>
                <w:color w:val="auto"/>
              </w:rPr>
            </w:pPr>
          </w:p>
        </w:tc>
        <w:tc>
          <w:tcPr>
            <w:tcW w:w="60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11" name="Picture 1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1"/>
                    <pic:cNvPicPr>
                      <a:picLocks noChangeAspect="1" noChangeArrowheads="1"/>
                    </pic:cNvPicPr>
                  </pic:nvPicPr>
                  <pic:blipFill>
                    <a:blip r:embed="rId13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-14605</wp:posOffset>
            </wp:positionV>
            <wp:extent cx="12700" cy="8890"/>
            <wp:wrapNone/>
            <wp:docPr id="1312" name="Picture 1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2"/>
                    <pic:cNvPicPr>
                      <a:picLocks noChangeAspect="1" noChangeArrowheads="1"/>
                    </pic:cNvPicPr>
                  </pic:nvPicPr>
                  <pic:blipFill>
                    <a:blip r:embed="rId13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bookmarkStart w:id="63" w:name="page64"/>
    <w:bookmarkEnd w:id="63"/>
    <w:tbl>
      <w:tblPr>
        <w:tblLayout w:type="fixed"/>
        <w:tblInd w:w="4820" w:type="dxa"/>
        <w:tblCellMar>
          <w:top w:w="0" w:type="dxa"/>
          <w:left w:w="0" w:type="dxa"/>
          <w:bottom w:w="0" w:type="dxa"/>
          <w:right w:w="0" w:type="dxa"/>
        </w:tblCellMar>
      </w:tblPr>
      <w:tr>
        <w:trPr>
          <w:trHeight w:val="228"/>
        </w:trPr>
        <w:tc>
          <w:tcPr>
            <w:tcW w:w="560" w:type="dxa"/>
            <w:vAlign w:val="bottom"/>
          </w:tcPr>
          <w:p>
            <w:pPr>
              <w:spacing w:after="0"/>
              <w:rPr>
                <w:sz w:val="19"/>
                <w:szCs w:val="19"/>
                <w:color w:val="auto"/>
              </w:rPr>
            </w:pPr>
          </w:p>
        </w:tc>
        <w:tc>
          <w:tcPr>
            <w:tcW w:w="6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Authorized Signature</w:t>
            </w:r>
          </w:p>
        </w:tc>
      </w:tr>
      <w:tr>
        <w:trPr>
          <w:trHeight w:val="432"/>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Per:</w:t>
            </w:r>
          </w:p>
        </w:tc>
        <w:tc>
          <w:tcPr>
            <w:tcW w:w="6040" w:type="dxa"/>
            <w:vAlign w:val="bottom"/>
          </w:tcPr>
          <w:p>
            <w:pPr>
              <w:jc w:val="right"/>
              <w:ind w:right="2492"/>
              <w:spacing w:after="0"/>
              <w:rPr>
                <w:sz w:val="20"/>
                <w:szCs w:val="20"/>
                <w:color w:val="auto"/>
              </w:rPr>
            </w:pPr>
            <w:r>
              <w:rPr>
                <w:rFonts w:ascii="Times New Roman" w:cs="Times New Roman" w:eastAsia="Times New Roman" w:hAnsi="Times New Roman"/>
                <w:sz w:val="18"/>
                <w:szCs w:val="18"/>
                <w:color w:val="auto"/>
              </w:rPr>
              <w:t>/s/ ILLEGIBLE</w:t>
            </w:r>
          </w:p>
        </w:tc>
      </w:tr>
      <w:tr>
        <w:trPr>
          <w:trHeight w:val="120"/>
        </w:trPr>
        <w:tc>
          <w:tcPr>
            <w:tcW w:w="560" w:type="dxa"/>
            <w:vAlign w:val="bottom"/>
          </w:tcPr>
          <w:p>
            <w:pPr>
              <w:spacing w:after="0"/>
              <w:rPr>
                <w:sz w:val="10"/>
                <w:szCs w:val="10"/>
                <w:color w:val="auto"/>
              </w:rPr>
            </w:pPr>
          </w:p>
        </w:tc>
        <w:tc>
          <w:tcPr>
            <w:tcW w:w="6040" w:type="dxa"/>
            <w:vAlign w:val="bottom"/>
            <w:tcBorders>
              <w:bottom w:val="single" w:sz="8" w:color="808080"/>
            </w:tcBorders>
          </w:tcPr>
          <w:p>
            <w:pPr>
              <w:spacing w:after="0"/>
              <w:rPr>
                <w:sz w:val="10"/>
                <w:szCs w:val="10"/>
                <w:color w:val="auto"/>
              </w:rPr>
            </w:pPr>
          </w:p>
        </w:tc>
      </w:tr>
      <w:tr>
        <w:trPr>
          <w:trHeight w:val="319"/>
        </w:trPr>
        <w:tc>
          <w:tcPr>
            <w:tcW w:w="560" w:type="dxa"/>
            <w:vAlign w:val="bottom"/>
          </w:tcPr>
          <w:p>
            <w:pPr>
              <w:spacing w:after="0"/>
              <w:rPr>
                <w:sz w:val="24"/>
                <w:szCs w:val="24"/>
                <w:color w:val="auto"/>
              </w:rPr>
            </w:pPr>
          </w:p>
        </w:tc>
        <w:tc>
          <w:tcPr>
            <w:tcW w:w="6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Authorized Signature</w:t>
            </w:r>
          </w:p>
        </w:tc>
      </w:tr>
      <w:tr>
        <w:trPr>
          <w:trHeight w:val="420"/>
        </w:trPr>
        <w:tc>
          <w:tcPr>
            <w:tcW w:w="6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LONDON LIFE INSURANCE COMPANY</w:t>
            </w:r>
          </w:p>
        </w:tc>
      </w:tr>
      <w:tr>
        <w:trPr>
          <w:trHeight w:val="228"/>
        </w:trPr>
        <w:tc>
          <w:tcPr>
            <w:tcW w:w="560" w:type="dxa"/>
            <w:vAlign w:val="bottom"/>
          </w:tcPr>
          <w:p>
            <w:pPr>
              <w:spacing w:after="0"/>
              <w:rPr>
                <w:sz w:val="19"/>
                <w:szCs w:val="19"/>
                <w:color w:val="auto"/>
              </w:rPr>
            </w:pPr>
          </w:p>
        </w:tc>
        <w:tc>
          <w:tcPr>
            <w:tcW w:w="6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(Landlord)</w:t>
            </w:r>
          </w:p>
        </w:tc>
      </w:tr>
      <w:tr>
        <w:trPr>
          <w:trHeight w:val="420"/>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Per:</w:t>
            </w:r>
          </w:p>
        </w:tc>
        <w:tc>
          <w:tcPr>
            <w:tcW w:w="6040" w:type="dxa"/>
            <w:vAlign w:val="bottom"/>
          </w:tcPr>
          <w:p>
            <w:pPr>
              <w:jc w:val="center"/>
              <w:ind w:right="72"/>
              <w:spacing w:after="0"/>
              <w:rPr>
                <w:sz w:val="20"/>
                <w:szCs w:val="20"/>
                <w:color w:val="auto"/>
              </w:rPr>
            </w:pPr>
            <w:r>
              <w:rPr>
                <w:rFonts w:ascii="Times New Roman" w:cs="Times New Roman" w:eastAsia="Times New Roman" w:hAnsi="Times New Roman"/>
                <w:sz w:val="18"/>
                <w:szCs w:val="18"/>
                <w:color w:val="auto"/>
                <w:w w:val="99"/>
              </w:rPr>
              <w:t>/s/ PHILIP D. GUNN</w:t>
            </w:r>
          </w:p>
        </w:tc>
      </w:tr>
      <w:tr>
        <w:trPr>
          <w:trHeight w:val="228"/>
        </w:trPr>
        <w:tc>
          <w:tcPr>
            <w:tcW w:w="560" w:type="dxa"/>
            <w:vAlign w:val="bottom"/>
          </w:tcPr>
          <w:p>
            <w:pPr>
              <w:spacing w:after="0"/>
              <w:rPr>
                <w:sz w:val="19"/>
                <w:szCs w:val="19"/>
                <w:color w:val="auto"/>
              </w:rPr>
            </w:pPr>
          </w:p>
        </w:tc>
        <w:tc>
          <w:tcPr>
            <w:tcW w:w="6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Asset Manager</w:t>
            </w:r>
          </w:p>
        </w:tc>
      </w:tr>
      <w:tr>
        <w:trPr>
          <w:trHeight w:val="120"/>
        </w:trPr>
        <w:tc>
          <w:tcPr>
            <w:tcW w:w="560" w:type="dxa"/>
            <w:vAlign w:val="bottom"/>
          </w:tcPr>
          <w:p>
            <w:pPr>
              <w:spacing w:after="0"/>
              <w:rPr>
                <w:sz w:val="10"/>
                <w:szCs w:val="10"/>
                <w:color w:val="auto"/>
              </w:rPr>
            </w:pPr>
          </w:p>
        </w:tc>
        <w:tc>
          <w:tcPr>
            <w:tcW w:w="6040" w:type="dxa"/>
            <w:vAlign w:val="bottom"/>
            <w:tcBorders>
              <w:bottom w:val="single" w:sz="8" w:color="808080"/>
            </w:tcBorders>
          </w:tcPr>
          <w:p>
            <w:pPr>
              <w:spacing w:after="0"/>
              <w:rPr>
                <w:sz w:val="10"/>
                <w:szCs w:val="10"/>
                <w:color w:val="auto"/>
              </w:rPr>
            </w:pPr>
          </w:p>
        </w:tc>
      </w:tr>
      <w:tr>
        <w:trPr>
          <w:trHeight w:val="319"/>
        </w:trPr>
        <w:tc>
          <w:tcPr>
            <w:tcW w:w="560" w:type="dxa"/>
            <w:vAlign w:val="bottom"/>
          </w:tcPr>
          <w:p>
            <w:pPr>
              <w:spacing w:after="0"/>
              <w:rPr>
                <w:sz w:val="24"/>
                <w:szCs w:val="24"/>
                <w:color w:val="auto"/>
              </w:rPr>
            </w:pPr>
          </w:p>
        </w:tc>
        <w:tc>
          <w:tcPr>
            <w:tcW w:w="6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Authorized Signature</w:t>
            </w:r>
          </w:p>
        </w:tc>
      </w:tr>
      <w:tr>
        <w:trPr>
          <w:trHeight w:val="420"/>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Per:</w:t>
            </w:r>
          </w:p>
        </w:tc>
        <w:tc>
          <w:tcPr>
            <w:tcW w:w="6040" w:type="dxa"/>
            <w:vAlign w:val="bottom"/>
          </w:tcPr>
          <w:p>
            <w:pPr>
              <w:jc w:val="center"/>
              <w:ind w:right="72"/>
              <w:spacing w:after="0"/>
              <w:rPr>
                <w:sz w:val="20"/>
                <w:szCs w:val="20"/>
                <w:color w:val="auto"/>
              </w:rPr>
            </w:pPr>
            <w:r>
              <w:rPr>
                <w:rFonts w:ascii="Times New Roman" w:cs="Times New Roman" w:eastAsia="Times New Roman" w:hAnsi="Times New Roman"/>
                <w:sz w:val="18"/>
                <w:szCs w:val="18"/>
                <w:color w:val="auto"/>
                <w:w w:val="99"/>
              </w:rPr>
              <w:t>/s/ MICHAEL SNELL</w:t>
            </w:r>
          </w:p>
        </w:tc>
      </w:tr>
      <w:tr>
        <w:trPr>
          <w:trHeight w:val="228"/>
        </w:trPr>
        <w:tc>
          <w:tcPr>
            <w:tcW w:w="560" w:type="dxa"/>
            <w:vAlign w:val="bottom"/>
          </w:tcPr>
          <w:p>
            <w:pPr>
              <w:spacing w:after="0"/>
              <w:rPr>
                <w:sz w:val="19"/>
                <w:szCs w:val="19"/>
                <w:color w:val="auto"/>
              </w:rPr>
            </w:pPr>
          </w:p>
        </w:tc>
        <w:tc>
          <w:tcPr>
            <w:tcW w:w="6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Regional Director</w:t>
            </w:r>
          </w:p>
        </w:tc>
      </w:tr>
      <w:tr>
        <w:trPr>
          <w:trHeight w:val="120"/>
        </w:trPr>
        <w:tc>
          <w:tcPr>
            <w:tcW w:w="560" w:type="dxa"/>
            <w:vAlign w:val="bottom"/>
          </w:tcPr>
          <w:p>
            <w:pPr>
              <w:spacing w:after="0"/>
              <w:rPr>
                <w:sz w:val="10"/>
                <w:szCs w:val="10"/>
                <w:color w:val="auto"/>
              </w:rPr>
            </w:pPr>
          </w:p>
        </w:tc>
        <w:tc>
          <w:tcPr>
            <w:tcW w:w="6040" w:type="dxa"/>
            <w:vAlign w:val="bottom"/>
            <w:tcBorders>
              <w:bottom w:val="single" w:sz="8" w:color="808080"/>
            </w:tcBorders>
          </w:tcPr>
          <w:p>
            <w:pPr>
              <w:spacing w:after="0"/>
              <w:rPr>
                <w:sz w:val="10"/>
                <w:szCs w:val="10"/>
                <w:color w:val="auto"/>
              </w:rPr>
            </w:pPr>
          </w:p>
        </w:tc>
      </w:tr>
      <w:tr>
        <w:trPr>
          <w:trHeight w:val="319"/>
        </w:trPr>
        <w:tc>
          <w:tcPr>
            <w:tcW w:w="560" w:type="dxa"/>
            <w:vAlign w:val="bottom"/>
          </w:tcPr>
          <w:p>
            <w:pPr>
              <w:spacing w:after="0"/>
              <w:rPr>
                <w:sz w:val="24"/>
                <w:szCs w:val="24"/>
                <w:color w:val="auto"/>
              </w:rPr>
            </w:pPr>
          </w:p>
        </w:tc>
        <w:tc>
          <w:tcPr>
            <w:tcW w:w="6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Authorized Signature</w:t>
            </w:r>
          </w:p>
        </w:tc>
      </w:tr>
      <w:tr>
        <w:trPr>
          <w:trHeight w:val="420"/>
        </w:trPr>
        <w:tc>
          <w:tcPr>
            <w:tcW w:w="6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LOYALTY MANAGEMENT GROUP CANADA INC.</w:t>
            </w:r>
          </w:p>
        </w:tc>
      </w:tr>
      <w:tr>
        <w:trPr>
          <w:trHeight w:val="228"/>
        </w:trPr>
        <w:tc>
          <w:tcPr>
            <w:tcW w:w="560" w:type="dxa"/>
            <w:vAlign w:val="bottom"/>
          </w:tcPr>
          <w:p>
            <w:pPr>
              <w:spacing w:after="0"/>
              <w:rPr>
                <w:sz w:val="19"/>
                <w:szCs w:val="19"/>
                <w:color w:val="auto"/>
              </w:rPr>
            </w:pPr>
          </w:p>
        </w:tc>
        <w:tc>
          <w:tcPr>
            <w:tcW w:w="6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(Tenant)</w:t>
            </w:r>
          </w:p>
        </w:tc>
      </w:tr>
      <w:tr>
        <w:trPr>
          <w:trHeight w:val="420"/>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Per:</w:t>
            </w:r>
          </w:p>
        </w:tc>
        <w:tc>
          <w:tcPr>
            <w:tcW w:w="6040" w:type="dxa"/>
            <w:vAlign w:val="bottom"/>
          </w:tcPr>
          <w:p>
            <w:pPr>
              <w:jc w:val="center"/>
              <w:ind w:right="92"/>
              <w:spacing w:after="0"/>
              <w:rPr>
                <w:sz w:val="20"/>
                <w:szCs w:val="20"/>
                <w:color w:val="auto"/>
              </w:rPr>
            </w:pPr>
            <w:r>
              <w:rPr>
                <w:rFonts w:ascii="Times New Roman" w:cs="Times New Roman" w:eastAsia="Times New Roman" w:hAnsi="Times New Roman"/>
                <w:sz w:val="18"/>
                <w:szCs w:val="18"/>
                <w:color w:val="auto"/>
                <w:w w:val="99"/>
              </w:rPr>
              <w:t>/s/ TODD MARCH</w:t>
            </w:r>
          </w:p>
        </w:tc>
      </w:tr>
      <w:tr>
        <w:trPr>
          <w:trHeight w:val="228"/>
        </w:trPr>
        <w:tc>
          <w:tcPr>
            <w:tcW w:w="560" w:type="dxa"/>
            <w:vAlign w:val="bottom"/>
          </w:tcPr>
          <w:p>
            <w:pPr>
              <w:spacing w:after="0"/>
              <w:rPr>
                <w:sz w:val="19"/>
                <w:szCs w:val="19"/>
                <w:color w:val="auto"/>
              </w:rPr>
            </w:pPr>
          </w:p>
        </w:tc>
        <w:tc>
          <w:tcPr>
            <w:tcW w:w="6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VP Finance &amp; Planning</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-2858135</wp:posOffset>
            </wp:positionV>
            <wp:extent cx="12700" cy="8890"/>
            <wp:wrapNone/>
            <wp:docPr id="1313" name="Picture 1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3"/>
                    <pic:cNvPicPr>
                      <a:picLocks noChangeAspect="1" noChangeArrowheads="1"/>
                    </pic:cNvPicPr>
                  </pic:nvPicPr>
                  <pic:blipFill>
                    <a:blip r:embed="rId13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-2858135</wp:posOffset>
            </wp:positionV>
            <wp:extent cx="12700" cy="8890"/>
            <wp:wrapNone/>
            <wp:docPr id="1314" name="Picture 1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4"/>
                    <pic:cNvPicPr>
                      <a:picLocks noChangeAspect="1" noChangeArrowheads="1"/>
                    </pic:cNvPicPr>
                  </pic:nvPicPr>
                  <pic:blipFill>
                    <a:blip r:embed="rId13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-1743075</wp:posOffset>
            </wp:positionV>
            <wp:extent cx="12700" cy="8890"/>
            <wp:wrapNone/>
            <wp:docPr id="1315" name="Picture 1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5"/>
                    <pic:cNvPicPr>
                      <a:picLocks noChangeAspect="1" noChangeArrowheads="1"/>
                    </pic:cNvPicPr>
                  </pic:nvPicPr>
                  <pic:blipFill>
                    <a:blip r:embed="rId13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-1743075</wp:posOffset>
            </wp:positionV>
            <wp:extent cx="12700" cy="8890"/>
            <wp:wrapNone/>
            <wp:docPr id="1316" name="Picture 1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6"/>
                    <pic:cNvPicPr>
                      <a:picLocks noChangeAspect="1" noChangeArrowheads="1"/>
                    </pic:cNvPicPr>
                  </pic:nvPicPr>
                  <pic:blipFill>
                    <a:blip r:embed="rId13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-1040130</wp:posOffset>
            </wp:positionV>
            <wp:extent cx="12700" cy="8890"/>
            <wp:wrapNone/>
            <wp:docPr id="1317" name="Picture 1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7"/>
                    <pic:cNvPicPr>
                      <a:picLocks noChangeAspect="1" noChangeArrowheads="1"/>
                    </pic:cNvPicPr>
                  </pic:nvPicPr>
                  <pic:blipFill>
                    <a:blip r:embed="rId13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-1040130</wp:posOffset>
            </wp:positionV>
            <wp:extent cx="12700" cy="8890"/>
            <wp:wrapNone/>
            <wp:docPr id="1318" name="Picture 1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8"/>
                    <pic:cNvPicPr>
                      <a:picLocks noChangeAspect="1" noChangeArrowheads="1"/>
                    </pic:cNvPicPr>
                  </pic:nvPicPr>
                  <pic:blipFill>
                    <a:blip r:embed="rId13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67945</wp:posOffset>
            </wp:positionV>
            <wp:extent cx="3837305" cy="21590"/>
            <wp:wrapNone/>
            <wp:docPr id="1319" name="Picture 1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9"/>
                    <pic:cNvPicPr>
                      <a:picLocks noChangeAspect="1" noChangeArrowheads="1"/>
                    </pic:cNvPicPr>
                  </pic:nvPicPr>
                  <pic:blipFill>
                    <a:blip r:embed="rId1326">
                      <a:extLst>
                        <a:ext uri="{28A0092B-C50C-407E-A947-70E740481C1C}"/>
                      </a:extLst>
                    </a:blip>
                    <a:srcRect/>
                    <a:stretch>
                      <a:fillRect/>
                    </a:stretch>
                  </pic:blipFill>
                  <pic:spPr bwMode="auto">
                    <a:xfrm>
                      <a:off x="0" y="0"/>
                      <a:ext cx="3837305" cy="21590"/>
                    </a:xfrm>
                    <a:prstGeom prst="rect">
                      <a:avLst/>
                    </a:prstGeom>
                    <a:noFill/>
                  </pic:spPr>
                </pic:pic>
              </a:graphicData>
            </a:graphic>
          </wp:anchor>
        </w:drawing>
      </w:r>
    </w:p>
    <w:p>
      <w:pPr>
        <w:spacing w:after="0" w:line="21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Authorized Signature</w:t>
      </w:r>
    </w:p>
    <w:p>
      <w:pPr>
        <w:spacing w:after="0" w:line="225"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3416300</wp:posOffset>
            </wp:positionH>
            <wp:positionV relativeFrom="paragraph">
              <wp:posOffset>-38100</wp:posOffset>
            </wp:positionV>
            <wp:extent cx="3837305" cy="21590"/>
            <wp:wrapNone/>
            <wp:docPr id="1320" name="Picture 1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0"/>
                    <pic:cNvPicPr>
                      <a:picLocks noChangeAspect="1" noChangeArrowheads="1"/>
                    </pic:cNvPicPr>
                  </pic:nvPicPr>
                  <pic:blipFill>
                    <a:blip r:embed="rId1327">
                      <a:extLst>
                        <a:ext uri="{28A0092B-C50C-407E-A947-70E740481C1C}"/>
                      </a:extLst>
                    </a:blip>
                    <a:srcRect/>
                    <a:stretch>
                      <a:fillRect/>
                    </a:stretch>
                  </pic:blipFill>
                  <pic:spPr bwMode="auto">
                    <a:xfrm>
                      <a:off x="0" y="0"/>
                      <a:ext cx="3837305" cy="21590"/>
                    </a:xfrm>
                    <a:prstGeom prst="rect">
                      <a:avLst/>
                    </a:prstGeom>
                    <a:noFill/>
                  </pic:spPr>
                </pic:pic>
              </a:graphicData>
            </a:graphic>
          </wp:anchor>
        </w:drawing>
      </w:r>
    </w:p>
    <w:p>
      <w:pPr>
        <w:spacing w:after="0" w:line="4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Authorized Signature</w:t>
      </w:r>
    </w:p>
    <w:p>
      <w:pPr>
        <w:spacing w:after="0" w:line="225"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I/We have authority to bind the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21" name="Picture 1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1"/>
                    <pic:cNvPicPr>
                      <a:picLocks noChangeAspect="1" noChangeArrowheads="1"/>
                    </pic:cNvPicPr>
                  </pic:nvPicPr>
                  <pic:blipFill>
                    <a:blip r:embed="rId13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"B-5"</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[FLOOR PLAN]</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22" name="Picture 1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2"/>
                    <pic:cNvPicPr>
                      <a:picLocks noChangeAspect="1" noChangeArrowheads="1"/>
                    </pic:cNvPicPr>
                  </pic:nvPicPr>
                  <pic:blipFill>
                    <a:blip r:embed="rId13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LEASE AMENDING AGREEMENT</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THIS AGREEMENT </w:t>
      </w:r>
      <w:r>
        <w:rPr>
          <w:rFonts w:ascii="Times New Roman" w:cs="Times New Roman" w:eastAsia="Times New Roman" w:hAnsi="Times New Roman"/>
          <w:sz w:val="18"/>
          <w:szCs w:val="18"/>
          <w:color w:val="auto"/>
        </w:rPr>
        <w:t>is dated the 12</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day of June, 2002</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BETWEEN: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YCC LIMITED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LONDON LIFE INSURANCE COMPANY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"Landlord")</w:t>
      </w:r>
    </w:p>
    <w:p>
      <w:pPr>
        <w:spacing w:after="0" w:line="21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OF THE FIRST PART</w:t>
      </w:r>
    </w:p>
    <w:p>
      <w:pPr>
        <w:spacing w:after="0" w:line="225"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8"/>
          <w:szCs w:val="18"/>
          <w:color w:val="auto"/>
        </w:rPr>
        <w:t>–and–</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LOYALTY MANAGEMENT GROUP CANADA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"Tenant")</w:t>
      </w:r>
    </w:p>
    <w:p>
      <w:pPr>
        <w:spacing w:after="0" w:line="21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OF THE SECOND PART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WHEREAS:</w:t>
      </w:r>
    </w:p>
    <w:p>
      <w:pPr>
        <w:spacing w:after="0" w:line="228" w:lineRule="exact"/>
        <w:rPr>
          <w:sz w:val="20"/>
          <w:szCs w:val="20"/>
          <w:color w:val="auto"/>
        </w:rPr>
      </w:pPr>
    </w:p>
    <w:p>
      <w:pPr>
        <w:jc w:val="both"/>
        <w:ind w:right="120" w:firstLine="8"/>
        <w:spacing w:after="0" w:line="197" w:lineRule="auto"/>
        <w:tabs>
          <w:tab w:leader="none" w:pos="346"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By a lease dated the </w:t>
      </w:r>
      <w:r>
        <w:rPr>
          <w:rFonts w:ascii="Times New Roman" w:cs="Times New Roman" w:eastAsia="Times New Roman" w:hAnsi="Times New Roman"/>
          <w:sz w:val="17"/>
          <w:szCs w:val="17"/>
          <w:b w:val="1"/>
          <w:bCs w:val="1"/>
          <w:color w:val="auto"/>
        </w:rPr>
        <w:t>28</w:t>
      </w:r>
      <w:r>
        <w:rPr>
          <w:rFonts w:ascii="Times New Roman" w:cs="Times New Roman" w:eastAsia="Times New Roman" w:hAnsi="Times New Roman"/>
          <w:sz w:val="28"/>
          <w:szCs w:val="28"/>
          <w:b w:val="1"/>
          <w:bCs w:val="1"/>
          <w:color w:val="auto"/>
          <w:vertAlign w:val="superscript"/>
        </w:rPr>
        <w:t>th</w:t>
      </w:r>
      <w:r>
        <w:rPr>
          <w:rFonts w:ascii="Times New Roman" w:cs="Times New Roman" w:eastAsia="Times New Roman" w:hAnsi="Times New Roman"/>
          <w:sz w:val="17"/>
          <w:szCs w:val="17"/>
          <w:color w:val="auto"/>
        </w:rPr>
        <w:t xml:space="preserve"> day of </w:t>
      </w:r>
      <w:r>
        <w:rPr>
          <w:rFonts w:ascii="Times New Roman" w:cs="Times New Roman" w:eastAsia="Times New Roman" w:hAnsi="Times New Roman"/>
          <w:sz w:val="17"/>
          <w:szCs w:val="17"/>
          <w:b w:val="1"/>
          <w:bCs w:val="1"/>
          <w:color w:val="auto"/>
        </w:rPr>
        <w:t>May, 1997</w:t>
      </w:r>
      <w:r>
        <w:rPr>
          <w:rFonts w:ascii="Times New Roman" w:cs="Times New Roman" w:eastAsia="Times New Roman" w:hAnsi="Times New Roman"/>
          <w:sz w:val="17"/>
          <w:szCs w:val="17"/>
          <w:color w:val="auto"/>
        </w:rPr>
        <w:t>, (the "Lease"), the Landlord leased to the Tenant for and during a term of Ten (10) years commencing on the 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17"/>
          <w:szCs w:val="17"/>
          <w:color w:val="auto"/>
        </w:rPr>
        <w:t xml:space="preserve"> day of September, 1997 and expiring on the 31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17"/>
          <w:szCs w:val="17"/>
          <w:color w:val="auto"/>
        </w:rPr>
        <w:t xml:space="preserve"> day of August, 2007 certain premises, (the "Premises"), comprising a Rentable Area of approximately Seventy-</w:t>
      </w:r>
    </w:p>
    <w:p>
      <w:pPr>
        <w:spacing w:after="0" w:line="3" w:lineRule="exact"/>
        <w:rPr>
          <w:sz w:val="20"/>
          <w:szCs w:val="20"/>
          <w:color w:val="auto"/>
        </w:rPr>
      </w:pPr>
    </w:p>
    <w:p>
      <w:pPr>
        <w:ind w:right="280"/>
        <w:spacing w:after="0" w:line="206" w:lineRule="auto"/>
        <w:rPr>
          <w:sz w:val="20"/>
          <w:szCs w:val="20"/>
          <w:color w:val="auto"/>
        </w:rPr>
      </w:pPr>
      <w:r>
        <w:rPr>
          <w:rFonts w:ascii="Times New Roman" w:cs="Times New Roman" w:eastAsia="Times New Roman" w:hAnsi="Times New Roman"/>
          <w:sz w:val="18"/>
          <w:szCs w:val="18"/>
          <w:color w:val="auto"/>
        </w:rPr>
        <w:t>Three Thousand Five Hundred and Thirty-Four (73,534) square feet located on the 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xml:space="preserve"> and 3</w:t>
      </w:r>
      <w:r>
        <w:rPr>
          <w:rFonts w:ascii="Times New Roman" w:cs="Times New Roman" w:eastAsia="Times New Roman" w:hAnsi="Times New Roman"/>
          <w:sz w:val="29"/>
          <w:szCs w:val="29"/>
          <w:color w:val="auto"/>
          <w:vertAlign w:val="superscript"/>
        </w:rPr>
        <w:t>rd</w:t>
      </w:r>
      <w:r>
        <w:rPr>
          <w:rFonts w:ascii="Times New Roman" w:cs="Times New Roman" w:eastAsia="Times New Roman" w:hAnsi="Times New Roman"/>
          <w:sz w:val="18"/>
          <w:szCs w:val="18"/>
          <w:color w:val="auto"/>
        </w:rPr>
        <w:t xml:space="preserve"> floors shown outlined in red on the plan attached to the lease as Schedules "B-1" and "B-2", located at 4110 Yonge Street, (the "Building"), in the City of Toronto, in the Province of Ontario.</w:t>
      </w:r>
    </w:p>
    <w:p>
      <w:pPr>
        <w:sectPr>
          <w:pgSz w:w="11900" w:h="16838" w:orient="portrait"/>
          <w:cols w:equalWidth="0" w:num="1">
            <w:col w:w="11420"/>
          </w:cols>
          <w:pgMar w:left="240" w:top="125" w:right="239" w:bottom="283" w:gutter="0" w:footer="0" w:header="0"/>
        </w:sectPr>
      </w:pPr>
    </w:p>
    <w:bookmarkStart w:id="64" w:name="page65"/>
    <w:bookmarkEnd w:id="64"/>
    <w:p>
      <w:pPr>
        <w:spacing w:after="0" w:line="49" w:lineRule="exact"/>
        <w:rPr>
          <w:sz w:val="20"/>
          <w:szCs w:val="20"/>
          <w:color w:val="auto"/>
        </w:rPr>
      </w:pPr>
    </w:p>
    <w:p>
      <w:pPr>
        <w:ind w:left="340" w:hanging="332"/>
        <w:spacing w:after="0"/>
        <w:tabs>
          <w:tab w:leader="none" w:pos="340"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an agreement dated the 19</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day of June, 1997 (the "first Amending Agreement"), made between the Landlord and the Tenant, the Lease was amended so</w:t>
      </w:r>
    </w:p>
    <w:p>
      <w:pPr>
        <w:spacing w:after="0" w:line="206" w:lineRule="auto"/>
        <w:rPr>
          <w:sz w:val="20"/>
          <w:szCs w:val="20"/>
          <w:color w:val="auto"/>
        </w:rPr>
      </w:pPr>
      <w:r>
        <w:rPr>
          <w:rFonts w:ascii="Times New Roman" w:cs="Times New Roman" w:eastAsia="Times New Roman" w:hAnsi="Times New Roman"/>
          <w:sz w:val="18"/>
          <w:szCs w:val="18"/>
          <w:color w:val="auto"/>
        </w:rPr>
        <w:t>that the term of the Lease (the "Term") would commence on the 17</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of September, 1997 and expire on the 16</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of September, 2007, and to further amend the lease in accordance with terms and conditions more particularly set out therein.</w:t>
      </w:r>
    </w:p>
    <w:p>
      <w:pPr>
        <w:spacing w:after="0" w:line="159" w:lineRule="exact"/>
        <w:rPr>
          <w:sz w:val="20"/>
          <w:szCs w:val="20"/>
          <w:color w:val="auto"/>
        </w:rPr>
      </w:pPr>
    </w:p>
    <w:p>
      <w:pPr>
        <w:ind w:left="340" w:hanging="332"/>
        <w:spacing w:after="0"/>
        <w:tabs>
          <w:tab w:leader="none" w:pos="340"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an agreement dated the 15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day of January, 1998 (the "Second Lease Amending Agreement"), the Landlord leased to the Tenant additional premises on</w:t>
      </w:r>
    </w:p>
    <w:p>
      <w:pPr>
        <w:spacing w:after="0" w:line="218" w:lineRule="auto"/>
        <w:rPr>
          <w:sz w:val="20"/>
          <w:szCs w:val="20"/>
          <w:color w:val="auto"/>
        </w:rPr>
      </w:pPr>
      <w:r>
        <w:rPr>
          <w:rFonts w:ascii="Times New Roman" w:cs="Times New Roman" w:eastAsia="Times New Roman" w:hAnsi="Times New Roman"/>
          <w:sz w:val="18"/>
          <w:szCs w:val="18"/>
          <w:color w:val="auto"/>
        </w:rPr>
        <w:t>the 4</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 of the Building comprising: (i) a Rentable Area of approximately 18,000 square feet (the "First Additional Premises"); and (ii) a Rentable Area of approximately 19,417 square feet (the "Special Refusal Space"), and to further amend the Lease in accordance with terms and conditions more particularly set out therein.</w:t>
      </w:r>
    </w:p>
    <w:p>
      <w:pPr>
        <w:spacing w:after="0" w:line="149" w:lineRule="exact"/>
        <w:rPr>
          <w:sz w:val="20"/>
          <w:szCs w:val="20"/>
          <w:color w:val="auto"/>
        </w:rPr>
      </w:pPr>
    </w:p>
    <w:p>
      <w:pPr>
        <w:ind w:left="360" w:hanging="352"/>
        <w:spacing w:after="0"/>
        <w:tabs>
          <w:tab w:leader="none" w:pos="3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an agreement dated the 14</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of April, 2000, the tenant exercised its right of first refusal pursuant to Section 12.07 of the Lease and the Landlord</w:t>
      </w:r>
    </w:p>
    <w:p>
      <w:pPr>
        <w:ind w:right="80"/>
        <w:spacing w:after="0" w:line="206" w:lineRule="auto"/>
        <w:rPr>
          <w:sz w:val="20"/>
          <w:szCs w:val="20"/>
          <w:color w:val="auto"/>
        </w:rPr>
      </w:pPr>
      <w:r>
        <w:rPr>
          <w:rFonts w:ascii="Times New Roman" w:cs="Times New Roman" w:eastAsia="Times New Roman" w:hAnsi="Times New Roman"/>
          <w:sz w:val="18"/>
          <w:szCs w:val="18"/>
          <w:color w:val="auto"/>
        </w:rPr>
        <w:t>leased to the tenant additional premises comprising a Rentable Area of approximately 15,168 square feet on the 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 of the Building (the "Second Additional Premises") and to further amend the Lease in accordance with terms and conditions more particularly set out therein.</w:t>
      </w:r>
    </w:p>
    <w:p>
      <w:pPr>
        <w:spacing w:after="0" w:line="159" w:lineRule="exact"/>
        <w:rPr>
          <w:sz w:val="20"/>
          <w:szCs w:val="20"/>
          <w:color w:val="auto"/>
        </w:rPr>
      </w:pPr>
    </w:p>
    <w:p>
      <w:pPr>
        <w:ind w:left="340" w:hanging="332"/>
        <w:spacing w:after="0"/>
        <w:tabs>
          <w:tab w:leader="none" w:pos="340"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an agreement dated the 17</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day of January, 2001, the Landlord and the Tenant agreed to add Eleven Thousand Two Hundred and Ninety-Two (11,292)</w:t>
      </w:r>
    </w:p>
    <w:p>
      <w:pPr>
        <w:ind w:right="40"/>
        <w:spacing w:after="0" w:line="206" w:lineRule="auto"/>
        <w:rPr>
          <w:sz w:val="20"/>
          <w:szCs w:val="20"/>
          <w:color w:val="auto"/>
        </w:rPr>
      </w:pPr>
      <w:r>
        <w:rPr>
          <w:rFonts w:ascii="Times New Roman" w:cs="Times New Roman" w:eastAsia="Times New Roman" w:hAnsi="Times New Roman"/>
          <w:sz w:val="18"/>
          <w:szCs w:val="18"/>
          <w:color w:val="auto"/>
        </w:rPr>
        <w:t>square feet to the Premises on the 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 for a period from and including February 1, 2001 to and including September 16, 2007 and to further amend the Lease in accordance with the terms and conditions set out therein.</w:t>
      </w:r>
    </w:p>
    <w:p>
      <w:pPr>
        <w:spacing w:after="0" w:line="206" w:lineRule="exact"/>
        <w:rPr>
          <w:sz w:val="20"/>
          <w:szCs w:val="20"/>
          <w:color w:val="auto"/>
        </w:rPr>
      </w:pPr>
    </w:p>
    <w:p>
      <w:pPr>
        <w:ind w:right="300" w:firstLine="8"/>
        <w:spacing w:after="0" w:line="275" w:lineRule="auto"/>
        <w:tabs>
          <w:tab w:leader="none" w:pos="3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Landlord and the Tenant have agreed to add further additional space to the Premises and to further amend the Lease in accordance with the terms and conditions hereinafter set forth.</w:t>
      </w:r>
    </w:p>
    <w:p>
      <w:pPr>
        <w:spacing w:after="0" w:line="172" w:lineRule="exact"/>
        <w:rPr>
          <w:sz w:val="20"/>
          <w:szCs w:val="20"/>
          <w:color w:val="auto"/>
        </w:rPr>
      </w:pPr>
    </w:p>
    <w:p>
      <w:pPr>
        <w:ind w:right="320"/>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NOW THEREFORE THIS AGREEMENT WITNESSETH </w:t>
      </w:r>
      <w:r>
        <w:rPr>
          <w:rFonts w:ascii="Times New Roman" w:cs="Times New Roman" w:eastAsia="Times New Roman" w:hAnsi="Times New Roman"/>
          <w:sz w:val="18"/>
          <w:szCs w:val="18"/>
          <w:color w:val="auto"/>
        </w:rPr>
        <w:t>that in consideration of the sum of Two Dollars ($2.00) now paid by each of the Parties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(the receipt and sufficiency whereof is</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23" name="Picture 1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3"/>
                    <pic:cNvPicPr>
                      <a:picLocks noChangeAspect="1" noChangeArrowheads="1"/>
                    </pic:cNvPicPr>
                  </pic:nvPicPr>
                  <pic:blipFill>
                    <a:blip r:embed="rId13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hereby acknowledged), and other mutual covenants and agreements, the Parties do hereby agree as follows:</w:t>
      </w:r>
    </w:p>
    <w:p>
      <w:pPr>
        <w:spacing w:after="0" w:line="225" w:lineRule="exact"/>
        <w:rPr>
          <w:sz w:val="20"/>
          <w:szCs w:val="20"/>
          <w:color w:val="auto"/>
        </w:rPr>
      </w:pPr>
    </w:p>
    <w:p>
      <w:pPr>
        <w:ind w:left="660" w:hanging="301"/>
        <w:spacing w:after="0"/>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hereby acknowledge, confirm and agree that the foregoing recitals are true in substance and in fact.</w:t>
      </w:r>
    </w:p>
    <w:p>
      <w:pPr>
        <w:spacing w:after="0" w:line="228" w:lineRule="exact"/>
        <w:rPr>
          <w:rFonts w:ascii="Times New Roman" w:cs="Times New Roman" w:eastAsia="Times New Roman" w:hAnsi="Times New Roman"/>
          <w:sz w:val="18"/>
          <w:szCs w:val="18"/>
          <w:color w:val="auto"/>
        </w:rPr>
      </w:pPr>
    </w:p>
    <w:p>
      <w:pPr>
        <w:ind w:left="660" w:hanging="301"/>
        <w:spacing w:after="0"/>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Lease is amended as of the 12</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of June, 2002, (the "Effective Date"), as follows:</w:t>
      </w:r>
    </w:p>
    <w:p>
      <w:pPr>
        <w:spacing w:after="0" w:line="13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Schedule "F" Diesel Generator attached hereto and forming a part of this Lease Amending Agreement is added to the Lease.</w:t>
      </w:r>
    </w:p>
    <w:p>
      <w:pPr>
        <w:spacing w:after="0" w:line="225" w:lineRule="exact"/>
        <w:rPr>
          <w:sz w:val="20"/>
          <w:szCs w:val="20"/>
          <w:color w:val="auto"/>
        </w:rPr>
      </w:pPr>
    </w:p>
    <w:p>
      <w:pPr>
        <w:ind w:right="140" w:firstLine="359"/>
        <w:spacing w:after="0" w:line="262" w:lineRule="auto"/>
        <w:tabs>
          <w:tab w:leader="none" w:pos="65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confirm that in all other respects, the terms, covenants and conditions of the Lease remain unchanged and in full force and effect, except as modified by this Agreement. It is understood and agreed that all terms and expressions when used in this agreement, unless a contrary intention is expressed herein, have the same meaning as they have in the Lease.</w:t>
      </w:r>
    </w:p>
    <w:p>
      <w:pPr>
        <w:spacing w:after="0" w:line="186" w:lineRule="exact"/>
        <w:rPr>
          <w:rFonts w:ascii="Times New Roman" w:cs="Times New Roman" w:eastAsia="Times New Roman" w:hAnsi="Times New Roman"/>
          <w:sz w:val="18"/>
          <w:szCs w:val="18"/>
          <w:color w:val="auto"/>
        </w:rPr>
      </w:pPr>
    </w:p>
    <w:p>
      <w:pPr>
        <w:ind w:right="560" w:firstLine="359"/>
        <w:spacing w:after="0" w:line="275" w:lineRule="auto"/>
        <w:tabs>
          <w:tab w:leader="none" w:pos="65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enure to the benefit of and be binding upon the Parties hereto, the successors and assigns of the Landlord and the permitted successors and permitted assigns of the Tenant.</w:t>
      </w:r>
    </w:p>
    <w:p>
      <w:pPr>
        <w:spacing w:after="0" w:line="173" w:lineRule="exact"/>
        <w:rPr>
          <w:rFonts w:ascii="Times New Roman" w:cs="Times New Roman" w:eastAsia="Times New Roman" w:hAnsi="Times New Roman"/>
          <w:sz w:val="18"/>
          <w:szCs w:val="18"/>
          <w:color w:val="auto"/>
        </w:rPr>
      </w:pPr>
    </w:p>
    <w:p>
      <w:pPr>
        <w:ind w:right="220" w:firstLine="359"/>
        <w:spacing w:after="0" w:line="275" w:lineRule="auto"/>
        <w:tabs>
          <w:tab w:leader="none" w:pos="65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Tenant covenants and agrees to pay to the Landlord a fee for the preparation of this Agreement. Such fee shall be paid to the Landlord at the time the Tenant executes this Agreement.</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24" name="Picture 1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4"/>
                    <pic:cNvPicPr>
                      <a:picLocks noChangeAspect="1" noChangeArrowheads="1"/>
                    </pic:cNvPicPr>
                  </pic:nvPicPr>
                  <pic:blipFill>
                    <a:blip r:embed="rId13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 xml:space="preserve">IN WITNESS WHEREOF </w:t>
      </w:r>
      <w:r>
        <w:rPr>
          <w:rFonts w:ascii="Times New Roman" w:cs="Times New Roman" w:eastAsia="Times New Roman" w:hAnsi="Times New Roman"/>
          <w:sz w:val="18"/>
          <w:szCs w:val="18"/>
          <w:color w:val="auto"/>
        </w:rPr>
        <w:t>the Parties hereto have duly executed this Agreement as of the day and year first above written.</w:t>
      </w:r>
    </w:p>
    <w:p>
      <w:pPr>
        <w:spacing w:after="0" w:line="227" w:lineRule="exact"/>
        <w:rPr>
          <w:sz w:val="20"/>
          <w:szCs w:val="20"/>
          <w:color w:val="auto"/>
        </w:rPr>
      </w:pPr>
    </w:p>
    <w:p>
      <w:pPr>
        <w:ind w:left="4340" w:hanging="415"/>
        <w:spacing w:after="0"/>
        <w:tabs>
          <w:tab w:leader="none" w:pos="43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YCC LIMITED</w:t>
      </w:r>
    </w:p>
    <w:p>
      <w:pPr>
        <w:spacing w:after="0" w:line="21" w:lineRule="exact"/>
        <w:rPr>
          <w:rFonts w:ascii="Times New Roman" w:cs="Times New Roman" w:eastAsia="Times New Roman" w:hAnsi="Times New Roman"/>
          <w:sz w:val="18"/>
          <w:szCs w:val="18"/>
          <w:color w:val="auto"/>
        </w:rPr>
      </w:pPr>
    </w:p>
    <w:p>
      <w:pPr>
        <w:spacing w:after="0"/>
        <w:tabs>
          <w:tab w:leader="none" w:pos="0" w:val="left"/>
        </w:tabs>
        <w:numPr>
          <w:ilvl w:val="0"/>
          <w:numId w:val="73"/>
        </w:numPr>
        <w:rPr>
          <w:rFonts w:ascii="Times New Roman" w:cs="Times New Roman" w:eastAsia="Times New Roman" w:hAnsi="Times New Roman"/>
          <w:sz w:val="18"/>
          <w:szCs w:val="18"/>
          <w:color w:val="auto"/>
        </w:rPr>
      </w:pP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2755900</wp:posOffset>
            </wp:positionH>
            <wp:positionV relativeFrom="paragraph">
              <wp:posOffset>-62865</wp:posOffset>
            </wp:positionV>
            <wp:extent cx="2757170" cy="21590"/>
            <wp:wrapNone/>
            <wp:docPr id="1325" name="Picture 1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5"/>
                    <pic:cNvPicPr>
                      <a:picLocks noChangeAspect="1" noChangeArrowheads="1"/>
                    </pic:cNvPicPr>
                  </pic:nvPicPr>
                  <pic:blipFill>
                    <a:blip r:embed="rId1332">
                      <a:extLst>
                        <a:ext uri="{28A0092B-C50C-407E-A947-70E740481C1C}"/>
                      </a:extLst>
                    </a:blip>
                    <a:srcRect/>
                    <a:stretch>
                      <a:fillRect/>
                    </a:stretch>
                  </pic:blipFill>
                  <pic:spPr bwMode="auto">
                    <a:xfrm>
                      <a:off x="0" y="0"/>
                      <a:ext cx="2757170" cy="21590"/>
                    </a:xfrm>
                    <a:prstGeom prst="rect">
                      <a:avLst/>
                    </a:prstGeom>
                    <a:noFill/>
                  </pic:spPr>
                </pic:pic>
              </a:graphicData>
            </a:graphic>
          </wp:anchor>
        </w:drawing>
      </w:r>
    </w:p>
    <w:p>
      <w:pPr>
        <w:spacing w:after="0" w:line="4" w:lineRule="exact"/>
        <w:rPr>
          <w:sz w:val="20"/>
          <w:szCs w:val="20"/>
          <w:color w:val="auto"/>
        </w:rPr>
      </w:pPr>
    </w:p>
    <w:p>
      <w:pPr>
        <w:ind w:left="7920"/>
        <w:spacing w:after="0"/>
        <w:rPr>
          <w:sz w:val="20"/>
          <w:szCs w:val="20"/>
          <w:color w:val="auto"/>
        </w:rPr>
      </w:pPr>
      <w:r>
        <w:rPr>
          <w:rFonts w:ascii="Times New Roman" w:cs="Times New Roman" w:eastAsia="Times New Roman" w:hAnsi="Times New Roman"/>
          <w:sz w:val="18"/>
          <w:szCs w:val="18"/>
          <w:color w:val="auto"/>
        </w:rPr>
        <w:t>(Landlord)</w:t>
      </w:r>
    </w:p>
    <w:p>
      <w:pPr>
        <w:spacing w:after="0" w:line="21"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color w:val="auto"/>
        </w:rPr>
        <w:t>)</w:t>
      </w:r>
    </w:p>
    <w:p>
      <w:pPr>
        <w:spacing w:after="0" w:line="24"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color w:val="auto"/>
        </w:rPr>
        <w:t>)</w:t>
      </w:r>
    </w:p>
    <w:p>
      <w:pPr>
        <w:spacing w:after="0" w:line="36" w:lineRule="exact"/>
        <w:rPr>
          <w:sz w:val="20"/>
          <w:szCs w:val="20"/>
          <w:color w:val="auto"/>
        </w:rPr>
      </w:pPr>
    </w:p>
    <w:p>
      <w:pPr>
        <w:ind w:left="4340" w:right="5420" w:hanging="415"/>
        <w:spacing w:after="0" w:line="257" w:lineRule="auto"/>
        <w:tabs>
          <w:tab w:leader="none" w:pos="43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/s/ Michelle Carrie Legal Counsel</w:t>
      </w:r>
    </w:p>
    <w:p>
      <w:pPr>
        <w:spacing w:after="0" w:line="1"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2755900</wp:posOffset>
            </wp:positionH>
            <wp:positionV relativeFrom="paragraph">
              <wp:posOffset>-62865</wp:posOffset>
            </wp:positionV>
            <wp:extent cx="2757170" cy="21590"/>
            <wp:wrapNone/>
            <wp:docPr id="1326" name="Picture 1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6"/>
                    <pic:cNvPicPr>
                      <a:picLocks noChangeAspect="1" noChangeArrowheads="1"/>
                    </pic:cNvPicPr>
                  </pic:nvPicPr>
                  <pic:blipFill>
                    <a:blip r:embed="rId1333">
                      <a:extLst>
                        <a:ext uri="{28A0092B-C50C-407E-A947-70E740481C1C}"/>
                      </a:extLst>
                    </a:blip>
                    <a:srcRect/>
                    <a:stretch>
                      <a:fillRect/>
                    </a:stretch>
                  </pic:blipFill>
                  <pic:spPr bwMode="auto">
                    <a:xfrm>
                      <a:off x="0" y="0"/>
                      <a:ext cx="2757170" cy="21590"/>
                    </a:xfrm>
                    <a:prstGeom prst="rect">
                      <a:avLst/>
                    </a:prstGeom>
                    <a:noFill/>
                  </pic:spPr>
                </pic:pic>
              </a:graphicData>
            </a:graphic>
          </wp:anchor>
        </w:drawing>
      </w:r>
    </w:p>
    <w:p>
      <w:pPr>
        <w:spacing w:after="0" w:line="4"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8"/>
          <w:szCs w:val="18"/>
          <w:color w:val="auto"/>
        </w:rPr>
        <w:t>Authorized Signature</w:t>
      </w:r>
    </w:p>
    <w:p>
      <w:pPr>
        <w:spacing w:after="0" w:line="21"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color w:val="auto"/>
        </w:rPr>
        <w:t>)</w:t>
      </w:r>
    </w:p>
    <w:p>
      <w:pPr>
        <w:spacing w:after="0" w:line="24" w:lineRule="exact"/>
        <w:rPr>
          <w:sz w:val="20"/>
          <w:szCs w:val="20"/>
          <w:color w:val="auto"/>
        </w:rPr>
      </w:pPr>
    </w:p>
    <w:p>
      <w:pPr>
        <w:ind w:left="4340" w:hanging="415"/>
        <w:spacing w:after="0"/>
        <w:tabs>
          <w:tab w:leader="none" w:pos="43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/s/ (Illegible)</w:t>
      </w:r>
    </w:p>
    <w:p>
      <w:pPr>
        <w:spacing w:after="0" w:line="21" w:lineRule="exact"/>
        <w:rPr>
          <w:rFonts w:ascii="Times New Roman" w:cs="Times New Roman" w:eastAsia="Times New Roman" w:hAnsi="Times New Roman"/>
          <w:sz w:val="18"/>
          <w:szCs w:val="18"/>
          <w:color w:val="auto"/>
        </w:rPr>
      </w:pPr>
    </w:p>
    <w:p>
      <w:pPr>
        <w:spacing w:after="0"/>
        <w:tabs>
          <w:tab w:leader="none" w:pos="0" w:val="left"/>
        </w:tabs>
        <w:numPr>
          <w:ilvl w:val="0"/>
          <w:numId w:val="75"/>
        </w:numPr>
        <w:rPr>
          <w:rFonts w:ascii="Times New Roman" w:cs="Times New Roman" w:eastAsia="Times New Roman" w:hAnsi="Times New Roman"/>
          <w:sz w:val="18"/>
          <w:szCs w:val="18"/>
          <w:color w:val="auto"/>
        </w:rPr>
      </w:pP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2755900</wp:posOffset>
            </wp:positionH>
            <wp:positionV relativeFrom="paragraph">
              <wp:posOffset>-62865</wp:posOffset>
            </wp:positionV>
            <wp:extent cx="2757170" cy="21590"/>
            <wp:wrapNone/>
            <wp:docPr id="1327" name="Picture 1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7"/>
                    <pic:cNvPicPr>
                      <a:picLocks noChangeAspect="1" noChangeArrowheads="1"/>
                    </pic:cNvPicPr>
                  </pic:nvPicPr>
                  <pic:blipFill>
                    <a:blip r:embed="rId1334">
                      <a:extLst>
                        <a:ext uri="{28A0092B-C50C-407E-A947-70E740481C1C}"/>
                      </a:extLst>
                    </a:blip>
                    <a:srcRect/>
                    <a:stretch>
                      <a:fillRect/>
                    </a:stretch>
                  </pic:blipFill>
                  <pic:spPr bwMode="auto">
                    <a:xfrm>
                      <a:off x="0" y="0"/>
                      <a:ext cx="2757170" cy="21590"/>
                    </a:xfrm>
                    <a:prstGeom prst="rect">
                      <a:avLst/>
                    </a:prstGeom>
                    <a:noFill/>
                  </pic:spPr>
                </pic:pic>
              </a:graphicData>
            </a:graphic>
          </wp:anchor>
        </w:drawing>
      </w:r>
    </w:p>
    <w:p>
      <w:pPr>
        <w:spacing w:after="0" w:line="4"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8"/>
          <w:szCs w:val="18"/>
          <w:color w:val="auto"/>
        </w:rPr>
        <w:t>Authorized Signature</w:t>
      </w:r>
    </w:p>
    <w:p>
      <w:pPr>
        <w:spacing w:after="0" w:line="21"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color w:val="auto"/>
        </w:rPr>
        <w:t>)</w:t>
      </w:r>
    </w:p>
    <w:p>
      <w:pPr>
        <w:spacing w:after="0" w:line="24" w:lineRule="exact"/>
        <w:rPr>
          <w:sz w:val="20"/>
          <w:szCs w:val="20"/>
          <w:color w:val="auto"/>
        </w:rPr>
      </w:pPr>
    </w:p>
    <w:p>
      <w:pPr>
        <w:ind w:left="4340" w:hanging="415"/>
        <w:spacing w:after="0"/>
        <w:tabs>
          <w:tab w:leader="none" w:pos="434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I/We have authority to bind the corporation.</w:t>
      </w:r>
    </w:p>
    <w:p>
      <w:pPr>
        <w:spacing w:after="0" w:line="36" w:lineRule="exact"/>
        <w:rPr>
          <w:rFonts w:ascii="Times New Roman" w:cs="Times New Roman" w:eastAsia="Times New Roman" w:hAnsi="Times New Roman"/>
          <w:sz w:val="18"/>
          <w:szCs w:val="18"/>
          <w:color w:val="auto"/>
        </w:rPr>
      </w:pPr>
    </w:p>
    <w:p>
      <w:pPr>
        <w:spacing w:after="0"/>
        <w:tabs>
          <w:tab w:leader="none" w:pos="0" w:val="left"/>
        </w:tabs>
        <w:numPr>
          <w:ilvl w:val="0"/>
          <w:numId w:val="76"/>
        </w:numPr>
        <w:rPr>
          <w:rFonts w:ascii="Times New Roman" w:cs="Times New Roman" w:eastAsia="Times New Roman" w:hAnsi="Times New Roman"/>
          <w:sz w:val="18"/>
          <w:szCs w:val="18"/>
          <w:color w:val="auto"/>
        </w:rPr>
      </w:pPr>
    </w:p>
    <w:p>
      <w:pPr>
        <w:spacing w:after="0" w:line="36" w:lineRule="exact"/>
        <w:rPr>
          <w:rFonts w:ascii="Times New Roman" w:cs="Times New Roman" w:eastAsia="Times New Roman" w:hAnsi="Times New Roman"/>
          <w:sz w:val="18"/>
          <w:szCs w:val="18"/>
          <w:color w:val="auto"/>
        </w:rPr>
      </w:pPr>
    </w:p>
    <w:p>
      <w:pPr>
        <w:spacing w:after="0"/>
        <w:tabs>
          <w:tab w:leader="none" w:pos="0" w:val="left"/>
        </w:tabs>
        <w:numPr>
          <w:ilvl w:val="0"/>
          <w:numId w:val="76"/>
        </w:numPr>
        <w:rPr>
          <w:rFonts w:ascii="Times New Roman" w:cs="Times New Roman" w:eastAsia="Times New Roman" w:hAnsi="Times New Roman"/>
          <w:sz w:val="18"/>
          <w:szCs w:val="18"/>
          <w:color w:val="auto"/>
        </w:rPr>
      </w:pPr>
    </w:p>
    <w:p>
      <w:pPr>
        <w:spacing w:after="0" w:line="36" w:lineRule="exact"/>
        <w:rPr>
          <w:rFonts w:ascii="Times New Roman" w:cs="Times New Roman" w:eastAsia="Times New Roman" w:hAnsi="Times New Roman"/>
          <w:sz w:val="18"/>
          <w:szCs w:val="18"/>
          <w:color w:val="auto"/>
        </w:rPr>
      </w:pPr>
    </w:p>
    <w:p>
      <w:pPr>
        <w:ind w:left="4340" w:hanging="415"/>
        <w:spacing w:after="0"/>
        <w:tabs>
          <w:tab w:leader="none" w:pos="434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LONDON LIFE INSURANCE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2755900</wp:posOffset>
            </wp:positionH>
            <wp:positionV relativeFrom="paragraph">
              <wp:posOffset>81280</wp:posOffset>
            </wp:positionV>
            <wp:extent cx="2757170" cy="21590"/>
            <wp:wrapNone/>
            <wp:docPr id="1328" name="Picture 1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8"/>
                    <pic:cNvPicPr>
                      <a:picLocks noChangeAspect="1" noChangeArrowheads="1"/>
                    </pic:cNvPicPr>
                  </pic:nvPicPr>
                  <pic:blipFill>
                    <a:blip r:embed="rId1335">
                      <a:extLst>
                        <a:ext uri="{28A0092B-C50C-407E-A947-70E740481C1C}"/>
                      </a:extLst>
                    </a:blip>
                    <a:srcRect/>
                    <a:stretch>
                      <a:fillRect/>
                    </a:stretch>
                  </pic:blipFill>
                  <pic:spPr bwMode="auto">
                    <a:xfrm>
                      <a:off x="0" y="0"/>
                      <a:ext cx="2757170" cy="21590"/>
                    </a:xfrm>
                    <a:prstGeom prst="rect">
                      <a:avLst/>
                    </a:prstGeom>
                    <a:noFill/>
                  </pic:spPr>
                </pic:pic>
              </a:graphicData>
            </a:graphic>
          </wp:anchor>
        </w:drawing>
      </w:r>
    </w:p>
    <w:p>
      <w:pPr>
        <w:spacing w:after="0" w:line="232" w:lineRule="exact"/>
        <w:rPr>
          <w:sz w:val="20"/>
          <w:szCs w:val="20"/>
          <w:color w:val="auto"/>
        </w:rPr>
      </w:pPr>
    </w:p>
    <w:p>
      <w:pPr>
        <w:ind w:left="4340" w:hanging="415"/>
        <w:spacing w:after="0"/>
        <w:tabs>
          <w:tab w:leader="none" w:pos="43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/s/ Paul Collison</w:t>
      </w:r>
    </w:p>
    <w:p>
      <w:pPr>
        <w:spacing w:after="0" w:line="36" w:lineRule="exact"/>
        <w:rPr>
          <w:rFonts w:ascii="Times New Roman" w:cs="Times New Roman" w:eastAsia="Times New Roman" w:hAnsi="Times New Roman"/>
          <w:sz w:val="18"/>
          <w:szCs w:val="18"/>
          <w:color w:val="auto"/>
        </w:rPr>
      </w:pPr>
    </w:p>
    <w:p>
      <w:pPr>
        <w:ind w:left="4340" w:hanging="415"/>
        <w:spacing w:after="0"/>
        <w:tabs>
          <w:tab w:leader="none" w:pos="43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 Manager</w:t>
      </w:r>
    </w:p>
    <w:p>
      <w:pPr>
        <w:sectPr>
          <w:pgSz w:w="11900" w:h="16887" w:orient="portrait"/>
          <w:cols w:equalWidth="0" w:num="1">
            <w:col w:w="11400"/>
          </w:cols>
          <w:pgMar w:left="240" w:top="79" w:right="259" w:bottom="0" w:gutter="0" w:footer="0" w:header="0"/>
        </w:sectPr>
      </w:pPr>
    </w:p>
    <w:bookmarkStart w:id="65" w:name="page66"/>
    <w:bookmarkEnd w:id="65"/>
    <w:p>
      <w:pPr>
        <w:ind w:left="392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2755900</wp:posOffset>
            </wp:positionH>
            <wp:positionV relativeFrom="paragraph">
              <wp:posOffset>-55245</wp:posOffset>
            </wp:positionV>
            <wp:extent cx="2757170" cy="21590"/>
            <wp:wrapNone/>
            <wp:docPr id="1329" name="Picture 1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9"/>
                    <pic:cNvPicPr>
                      <a:picLocks noChangeAspect="1" noChangeArrowheads="1"/>
                    </pic:cNvPicPr>
                  </pic:nvPicPr>
                  <pic:blipFill>
                    <a:blip r:embed="rId1336">
                      <a:extLst>
                        <a:ext uri="{28A0092B-C50C-407E-A947-70E740481C1C}"/>
                      </a:extLst>
                    </a:blip>
                    <a:srcRect/>
                    <a:stretch>
                      <a:fillRect/>
                    </a:stretch>
                  </pic:blipFill>
                  <pic:spPr bwMode="auto">
                    <a:xfrm>
                      <a:off x="0" y="0"/>
                      <a:ext cx="2757170" cy="215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8"/>
          <w:szCs w:val="18"/>
          <w:color w:val="auto"/>
        </w:rPr>
        <w:t>Authorized Signature</w:t>
      </w:r>
    </w:p>
    <w:p>
      <w:pPr>
        <w:spacing w:after="0" w:line="21"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color w:val="auto"/>
        </w:rPr>
        <w:t>)</w:t>
      </w:r>
    </w:p>
    <w:p>
      <w:pPr>
        <w:spacing w:after="0" w:line="24" w:lineRule="exact"/>
        <w:rPr>
          <w:sz w:val="20"/>
          <w:szCs w:val="20"/>
          <w:color w:val="auto"/>
        </w:rPr>
      </w:pPr>
    </w:p>
    <w:p>
      <w:pPr>
        <w:ind w:left="4340" w:hanging="415"/>
        <w:spacing w:after="0"/>
        <w:tabs>
          <w:tab w:leader="none" w:pos="43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/s/ Mervin McCoubrey</w:t>
      </w:r>
    </w:p>
    <w:p>
      <w:pPr>
        <w:spacing w:after="0" w:line="21" w:lineRule="exact"/>
        <w:rPr>
          <w:rFonts w:ascii="Times New Roman" w:cs="Times New Roman" w:eastAsia="Times New Roman" w:hAnsi="Times New Roman"/>
          <w:sz w:val="18"/>
          <w:szCs w:val="18"/>
          <w:color w:val="auto"/>
        </w:rPr>
      </w:pPr>
    </w:p>
    <w:p>
      <w:pPr>
        <w:ind w:left="4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VP, Office Asset Management &amp; Development</w:t>
      </w:r>
    </w:p>
    <w:p>
      <w:pPr>
        <w:spacing w:after="0" w:line="9"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2755900</wp:posOffset>
            </wp:positionH>
            <wp:positionV relativeFrom="paragraph">
              <wp:posOffset>-62865</wp:posOffset>
            </wp:positionV>
            <wp:extent cx="2757170" cy="21590"/>
            <wp:wrapNone/>
            <wp:docPr id="1330" name="Picture 1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0"/>
                    <pic:cNvPicPr>
                      <a:picLocks noChangeAspect="1" noChangeArrowheads="1"/>
                    </pic:cNvPicPr>
                  </pic:nvPicPr>
                  <pic:blipFill>
                    <a:blip r:embed="rId1337">
                      <a:extLst>
                        <a:ext uri="{28A0092B-C50C-407E-A947-70E740481C1C}"/>
                      </a:extLst>
                    </a:blip>
                    <a:srcRect/>
                    <a:stretch>
                      <a:fillRect/>
                    </a:stretch>
                  </pic:blipFill>
                  <pic:spPr bwMode="auto">
                    <a:xfrm>
                      <a:off x="0" y="0"/>
                      <a:ext cx="2757170" cy="21590"/>
                    </a:xfrm>
                    <a:prstGeom prst="rect">
                      <a:avLst/>
                    </a:prstGeom>
                    <a:noFill/>
                  </pic:spPr>
                </pic:pic>
              </a:graphicData>
            </a:graphic>
          </wp:anchor>
        </w:drawing>
      </w:r>
    </w:p>
    <w:p>
      <w:pPr>
        <w:spacing w:after="0" w:line="4"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8"/>
          <w:szCs w:val="18"/>
          <w:color w:val="auto"/>
        </w:rPr>
        <w:t>Authorized Signature</w:t>
      </w:r>
    </w:p>
    <w:p>
      <w:pPr>
        <w:spacing w:after="0" w:line="21"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color w:val="auto"/>
        </w:rPr>
        <w:t>)</w:t>
      </w:r>
    </w:p>
    <w:p>
      <w:pPr>
        <w:spacing w:after="0" w:line="24" w:lineRule="exact"/>
        <w:rPr>
          <w:sz w:val="20"/>
          <w:szCs w:val="20"/>
          <w:color w:val="auto"/>
        </w:rPr>
      </w:pPr>
    </w:p>
    <w:p>
      <w:pPr>
        <w:ind w:left="4340" w:hanging="415"/>
        <w:spacing w:after="0"/>
        <w:tabs>
          <w:tab w:leader="none" w:pos="43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I/We have authority to bind the corporation.</w:t>
      </w:r>
    </w:p>
    <w:p>
      <w:pPr>
        <w:spacing w:after="0" w:line="36" w:lineRule="exact"/>
        <w:rPr>
          <w:rFonts w:ascii="Times New Roman" w:cs="Times New Roman" w:eastAsia="Times New Roman" w:hAnsi="Times New Roman"/>
          <w:sz w:val="18"/>
          <w:szCs w:val="18"/>
          <w:color w:val="auto"/>
        </w:rPr>
      </w:pPr>
    </w:p>
    <w:p>
      <w:pPr>
        <w:spacing w:after="0"/>
        <w:tabs>
          <w:tab w:leader="none" w:pos="0" w:val="left"/>
        </w:tabs>
        <w:numPr>
          <w:ilvl w:val="0"/>
          <w:numId w:val="79"/>
        </w:numPr>
        <w:rPr>
          <w:rFonts w:ascii="Times New Roman" w:cs="Times New Roman" w:eastAsia="Times New Roman" w:hAnsi="Times New Roman"/>
          <w:sz w:val="18"/>
          <w:szCs w:val="18"/>
          <w:color w:val="auto"/>
        </w:rPr>
      </w:pPr>
    </w:p>
    <w:p>
      <w:pPr>
        <w:spacing w:after="0" w:line="36" w:lineRule="exact"/>
        <w:rPr>
          <w:rFonts w:ascii="Times New Roman" w:cs="Times New Roman" w:eastAsia="Times New Roman" w:hAnsi="Times New Roman"/>
          <w:sz w:val="18"/>
          <w:szCs w:val="18"/>
          <w:color w:val="auto"/>
        </w:rPr>
      </w:pPr>
    </w:p>
    <w:p>
      <w:pPr>
        <w:spacing w:after="0"/>
        <w:tabs>
          <w:tab w:leader="none" w:pos="0" w:val="left"/>
        </w:tabs>
        <w:numPr>
          <w:ilvl w:val="0"/>
          <w:numId w:val="79"/>
        </w:numPr>
        <w:rPr>
          <w:rFonts w:ascii="Times New Roman" w:cs="Times New Roman" w:eastAsia="Times New Roman" w:hAnsi="Times New Roman"/>
          <w:sz w:val="18"/>
          <w:szCs w:val="18"/>
          <w:color w:val="auto"/>
        </w:rPr>
      </w:pPr>
    </w:p>
    <w:p>
      <w:pPr>
        <w:spacing w:after="0" w:line="36" w:lineRule="exact"/>
        <w:rPr>
          <w:rFonts w:ascii="Times New Roman" w:cs="Times New Roman" w:eastAsia="Times New Roman" w:hAnsi="Times New Roman"/>
          <w:sz w:val="18"/>
          <w:szCs w:val="18"/>
          <w:color w:val="auto"/>
        </w:rPr>
      </w:pPr>
    </w:p>
    <w:p>
      <w:pPr>
        <w:ind w:left="4340" w:hanging="415"/>
        <w:spacing w:after="0"/>
        <w:tabs>
          <w:tab w:leader="none" w:pos="43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LOYALTY MANAGEMENT GROUP CANADA INC.</w:t>
      </w:r>
    </w:p>
    <w:p>
      <w:pPr>
        <w:spacing w:after="0" w:line="21" w:lineRule="exact"/>
        <w:rPr>
          <w:rFonts w:ascii="Times New Roman" w:cs="Times New Roman" w:eastAsia="Times New Roman" w:hAnsi="Times New Roman"/>
          <w:sz w:val="18"/>
          <w:szCs w:val="18"/>
          <w:color w:val="auto"/>
        </w:rPr>
      </w:pPr>
    </w:p>
    <w:p>
      <w:pPr>
        <w:spacing w:after="0"/>
        <w:tabs>
          <w:tab w:leader="none" w:pos="0" w:val="left"/>
        </w:tabs>
        <w:numPr>
          <w:ilvl w:val="0"/>
          <w:numId w:val="79"/>
        </w:numPr>
        <w:rPr>
          <w:rFonts w:ascii="Times New Roman" w:cs="Times New Roman" w:eastAsia="Times New Roman" w:hAnsi="Times New Roman"/>
          <w:sz w:val="18"/>
          <w:szCs w:val="18"/>
          <w:color w:val="auto"/>
        </w:rPr>
      </w:pP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2755900</wp:posOffset>
            </wp:positionH>
            <wp:positionV relativeFrom="paragraph">
              <wp:posOffset>-62865</wp:posOffset>
            </wp:positionV>
            <wp:extent cx="2757170" cy="21590"/>
            <wp:wrapNone/>
            <wp:docPr id="1331" name="Picture 1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1"/>
                    <pic:cNvPicPr>
                      <a:picLocks noChangeAspect="1" noChangeArrowheads="1"/>
                    </pic:cNvPicPr>
                  </pic:nvPicPr>
                  <pic:blipFill>
                    <a:blip r:embed="rId1338">
                      <a:extLst>
                        <a:ext uri="{28A0092B-C50C-407E-A947-70E740481C1C}"/>
                      </a:extLst>
                    </a:blip>
                    <a:srcRect/>
                    <a:stretch>
                      <a:fillRect/>
                    </a:stretch>
                  </pic:blipFill>
                  <pic:spPr bwMode="auto">
                    <a:xfrm>
                      <a:off x="0" y="0"/>
                      <a:ext cx="2757170" cy="21590"/>
                    </a:xfrm>
                    <a:prstGeom prst="rect">
                      <a:avLst/>
                    </a:prstGeom>
                    <a:noFill/>
                  </pic:spPr>
                </pic:pic>
              </a:graphicData>
            </a:graphic>
          </wp:anchor>
        </w:drawing>
      </w:r>
    </w:p>
    <w:p>
      <w:pPr>
        <w:spacing w:after="0" w:line="4" w:lineRule="exact"/>
        <w:rPr>
          <w:sz w:val="20"/>
          <w:szCs w:val="20"/>
          <w:color w:val="auto"/>
        </w:rPr>
      </w:pPr>
    </w:p>
    <w:p>
      <w:pPr>
        <w:ind w:left="8080"/>
        <w:spacing w:after="0"/>
        <w:rPr>
          <w:sz w:val="20"/>
          <w:szCs w:val="20"/>
          <w:color w:val="auto"/>
        </w:rPr>
      </w:pPr>
      <w:r>
        <w:rPr>
          <w:rFonts w:ascii="Times New Roman" w:cs="Times New Roman" w:eastAsia="Times New Roman" w:hAnsi="Times New Roman"/>
          <w:sz w:val="18"/>
          <w:szCs w:val="18"/>
          <w:color w:val="auto"/>
        </w:rPr>
        <w:t>(Tenant)</w:t>
      </w:r>
    </w:p>
    <w:p>
      <w:pPr>
        <w:spacing w:after="0" w:line="21" w:lineRule="exact"/>
        <w:rPr>
          <w:sz w:val="20"/>
          <w:szCs w:val="20"/>
          <w:color w:val="auto"/>
        </w:rPr>
      </w:pPr>
    </w:p>
    <w:p>
      <w:pPr>
        <w:ind w:left="4340" w:hanging="415"/>
        <w:spacing w:after="0"/>
        <w:tabs>
          <w:tab w:leader="none" w:pos="43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/s/ Gord Macdonald</w:t>
      </w:r>
    </w:p>
    <w:p>
      <w:pPr>
        <w:spacing w:after="0" w:line="9"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Vice President, Human Resource</w:t>
      </w:r>
    </w:p>
    <w:p>
      <w:pPr>
        <w:spacing w:after="0" w:line="9"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2755900</wp:posOffset>
            </wp:positionH>
            <wp:positionV relativeFrom="paragraph">
              <wp:posOffset>-62865</wp:posOffset>
            </wp:positionV>
            <wp:extent cx="2757170" cy="21590"/>
            <wp:wrapNone/>
            <wp:docPr id="1332" name="Picture 1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2"/>
                    <pic:cNvPicPr>
                      <a:picLocks noChangeAspect="1" noChangeArrowheads="1"/>
                    </pic:cNvPicPr>
                  </pic:nvPicPr>
                  <pic:blipFill>
                    <a:blip r:embed="rId1339">
                      <a:extLst>
                        <a:ext uri="{28A0092B-C50C-407E-A947-70E740481C1C}"/>
                      </a:extLst>
                    </a:blip>
                    <a:srcRect/>
                    <a:stretch>
                      <a:fillRect/>
                    </a:stretch>
                  </pic:blipFill>
                  <pic:spPr bwMode="auto">
                    <a:xfrm>
                      <a:off x="0" y="0"/>
                      <a:ext cx="2757170" cy="21590"/>
                    </a:xfrm>
                    <a:prstGeom prst="rect">
                      <a:avLst/>
                    </a:prstGeom>
                    <a:noFill/>
                  </pic:spPr>
                </pic:pic>
              </a:graphicData>
            </a:graphic>
          </wp:anchor>
        </w:drawing>
      </w:r>
    </w:p>
    <w:p>
      <w:pPr>
        <w:spacing w:after="0" w:line="4" w:lineRule="exact"/>
        <w:rPr>
          <w:sz w:val="20"/>
          <w:szCs w:val="20"/>
          <w:color w:val="auto"/>
        </w:rPr>
      </w:pPr>
    </w:p>
    <w:p>
      <w:pPr>
        <w:ind w:left="4340" w:hanging="415"/>
        <w:spacing w:after="0"/>
        <w:tabs>
          <w:tab w:leader="none" w:pos="43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/s/ Elizabeth Morgan</w:t>
      </w:r>
    </w:p>
    <w:p>
      <w:pPr>
        <w:spacing w:after="0" w:line="21"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Vice President, Finance</w:t>
      </w:r>
    </w:p>
    <w:p>
      <w:pPr>
        <w:spacing w:after="0" w:line="9"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2755900</wp:posOffset>
            </wp:positionH>
            <wp:positionV relativeFrom="paragraph">
              <wp:posOffset>-62865</wp:posOffset>
            </wp:positionV>
            <wp:extent cx="2757170" cy="21590"/>
            <wp:wrapNone/>
            <wp:docPr id="1333" name="Picture 1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3"/>
                    <pic:cNvPicPr>
                      <a:picLocks noChangeAspect="1" noChangeArrowheads="1"/>
                    </pic:cNvPicPr>
                  </pic:nvPicPr>
                  <pic:blipFill>
                    <a:blip r:embed="rId1340">
                      <a:extLst>
                        <a:ext uri="{28A0092B-C50C-407E-A947-70E740481C1C}"/>
                      </a:extLst>
                    </a:blip>
                    <a:srcRect/>
                    <a:stretch>
                      <a:fillRect/>
                    </a:stretch>
                  </pic:blipFill>
                  <pic:spPr bwMode="auto">
                    <a:xfrm>
                      <a:off x="0" y="0"/>
                      <a:ext cx="2757170" cy="21590"/>
                    </a:xfrm>
                    <a:prstGeom prst="rect">
                      <a:avLst/>
                    </a:prstGeom>
                    <a:noFill/>
                  </pic:spPr>
                </pic:pic>
              </a:graphicData>
            </a:graphic>
          </wp:anchor>
        </w:drawing>
      </w:r>
    </w:p>
    <w:p>
      <w:pPr>
        <w:spacing w:after="0" w:line="4"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8"/>
          <w:szCs w:val="18"/>
          <w:color w:val="auto"/>
        </w:rPr>
        <w:t>Authorized Signature</w:t>
      </w:r>
    </w:p>
    <w:p>
      <w:pPr>
        <w:spacing w:after="0" w:line="21"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color w:val="auto"/>
        </w:rPr>
        <w:t>)</w:t>
      </w:r>
    </w:p>
    <w:p>
      <w:pPr>
        <w:spacing w:after="0" w:line="24" w:lineRule="exact"/>
        <w:rPr>
          <w:sz w:val="20"/>
          <w:szCs w:val="20"/>
          <w:color w:val="auto"/>
        </w:rPr>
      </w:pPr>
    </w:p>
    <w:p>
      <w:pPr>
        <w:ind w:left="5680" w:right="3980" w:hanging="1755"/>
        <w:spacing w:after="0" w:line="557" w:lineRule="auto"/>
        <w:tabs>
          <w:tab w:leader="none" w:pos="4353"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I/We have authority to bind the corporation.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-36195</wp:posOffset>
            </wp:positionV>
            <wp:extent cx="7250430" cy="21590"/>
            <wp:wrapNone/>
            <wp:docPr id="1334" name="Picture 1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4"/>
                    <pic:cNvPicPr>
                      <a:picLocks noChangeAspect="1" noChangeArrowheads="1"/>
                    </pic:cNvPicPr>
                  </pic:nvPicPr>
                  <pic:blipFill>
                    <a:blip r:embed="rId13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6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SCHEDULE "F" DIESEL GENERATOR</w:t>
      </w:r>
    </w:p>
    <w:p>
      <w:pPr>
        <w:spacing w:after="0" w:line="239" w:lineRule="exact"/>
        <w:rPr>
          <w:sz w:val="20"/>
          <w:szCs w:val="20"/>
          <w:color w:val="auto"/>
        </w:rPr>
      </w:pPr>
    </w:p>
    <w:p>
      <w:pPr>
        <w:ind w:left="540" w:hanging="532"/>
        <w:spacing w:after="0"/>
        <w:tabs>
          <w:tab w:leader="none" w:pos="54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Prerequisites</w:t>
      </w:r>
      <w:r>
        <w:rPr>
          <w:rFonts w:ascii="Times New Roman" w:cs="Times New Roman" w:eastAsia="Times New Roman" w:hAnsi="Times New Roman"/>
          <w:sz w:val="18"/>
          <w:szCs w:val="18"/>
          <w:color w:val="auto"/>
        </w:rPr>
        <w:t>—The Tenant's rights set out in this Schedule "F" (the "License") are subject to the following conditions:</w:t>
      </w:r>
    </w:p>
    <w:p>
      <w:pPr>
        <w:spacing w:after="0" w:line="200" w:lineRule="exact"/>
        <w:rPr>
          <w:rFonts w:ascii="Times New Roman" w:cs="Times New Roman" w:eastAsia="Times New Roman" w:hAnsi="Times New Roman"/>
          <w:sz w:val="18"/>
          <w:szCs w:val="18"/>
          <w:color w:val="auto"/>
        </w:rPr>
      </w:pPr>
    </w:p>
    <w:p>
      <w:pPr>
        <w:spacing w:after="0" w:line="270" w:lineRule="exact"/>
        <w:rPr>
          <w:rFonts w:ascii="Times New Roman" w:cs="Times New Roman" w:eastAsia="Times New Roman" w:hAnsi="Times New Roman"/>
          <w:sz w:val="18"/>
          <w:szCs w:val="18"/>
          <w:color w:val="auto"/>
        </w:rPr>
      </w:pPr>
    </w:p>
    <w:p>
      <w:pPr>
        <w:ind w:left="1080" w:right="100" w:hanging="532"/>
        <w:spacing w:after="0" w:line="275" w:lineRule="auto"/>
        <w:tabs>
          <w:tab w:leader="none" w:pos="108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Tenant must continue to be LOYALTY MANAGEMENT GROUP CANADA INC., and there must not be any assignment, subletting, parting with or sharing of possession of control nor any corporate change of control in the Tenant;</w:t>
      </w:r>
    </w:p>
    <w:p>
      <w:pPr>
        <w:spacing w:after="0" w:line="18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Tenant must not be in default under this Lease;</w:t>
      </w:r>
    </w:p>
    <w:p>
      <w:pPr>
        <w:spacing w:after="0" w:line="238" w:lineRule="exact"/>
        <w:rPr>
          <w:rFonts w:ascii="Times New Roman" w:cs="Times New Roman" w:eastAsia="Times New Roman" w:hAnsi="Times New Roman"/>
          <w:sz w:val="18"/>
          <w:szCs w:val="18"/>
          <w:color w:val="auto"/>
        </w:rPr>
      </w:pPr>
    </w:p>
    <w:p>
      <w:pPr>
        <w:ind w:left="1080" w:right="280" w:hanging="532"/>
        <w:spacing w:after="0" w:line="275" w:lineRule="auto"/>
        <w:tabs>
          <w:tab w:leader="none" w:pos="108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Tenant must be in occupation of substantially the whole of the Premises and must use the Premises solely for the purposes stipulated in this Lease;</w:t>
      </w:r>
    </w:p>
    <w:p>
      <w:pPr>
        <w:spacing w:after="0" w:line="20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Tenant must not be in default under this Lease;</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Tenant must pay the fees and perform the obligations stipulated in this Schedule; and</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Lease must remain in full force and effect.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09"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Diesel Equipment</w:t>
      </w:r>
      <w:r>
        <w:rPr>
          <w:rFonts w:ascii="Times New Roman" w:cs="Times New Roman" w:eastAsia="Times New Roman" w:hAnsi="Times New Roman"/>
          <w:sz w:val="18"/>
          <w:szCs w:val="18"/>
          <w:color w:val="auto"/>
        </w:rPr>
        <w:t>—The equipment listed below are referred to in this Schedule as "Diesel Equipment":</w:t>
      </w:r>
    </w:p>
    <w:p>
      <w:pPr>
        <w:spacing w:after="0" w:line="200" w:lineRule="exact"/>
        <w:rPr>
          <w:sz w:val="20"/>
          <w:szCs w:val="20"/>
          <w:color w:val="auto"/>
        </w:rPr>
      </w:pPr>
    </w:p>
    <w:p>
      <w:pPr>
        <w:spacing w:after="0" w:line="257" w:lineRule="exact"/>
        <w:rPr>
          <w:sz w:val="20"/>
          <w:szCs w:val="20"/>
          <w:color w:val="auto"/>
        </w:rPr>
      </w:pPr>
    </w:p>
    <w:p>
      <w:pPr>
        <w:ind w:left="1080" w:right="40" w:hanging="532"/>
        <w:spacing w:after="0" w:line="275" w:lineRule="auto"/>
        <w:tabs>
          <w:tab w:leader="none" w:pos="108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500 KW diesel generator located on the P-2 level of the parking facility located in the building (the "Generator Building") known municipally as 4100 Yonge Street, North York, Ontario;</w:t>
      </w:r>
    </w:p>
    <w:p>
      <w:pPr>
        <w:spacing w:after="0" w:line="18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fuel tank</w:t>
      </w:r>
    </w:p>
    <w:p>
      <w:pPr>
        <w:spacing w:after="0" w:line="252" w:lineRule="exact"/>
        <w:rPr>
          <w:rFonts w:ascii="Times New Roman" w:cs="Times New Roman" w:eastAsia="Times New Roman" w:hAnsi="Times New Roman"/>
          <w:sz w:val="18"/>
          <w:szCs w:val="18"/>
          <w:color w:val="auto"/>
        </w:rPr>
      </w:pPr>
    </w:p>
    <w:p>
      <w:pPr>
        <w:ind w:left="1080" w:right="600" w:hanging="532"/>
        <w:spacing w:after="0" w:line="275" w:lineRule="auto"/>
        <w:tabs>
          <w:tab w:leader="none" w:pos="108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feeder cables to the Tenant's computer rooms located in the portions of the Premises on the second and fifth floors of the Building through automatic transfer switches.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44" w:lineRule="exact"/>
        <w:rPr>
          <w:rFonts w:ascii="Times New Roman" w:cs="Times New Roman" w:eastAsia="Times New Roman" w:hAnsi="Times New Roman"/>
          <w:sz w:val="18"/>
          <w:szCs w:val="18"/>
          <w:color w:val="auto"/>
        </w:rPr>
      </w:pPr>
    </w:p>
    <w:p>
      <w:pPr>
        <w:ind w:left="540" w:right="920" w:hanging="532"/>
        <w:spacing w:after="0" w:line="277" w:lineRule="auto"/>
        <w:tabs>
          <w:tab w:leader="none" w:pos="54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Requirements and Conditions</w:t>
      </w:r>
      <w:r>
        <w:rPr>
          <w:rFonts w:ascii="Times New Roman" w:cs="Times New Roman" w:eastAsia="Times New Roman" w:hAnsi="Times New Roman"/>
          <w:sz w:val="18"/>
          <w:szCs w:val="18"/>
          <w:color w:val="auto"/>
        </w:rPr>
        <w:t>—The Tenant may maintain and operate the Diesel Equipment subject to strict adherence by the Tenant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requirements and conditions stipulated in this Schedule. The requirements and conditions are as follows:</w:t>
      </w:r>
    </w:p>
    <w:p>
      <w:pPr>
        <w:spacing w:after="0" w:line="400" w:lineRule="exact"/>
        <w:rPr>
          <w:sz w:val="20"/>
          <w:szCs w:val="20"/>
          <w:color w:val="auto"/>
        </w:rPr>
      </w:pPr>
    </w:p>
    <w:p>
      <w:pPr>
        <w:ind w:left="1080" w:hanging="532"/>
        <w:spacing w:after="0" w:line="257" w:lineRule="auto"/>
        <w:tabs>
          <w:tab w:leader="none" w:pos="10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Location</w:t>
      </w:r>
      <w:r>
        <w:rPr>
          <w:rFonts w:ascii="Times New Roman" w:cs="Times New Roman" w:eastAsia="Times New Roman" w:hAnsi="Times New Roman"/>
          <w:sz w:val="18"/>
          <w:szCs w:val="18"/>
          <w:color w:val="auto"/>
        </w:rPr>
        <w:t>—The size, configuration, and location of the area or areas in which the Diesel Equipment is situated (the "Licensed Areas") as at the first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day of the Diesel Equipment Term is shown on page 9 of this Agreement. The Licensed Areas are, at the Landlord's option, subject to reconfiguration and relocation from time to time at the Tenant's expense on prior reasonable notice in writing from the Landlord and are subject to the Landlord's approval. The Landlord will not exercise this right to reconfigure or relocate the areas in which the Diesel Equipment is situated except on bona fide basis, and in circumstances where:</w:t>
      </w:r>
    </w:p>
    <w:p>
      <w:pPr>
        <w:sectPr>
          <w:pgSz w:w="11900" w:h="16838" w:orient="portrait"/>
          <w:cols w:equalWidth="0" w:num="1">
            <w:col w:w="11400"/>
          </w:cols>
          <w:pgMar w:left="240" w:top="368" w:right="259" w:bottom="0" w:gutter="0" w:footer="0" w:header="0"/>
        </w:sectPr>
      </w:pPr>
    </w:p>
    <w:bookmarkStart w:id="66" w:name="page67"/>
    <w:bookmarkEnd w:id="66"/>
    <w:p>
      <w:pPr>
        <w:spacing w:after="0" w:line="38" w:lineRule="exact"/>
        <w:rPr>
          <w:sz w:val="20"/>
          <w:szCs w:val="20"/>
          <w:color w:val="auto"/>
        </w:rPr>
      </w:pPr>
    </w:p>
    <w:p>
      <w:pPr>
        <w:ind w:left="1080" w:right="60" w:hanging="532"/>
        <w:spacing w:after="0" w:line="275" w:lineRule="auto"/>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necessary or advisable in conjunction with alterations that are made or to be made in connection with the Generator Building, the said lands on which the Generator Building is located, or the common areas;</w:t>
      </w:r>
    </w:p>
    <w:p>
      <w:pPr>
        <w:spacing w:after="0" w:line="20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Diesel Equipment or components of the Diesel Equipment have become surplus;</w:t>
      </w:r>
    </w:p>
    <w:p>
      <w:pPr>
        <w:spacing w:after="0" w:line="238" w:lineRule="exact"/>
        <w:rPr>
          <w:rFonts w:ascii="Times New Roman" w:cs="Times New Roman" w:eastAsia="Times New Roman" w:hAnsi="Times New Roman"/>
          <w:sz w:val="18"/>
          <w:szCs w:val="18"/>
          <w:color w:val="auto"/>
        </w:rPr>
      </w:pPr>
    </w:p>
    <w:p>
      <w:pPr>
        <w:ind w:left="1080" w:right="100" w:hanging="532"/>
        <w:spacing w:after="0" w:line="262" w:lineRule="auto"/>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operating efficiencies, cost savings, or other enhancements in respect of the Generator Building, any complex of which the Generator Building forms a part, the lands on which the Generator Building is located, the common areas or components of the Generator Building require it; or</w:t>
      </w:r>
    </w:p>
    <w:p>
      <w:pPr>
        <w:spacing w:after="0" w:line="199" w:lineRule="exact"/>
        <w:rPr>
          <w:rFonts w:ascii="Times New Roman" w:cs="Times New Roman" w:eastAsia="Times New Roman" w:hAnsi="Times New Roman"/>
          <w:sz w:val="18"/>
          <w:szCs w:val="18"/>
          <w:color w:val="auto"/>
        </w:rPr>
      </w:pPr>
    </w:p>
    <w:p>
      <w:pPr>
        <w:ind w:left="1080" w:hanging="532"/>
        <w:spacing w:after="0" w:line="275" w:lineRule="auto"/>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operation of the Diesel Equipment of any components of them interfere with the use, or operation of other parts of the Generator Building, other equipment (regardless of its nature) within the Generator Building or in any nearby buildings or</w:t>
      </w:r>
    </w:p>
    <w:p>
      <w:pPr>
        <w:spacing w:after="0" w:line="174"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149860</wp:posOffset>
            </wp:positionV>
            <wp:extent cx="7250430" cy="21590"/>
            <wp:wrapNone/>
            <wp:docPr id="1335" name="Picture 1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5"/>
                    <pic:cNvPicPr>
                      <a:picLocks noChangeAspect="1" noChangeArrowheads="1"/>
                    </pic:cNvPicPr>
                  </pic:nvPicPr>
                  <pic:blipFill>
                    <a:blip r:embed="rId13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properties or with other users or occupants of the Generator Building, or the lands on which the Generator Building is located.</w:t>
      </w:r>
    </w:p>
    <w:p>
      <w:pPr>
        <w:spacing w:after="0" w:line="250" w:lineRule="exact"/>
        <w:rPr>
          <w:sz w:val="20"/>
          <w:szCs w:val="20"/>
          <w:color w:val="auto"/>
        </w:rPr>
      </w:pPr>
    </w:p>
    <w:p>
      <w:pPr>
        <w:ind w:left="540" w:right="20" w:hanging="532"/>
        <w:spacing w:after="0" w:line="257" w:lineRule="auto"/>
        <w:tabs>
          <w:tab w:leader="none" w:pos="54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Term</w:t>
      </w:r>
      <w:r>
        <w:rPr>
          <w:rFonts w:ascii="Times New Roman" w:cs="Times New Roman" w:eastAsia="Times New Roman" w:hAnsi="Times New Roman"/>
          <w:sz w:val="18"/>
          <w:szCs w:val="18"/>
          <w:color w:val="auto"/>
        </w:rPr>
        <w:t>—The term ("Diesel Equipment Term") during which the Tenant is entitled to keep the Diesel Equipment and use them within the Licensed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Areas commences on the earlier of: (a) November 1, 2002; and (b) the date the Diesel Equipment has been installed in the Licensed Areas and is coterminous with the Term of the Lease. Notwithstanding the foregoing, the Landlord may terminate this License on thirty (30) days' notice in any of the following circumstances where the Landlord determines on a bona fide basis, that it is no longer feasible to continue to permit the Diesel Equipment to be used by the Tenant, and that it is not feasible to relocate or reconfigure them:</w:t>
      </w:r>
    </w:p>
    <w:p>
      <w:pPr>
        <w:spacing w:after="0" w:line="200" w:lineRule="exact"/>
        <w:rPr>
          <w:rFonts w:ascii="Times New Roman" w:cs="Times New Roman" w:eastAsia="Times New Roman" w:hAnsi="Times New Roman"/>
          <w:sz w:val="18"/>
          <w:szCs w:val="18"/>
          <w:color w:val="auto"/>
        </w:rPr>
      </w:pPr>
    </w:p>
    <w:p>
      <w:pPr>
        <w:spacing w:after="0" w:line="219"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Generator Building or common areas are damaged substantially;</w:t>
      </w:r>
    </w:p>
    <w:p>
      <w:pPr>
        <w:spacing w:after="0" w:line="238" w:lineRule="exact"/>
        <w:rPr>
          <w:rFonts w:ascii="Times New Roman" w:cs="Times New Roman" w:eastAsia="Times New Roman" w:hAnsi="Times New Roman"/>
          <w:sz w:val="18"/>
          <w:szCs w:val="18"/>
          <w:color w:val="auto"/>
        </w:rPr>
      </w:pPr>
    </w:p>
    <w:p>
      <w:pPr>
        <w:ind w:left="1080" w:right="760" w:hanging="532"/>
        <w:spacing w:after="0" w:line="275" w:lineRule="auto"/>
        <w:tabs>
          <w:tab w:leader="none" w:pos="108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Generator Building or the lands on which the Generator Building is located, are expropriated or a material portion of them is expropriated;</w:t>
      </w:r>
    </w:p>
    <w:p>
      <w:pPr>
        <w:spacing w:after="0" w:line="200" w:lineRule="exact"/>
        <w:rPr>
          <w:rFonts w:ascii="Times New Roman" w:cs="Times New Roman" w:eastAsia="Times New Roman" w:hAnsi="Times New Roman"/>
          <w:sz w:val="18"/>
          <w:szCs w:val="18"/>
          <w:color w:val="auto"/>
        </w:rPr>
      </w:pPr>
    </w:p>
    <w:p>
      <w:pPr>
        <w:ind w:left="1080" w:right="720" w:hanging="532"/>
        <w:spacing w:after="0" w:line="275" w:lineRule="auto"/>
        <w:tabs>
          <w:tab w:leader="none" w:pos="108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Landlord intends to redevelop, alter, expand, or to demolish the Generator Building, improvements on the lands on which the Generator Building is located, or material portions of them; or</w:t>
      </w:r>
    </w:p>
    <w:p>
      <w:pPr>
        <w:spacing w:after="0" w:line="18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Landlord exercises its right under this Lease to relocate the Premises.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540" w:hanging="532"/>
        <w:spacing w:after="0" w:line="253" w:lineRule="auto"/>
        <w:tabs>
          <w:tab w:leader="none" w:pos="54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Plans and Specifications</w:t>
      </w:r>
      <w:r>
        <w:rPr>
          <w:rFonts w:ascii="Times New Roman" w:cs="Times New Roman" w:eastAsia="Times New Roman" w:hAnsi="Times New Roman"/>
          <w:sz w:val="18"/>
          <w:szCs w:val="18"/>
          <w:color w:val="auto"/>
        </w:rPr>
        <w:t>—No Diesel Equipment shall be installed until detailed plans, specifications and working drawings prepared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accordance with the best engineering standards have been prepared by the Tenant and reviewed (at the Tenant's expense) by the Landlord or the Landlord's consultants and approved in writing. The Landlord in reviewing and approving the plans, specifications and working drawings for the Diesel Equipment will be entitled to take into consideration the aesthetics of the Generator Building, and any safety, operating, environmental, and other factors which it considers reasonable. The Tenant will be required to provide to the Landlord within thirty (30) days after installation of the Diesel Equipment, detailed as-built drawings prepared by a professional, qualified engineer, confirming installation in accordance with the approved plans, specifications and working drawings. No alteration of any component of any Diesel Equipment will be permitted without the Landlord's prior written consent. All costs and expenses incurred by the Landlord in reviewing plans and specifications in connection with any alterations will also be paid by the Tenant. An administration fee of fifteen percent (15%) will be added to all amounts payable by the Tenant under this clause.</w:t>
      </w:r>
    </w:p>
    <w:p>
      <w:pPr>
        <w:spacing w:after="0" w:line="221" w:lineRule="exact"/>
        <w:rPr>
          <w:rFonts w:ascii="Times New Roman" w:cs="Times New Roman" w:eastAsia="Times New Roman" w:hAnsi="Times New Roman"/>
          <w:sz w:val="18"/>
          <w:szCs w:val="18"/>
          <w:color w:val="auto"/>
        </w:rPr>
      </w:pPr>
    </w:p>
    <w:p>
      <w:pPr>
        <w:ind w:left="540" w:right="40" w:hanging="532"/>
        <w:spacing w:after="0" w:line="253" w:lineRule="auto"/>
        <w:tabs>
          <w:tab w:leader="none" w:pos="54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Standards of Construction</w:t>
      </w:r>
      <w:r>
        <w:rPr>
          <w:rFonts w:ascii="Times New Roman" w:cs="Times New Roman" w:eastAsia="Times New Roman" w:hAnsi="Times New Roman"/>
          <w:sz w:val="18"/>
          <w:szCs w:val="18"/>
          <w:color w:val="auto"/>
        </w:rPr>
        <w:t>—The Tenant represents that all new construction will be completed in a good and workmanlike manner,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accordance with all governmental requirements, and in full compliance with all requirements and conditions pertaining to building permits, environmental permits (if required), user permits and operating permits. All work and all design and operation will be consistent with the requirements of all occupational health and safety legislation, safety codes, and environmental related requirements and regulations. Before commencing any work in connection with the Diesel Equipment, the Tenant will be required to provide particulars to the Landlord concerning all proposed contractors and subcontractors and no contractor or subcontractor to which the Landlord objects will be permitted to do any part of the work. The Tenant will ensure that no construction lien, or other lien relating to any part of the work involved in installation, maintenance or repair of the Diesel Equipment will remain outstanding longer than five (5) days after the Landlord gives written notice to the Tenant requiring removal of the claim, notice of claim, or registration.</w:t>
      </w:r>
    </w:p>
    <w:p>
      <w:pPr>
        <w:spacing w:after="0" w:line="199"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149860</wp:posOffset>
            </wp:positionV>
            <wp:extent cx="7250430" cy="21590"/>
            <wp:wrapNone/>
            <wp:docPr id="1336" name="Picture 1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6"/>
                    <pic:cNvPicPr>
                      <a:picLocks noChangeAspect="1" noChangeArrowheads="1"/>
                    </pic:cNvPicPr>
                  </pic:nvPicPr>
                  <pic:blipFill>
                    <a:blip r:embed="rId13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Each component of the Diesel Equipment will be labeled clearly in accordance with the Landlord's requirements in that regard.</w:t>
      </w:r>
    </w:p>
    <w:p>
      <w:pPr>
        <w:spacing w:after="0" w:line="225" w:lineRule="exact"/>
        <w:rPr>
          <w:sz w:val="20"/>
          <w:szCs w:val="20"/>
          <w:color w:val="auto"/>
        </w:rPr>
      </w:pPr>
    </w:p>
    <w:p>
      <w:pPr>
        <w:ind w:left="540"/>
        <w:spacing w:after="0" w:line="258" w:lineRule="auto"/>
        <w:rPr>
          <w:sz w:val="20"/>
          <w:szCs w:val="20"/>
          <w:color w:val="auto"/>
        </w:rPr>
      </w:pPr>
      <w:r>
        <w:rPr>
          <w:rFonts w:ascii="Times New Roman" w:cs="Times New Roman" w:eastAsia="Times New Roman" w:hAnsi="Times New Roman"/>
          <w:sz w:val="18"/>
          <w:szCs w:val="18"/>
          <w:color w:val="auto"/>
        </w:rPr>
        <w:t>All work will be completed in accordance with any reasonable directions of requirements imposed by the Landlord or the Landlord's manager and, should the Landlord require it, any work affecting the Generator Building's basic systems, structure, aesthetics, exterior, or roof will be completed under the supervision of a representative of the Landlord or, at the Landlord's option by contractor designated by the Landlord. The Tenant will pay any costs of supervision which the Landlord incurs in this regard.</w:t>
      </w:r>
    </w:p>
    <w:p>
      <w:pPr>
        <w:spacing w:after="0" w:line="202" w:lineRule="exact"/>
        <w:rPr>
          <w:sz w:val="20"/>
          <w:szCs w:val="20"/>
          <w:color w:val="auto"/>
        </w:rPr>
      </w:pPr>
    </w:p>
    <w:p>
      <w:pPr>
        <w:ind w:left="540" w:hanging="532"/>
        <w:spacing w:after="0" w:line="290" w:lineRule="auto"/>
        <w:tabs>
          <w:tab w:leader="none" w:pos="540" w:val="left"/>
        </w:tabs>
        <w:numPr>
          <w:ilvl w:val="0"/>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Removal, Restoration and Acquisition Rights</w:t>
      </w:r>
      <w:r>
        <w:rPr>
          <w:rFonts w:ascii="Times New Roman" w:cs="Times New Roman" w:eastAsia="Times New Roman" w:hAnsi="Times New Roman"/>
          <w:sz w:val="16"/>
          <w:szCs w:val="16"/>
          <w:color w:val="auto"/>
        </w:rPr>
        <w:t>—Notwithstanding the provisions of Section 5.05(c) of the Lease, the Landlord may require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Tenant to remove all or any component of the Diesel Equipment in accordance with all applicable laws, by-laws and codes, and guidelines of the Ministry of the Environment and all other governmental authorities having jurisdiction at the expiry or earlier termination of this Lease or upon termination of the Tenant's rights under this Schedule and, the Tenant will complete the removal, and will restore all damage to the Generator Building and the lands on which the Generator Building is located, within a time frame specified by the Landlord (which will be reasonable), all at the Tenant's cost. Alternatively, where the Tenant's right to continue to use the Diesel Equipment has been terminated, the Landlord may require that components of the Diesel Equipment, or any portions that are not easily removable or that may be useful to the Landlord be left in place and that title be transferred to the Landlord (without payment of any compensation) free and clear of all encumbrances. The Tenant shall remain liable</w:t>
      </w:r>
    </w:p>
    <w:p>
      <w:pPr>
        <w:sectPr>
          <w:pgSz w:w="11900" w:h="16877" w:orient="portrait"/>
          <w:cols w:equalWidth="0" w:num="1">
            <w:col w:w="10860"/>
          </w:cols>
          <w:pgMar w:left="780" w:top="139" w:right="259" w:bottom="0" w:gutter="0" w:footer="0" w:header="0"/>
        </w:sectPr>
      </w:pPr>
    </w:p>
    <w:bookmarkStart w:id="67" w:name="page68"/>
    <w:bookmarkEnd w:id="67"/>
    <w:p>
      <w:pPr>
        <w:ind w:left="540" w:right="20"/>
        <w:spacing w:after="0" w:line="275" w:lineRule="auto"/>
        <w:rPr>
          <w:sz w:val="20"/>
          <w:szCs w:val="20"/>
          <w:color w:val="auto"/>
        </w:rPr>
      </w:pPr>
      <w:r>
        <w:rPr>
          <w:rFonts w:ascii="Times New Roman" w:cs="Times New Roman" w:eastAsia="Times New Roman" w:hAnsi="Times New Roman"/>
          <w:sz w:val="18"/>
          <w:szCs w:val="18"/>
          <w:color w:val="auto"/>
        </w:rPr>
        <w:t>for any injury, damage or leakage caused by or emanating from the Diesel Equipment which is not discovered until after such Diesel Equipment is removed and the Term of the Lease has expired or has been terminated.</w:t>
      </w:r>
    </w:p>
    <w:p>
      <w:pPr>
        <w:spacing w:after="0" w:line="185" w:lineRule="exact"/>
        <w:rPr>
          <w:sz w:val="20"/>
          <w:szCs w:val="20"/>
          <w:color w:val="auto"/>
        </w:rPr>
      </w:pPr>
    </w:p>
    <w:p>
      <w:pPr>
        <w:ind w:left="540" w:hanging="532"/>
        <w:spacing w:after="0" w:line="297" w:lineRule="auto"/>
        <w:tabs>
          <w:tab w:leader="none" w:pos="540" w:val="left"/>
        </w:tabs>
        <w:numPr>
          <w:ilvl w:val="0"/>
          <w:numId w:val="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Third Party Providers</w:t>
      </w:r>
      <w:r>
        <w:rPr>
          <w:rFonts w:ascii="Times New Roman" w:cs="Times New Roman" w:eastAsia="Times New Roman" w:hAnsi="Times New Roman"/>
          <w:sz w:val="16"/>
          <w:szCs w:val="16"/>
          <w:color w:val="auto"/>
        </w:rPr>
        <w:t>—Should the Tenant require dark fiber, cable, conduit, or other facilities or components to be installed in conjunction with</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 Diesel Equipment by any third party, or made available to the Tenant by a third party, the third party will be required to enter into a form of agreement satisfactory to the Landlord dealing with the installation, operation and use of the improvements or facilities to be installed by that third party. No component of the Diesel Equipment may be owned, encumbered, or otherwise charged or liened in favour of any third party whether by means of Personal Property Security, mortgage, charge, or a claim of ownership under the Personal Property Security Act or otherwise.</w:t>
      </w:r>
    </w:p>
    <w:p>
      <w:pPr>
        <w:spacing w:after="0" w:line="185" w:lineRule="exact"/>
        <w:rPr>
          <w:rFonts w:ascii="Times New Roman" w:cs="Times New Roman" w:eastAsia="Times New Roman" w:hAnsi="Times New Roman"/>
          <w:sz w:val="16"/>
          <w:szCs w:val="16"/>
          <w:color w:val="auto"/>
        </w:rPr>
      </w:pPr>
    </w:p>
    <w:p>
      <w:pPr>
        <w:jc w:val="both"/>
        <w:ind w:left="540" w:right="20" w:hanging="532"/>
        <w:spacing w:after="0" w:line="264" w:lineRule="auto"/>
        <w:tabs>
          <w:tab w:leader="none" w:pos="54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Use</w:t>
      </w:r>
      <w:r>
        <w:rPr>
          <w:rFonts w:ascii="Times New Roman" w:cs="Times New Roman" w:eastAsia="Times New Roman" w:hAnsi="Times New Roman"/>
          <w:sz w:val="18"/>
          <w:szCs w:val="18"/>
          <w:color w:val="auto"/>
        </w:rPr>
        <w:t>—The Diesel Equipment may be used solely to provide or facilitate the provision of electricity to the Premises and may not be used to provide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electricity to any third party in the Generator Building or on the lands on which the Generator Building is located or elsewhere. The benefit of the License under this Schedule is not transferable by the Tenant in whole or in part.</w:t>
      </w:r>
    </w:p>
    <w:p>
      <w:pPr>
        <w:spacing w:after="0" w:line="194" w:lineRule="exact"/>
        <w:rPr>
          <w:rFonts w:ascii="Times New Roman" w:cs="Times New Roman" w:eastAsia="Times New Roman" w:hAnsi="Times New Roman"/>
          <w:sz w:val="18"/>
          <w:szCs w:val="18"/>
          <w:color w:val="auto"/>
        </w:rPr>
      </w:pPr>
    </w:p>
    <w:p>
      <w:pPr>
        <w:ind w:left="540" w:hanging="532"/>
        <w:spacing w:after="0" w:line="291" w:lineRule="auto"/>
        <w:tabs>
          <w:tab w:leader="none" w:pos="540" w:val="left"/>
        </w:tabs>
        <w:numPr>
          <w:ilvl w:val="0"/>
          <w:numId w:val="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Standards of Operation</w:t>
      </w:r>
      <w:r>
        <w:rPr>
          <w:rFonts w:ascii="Times New Roman" w:cs="Times New Roman" w:eastAsia="Times New Roman" w:hAnsi="Times New Roman"/>
          <w:sz w:val="16"/>
          <w:szCs w:val="16"/>
          <w:color w:val="auto"/>
        </w:rPr>
        <w:t>—All aspects of the use and operation of the Diesel Equipment will be strictly in accordance with all applicable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governmental requirements and regulations. In particular, without limiting the general nature of this requirement, the Tenant will (i) ensure that the guidelines, laws, by-laws and codes set out by the Ministry of the Environment and guidelines or laws of all other governmental authorities having jurisdiction are fully compiled with, will provide to the Landlord whatever evidence the Landlord reasonably requests from time to time. The Tenant will also ensure that there is no interference by the Diesel Equipment with the operation of any equipment or facilities in the Generator Building or any other building on the lands on which the Generator Building is located and, should the Landlord believe that this requirement is not being complied with the Tenant will be required to provide whatever evidence, the Landlord may reasonably require to confirm compliance by</w:t>
      </w:r>
    </w:p>
    <w:p>
      <w:pPr>
        <w:spacing w:after="0" w:line="169"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149860</wp:posOffset>
            </wp:positionV>
            <wp:extent cx="7250430" cy="21590"/>
            <wp:wrapNone/>
            <wp:docPr id="1337" name="Picture 1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7"/>
                    <pic:cNvPicPr>
                      <a:picLocks noChangeAspect="1" noChangeArrowheads="1"/>
                    </pic:cNvPicPr>
                  </pic:nvPicPr>
                  <pic:blipFill>
                    <a:blip r:embed="rId13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right="40"/>
        <w:spacing w:after="0" w:line="258" w:lineRule="auto"/>
        <w:rPr>
          <w:sz w:val="20"/>
          <w:szCs w:val="20"/>
          <w:color w:val="auto"/>
        </w:rPr>
      </w:pPr>
      <w:r>
        <w:rPr>
          <w:rFonts w:ascii="Times New Roman" w:cs="Times New Roman" w:eastAsia="Times New Roman" w:hAnsi="Times New Roman"/>
          <w:sz w:val="18"/>
          <w:szCs w:val="18"/>
          <w:color w:val="auto"/>
        </w:rPr>
        <w:t>the Tenant. If the Tenant fails to ensure that this interference does not occur, the Landlord may require the immediate removal of the Diesel Equipment or those parts of the Diesel Equipment that the Landlord determines are responsible for the interference. The Tenant will not alter any part of the Diesel Equipment or the manner in which any part of the Diesel Equipment is used without the Landlord's consent. The Tenant will not use any of the Diesel Equipment for any purpose other than as specified above.</w:t>
      </w:r>
    </w:p>
    <w:p>
      <w:pPr>
        <w:spacing w:after="0" w:line="202" w:lineRule="exact"/>
        <w:rPr>
          <w:sz w:val="20"/>
          <w:szCs w:val="20"/>
          <w:color w:val="auto"/>
        </w:rPr>
      </w:pPr>
    </w:p>
    <w:p>
      <w:pPr>
        <w:ind w:left="540" w:right="20" w:hanging="532"/>
        <w:spacing w:after="0" w:line="254" w:lineRule="auto"/>
        <w:tabs>
          <w:tab w:leader="none" w:pos="54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Acknowledgments, Representations and Warranties</w:t>
      </w:r>
      <w:r>
        <w:rPr>
          <w:rFonts w:ascii="Times New Roman" w:cs="Times New Roman" w:eastAsia="Times New Roman" w:hAnsi="Times New Roman"/>
          <w:sz w:val="18"/>
          <w:szCs w:val="18"/>
          <w:color w:val="auto"/>
        </w:rPr>
        <w:t>—The Tenant acknowledges that it has received no representation or warranty from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Landlord in connection with any aspect of the Generator Building or the lands on which the Generator Building is located, in relation to the Diesel Equipment, that the Tenant has satisfied itself concerning all aspects of the Generator Building and the lands on which the Generator Building is located, all site conditions, and all other information pertinent to the installation, use and operation of the Diesel Equipment. No review, or approval of any plans, specifications or drawings or other information submitted to the Landlord by the Tenant will be considered as a representation, acknowledgment, confirmation, or inference that the Landlord has assumed any responsibility or acknowledged any responsibility in connection with any aspect of the Diesel Equipment, its design, installation, use or operation, or as a waiver of the Landlord's rights under this Schedule.</w:t>
      </w:r>
    </w:p>
    <w:p>
      <w:pPr>
        <w:spacing w:after="0" w:line="194" w:lineRule="exact"/>
        <w:rPr>
          <w:rFonts w:ascii="Times New Roman" w:cs="Times New Roman" w:eastAsia="Times New Roman" w:hAnsi="Times New Roman"/>
          <w:sz w:val="18"/>
          <w:szCs w:val="18"/>
          <w:color w:val="auto"/>
        </w:rPr>
      </w:pPr>
    </w:p>
    <w:p>
      <w:pPr>
        <w:ind w:left="540" w:right="2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Tenant represents and warrants to the Landlord and acknowledges that the Landlord relies upon this representation and warranty in permitting the installation and use of the Diesel Equipment, that no catastrophe, interruption, disruption, or damage to any or all of the Diesel Equipment will have the effect of disrupting business activities of third parties located in or outside of the Generator Building, and that the Landlord will not be exposed to any claims by such third parties regardless of any negligence, alleged negligence or other wrongdoing that is alleged to occur by the Landlord in connection with any damage to or by the Diesel Equipment.</w:t>
      </w:r>
    </w:p>
    <w:p>
      <w:pPr>
        <w:spacing w:after="0" w:line="217" w:lineRule="exact"/>
        <w:rPr>
          <w:rFonts w:ascii="Times New Roman" w:cs="Times New Roman" w:eastAsia="Times New Roman" w:hAnsi="Times New Roman"/>
          <w:sz w:val="18"/>
          <w:szCs w:val="18"/>
          <w:color w:val="auto"/>
        </w:rPr>
      </w:pPr>
    </w:p>
    <w:p>
      <w:pPr>
        <w:ind w:left="540" w:hanging="532"/>
        <w:spacing w:after="0" w:line="291" w:lineRule="auto"/>
        <w:tabs>
          <w:tab w:leader="none" w:pos="540" w:val="left"/>
        </w:tabs>
        <w:numPr>
          <w:ilvl w:val="0"/>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Maintenance and Repairs and Replacement</w:t>
      </w:r>
      <w:r>
        <w:rPr>
          <w:rFonts w:ascii="Times New Roman" w:cs="Times New Roman" w:eastAsia="Times New Roman" w:hAnsi="Times New Roman"/>
          <w:sz w:val="16"/>
          <w:szCs w:val="16"/>
          <w:color w:val="auto"/>
        </w:rPr>
        <w:t>—The Tenant will at all times maintain the Diesel Equipment in first-class condition and repair, will</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ensure that the Diesel Equipment operates at all times properly and in accordance with all governmental requirements. The Tenant will provide to the Landlord from time to time whatever evidence the Landlord reasonably requests to ensure that this requirement is satisfied. In connection with any Diesel Equipment, the Tenant will be required to prepare periodic inspections at its cost, at intervals reasonably specified by the Landlord in connection with all fasteners, hooks, hardware, metal, flashings, penetrations, core sleeve and other components to ensure that they are all in first-class condition and to complete promptly any repairs or remediation or modifications that may be required in connection with them so as to ensure that the Diesel Equipment, and the Generator Building are not, as a consequence of the Diesel Equipment in less than first-class condition.</w:t>
      </w:r>
    </w:p>
    <w:p>
      <w:pPr>
        <w:spacing w:after="0" w:line="180" w:lineRule="exact"/>
        <w:rPr>
          <w:rFonts w:ascii="Times New Roman" w:cs="Times New Roman" w:eastAsia="Times New Roman" w:hAnsi="Times New Roman"/>
          <w:sz w:val="16"/>
          <w:szCs w:val="16"/>
          <w:color w:val="auto"/>
        </w:rPr>
      </w:pPr>
    </w:p>
    <w:p>
      <w:pPr>
        <w:ind w:left="540" w:hanging="532"/>
        <w:spacing w:after="0" w:line="254" w:lineRule="auto"/>
        <w:tabs>
          <w:tab w:leader="none" w:pos="54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Costs and Expenses</w:t>
      </w:r>
      <w:r>
        <w:rPr>
          <w:rFonts w:ascii="Times New Roman" w:cs="Times New Roman" w:eastAsia="Times New Roman" w:hAnsi="Times New Roman"/>
          <w:sz w:val="18"/>
          <w:szCs w:val="18"/>
          <w:color w:val="auto"/>
        </w:rPr>
        <w:t>—The Tenant will be responsible for payment to the Landlord, on demand, all invoices submitted by the Landlord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Tenant in respect of administration, costs of operation in connection with the Generator Building, the lands on which the Generator Building is located, and the common areas incurred by the Landlord and associated with the installation, operation and use of the Diesel Equipment. The Tenant will also pay all utilities consumed or reasonably attributable to the operation of the Diesel Equipment, all taxes associated with or reasonably allocable to the Diesel Equipment (as determined by the Landlord), and all costs of altering, relocating, or otherwise adapting components of the Generator Building or the common areas and facilities associated with the installation, use and operation of the Diesel Equipment. The construction and installation costs of the Diesel Equipment and all other work or supply of equipment or materials in the Licensed Agreement</w:t>
      </w:r>
    </w:p>
    <w:p>
      <w:pPr>
        <w:spacing w:after="0" w:line="194"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149860</wp:posOffset>
            </wp:positionV>
            <wp:extent cx="7250430" cy="21590"/>
            <wp:wrapNone/>
            <wp:docPr id="1338" name="Picture 1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8"/>
                    <pic:cNvPicPr>
                      <a:picLocks noChangeAspect="1" noChangeArrowheads="1"/>
                    </pic:cNvPicPr>
                  </pic:nvPicPr>
                  <pic:blipFill>
                    <a:blip r:embed="rId13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right="400"/>
        <w:spacing w:after="0" w:line="275" w:lineRule="auto"/>
        <w:rPr>
          <w:sz w:val="20"/>
          <w:szCs w:val="20"/>
          <w:color w:val="auto"/>
        </w:rPr>
      </w:pPr>
      <w:r>
        <w:rPr>
          <w:rFonts w:ascii="Times New Roman" w:cs="Times New Roman" w:eastAsia="Times New Roman" w:hAnsi="Times New Roman"/>
          <w:sz w:val="18"/>
          <w:szCs w:val="18"/>
          <w:color w:val="auto"/>
        </w:rPr>
        <w:t>shall be paid by the Tenant within 30 days after receipt of invoices. In the event the tenant fails to pay such invoice(s) within such period, the Landlord shall charge interest on any overdue amounts at the rate specified in Section 2.07 of the Lease.</w:t>
      </w:r>
    </w:p>
    <w:p>
      <w:pPr>
        <w:spacing w:after="0" w:line="185" w:lineRule="exact"/>
        <w:rPr>
          <w:sz w:val="20"/>
          <w:szCs w:val="20"/>
          <w:color w:val="auto"/>
        </w:rPr>
      </w:pPr>
    </w:p>
    <w:p>
      <w:pPr>
        <w:ind w:left="540" w:right="120" w:hanging="532"/>
        <w:spacing w:after="0" w:line="255" w:lineRule="auto"/>
        <w:tabs>
          <w:tab w:leader="none" w:pos="54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Fees</w:t>
      </w:r>
      <w:r>
        <w:rPr>
          <w:rFonts w:ascii="Times New Roman" w:cs="Times New Roman" w:eastAsia="Times New Roman" w:hAnsi="Times New Roman"/>
          <w:sz w:val="18"/>
          <w:szCs w:val="18"/>
          <w:color w:val="auto"/>
        </w:rPr>
        <w:t>—In consideration of the License granted to the Tenant under this Schedule, the Tenant will pay to the Landlord in advance and in equal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monthly instalments, the aggregate of: (i) a fee based on an annual rate of $15.00 per square foot of the useable area of the Licensed Areas; (ii) Taxes with respect to the Licensed Areas calculated at 50% of the annual rate per square foot for Taxes payable with respect to the office premises in the Generator Building; and (iii) NIL with respect to Occupancy Costs with respect to the Generator Building. In addition to the foregoing, the Tenant shall pay within 30 Days after receipt of an invoice from the Landlord one-time amount equal to 10% of the cost of the installation of the Diesel Equipment, including (but not limited to) the installation of the diesel engine, feasibility study/studies, engineering fees, legal fees and construction costs. Such fees will be considered as Additional Rent under this Lease.</w:t>
      </w:r>
    </w:p>
    <w:p>
      <w:pPr>
        <w:sectPr>
          <w:pgSz w:w="11900" w:h="16838" w:orient="portrait"/>
          <w:cols w:equalWidth="0" w:num="1">
            <w:col w:w="10860"/>
          </w:cols>
          <w:pgMar w:left="780" w:top="125" w:right="259" w:bottom="0" w:gutter="0" w:footer="0" w:header="0"/>
        </w:sectPr>
      </w:pPr>
    </w:p>
    <w:bookmarkStart w:id="68" w:name="page69"/>
    <w:bookmarkEnd w:id="68"/>
    <w:p>
      <w:pPr>
        <w:spacing w:after="0" w:line="7" w:lineRule="exact"/>
        <w:rPr>
          <w:sz w:val="20"/>
          <w:szCs w:val="20"/>
          <w:color w:val="auto"/>
        </w:rPr>
      </w:pPr>
    </w:p>
    <w:p>
      <w:pPr>
        <w:ind w:left="1072" w:right="300" w:hanging="532"/>
        <w:spacing w:after="0" w:line="264" w:lineRule="auto"/>
        <w:tabs>
          <w:tab w:leader="none" w:pos="1072"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 Property Rights</w:t>
      </w:r>
      <w:r>
        <w:rPr>
          <w:rFonts w:ascii="Times New Roman" w:cs="Times New Roman" w:eastAsia="Times New Roman" w:hAnsi="Times New Roman"/>
          <w:sz w:val="18"/>
          <w:szCs w:val="18"/>
          <w:color w:val="auto"/>
        </w:rPr>
        <w:t>—The Tenant acknowledges that the rights granted under this Schedule confer no property right, leasehold interest,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easement in connection with either the Diesel Equipment or the Licensed Areas. The Tenant's rights under this Schedule are subordinate to the rights of all lenders, mortgagees, secured creditors, and persons claiming by or through them.</w:t>
      </w:r>
    </w:p>
    <w:p>
      <w:pPr>
        <w:spacing w:after="0" w:line="208" w:lineRule="exact"/>
        <w:rPr>
          <w:rFonts w:ascii="Times New Roman" w:cs="Times New Roman" w:eastAsia="Times New Roman" w:hAnsi="Times New Roman"/>
          <w:sz w:val="18"/>
          <w:szCs w:val="18"/>
          <w:color w:val="auto"/>
        </w:rPr>
      </w:pPr>
    </w:p>
    <w:p>
      <w:pPr>
        <w:ind w:left="1072" w:right="60" w:hanging="532"/>
        <w:spacing w:after="0" w:line="257" w:lineRule="auto"/>
        <w:tabs>
          <w:tab w:leader="none" w:pos="1072"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Insurance</w:t>
      </w:r>
      <w:r>
        <w:rPr>
          <w:rFonts w:ascii="Times New Roman" w:cs="Times New Roman" w:eastAsia="Times New Roman" w:hAnsi="Times New Roman"/>
          <w:sz w:val="18"/>
          <w:szCs w:val="18"/>
          <w:color w:val="auto"/>
        </w:rPr>
        <w:t>—The provisions in the Lease pertaining to insurance apply to the Diesel Equipment, as well as the use, and operation of those Diesel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Equipment and all liabilities associated with the installation, use and operation of the Diesel Equipment. In recognition of the increased risk to the Landlord associated with the Diesel Equipment, the Tenant agrees to include the Landlord as a named insured under those policies, to ensure that the comprehensive general liability policy of the Tenant is primary, and to ensure that it is endorsed so as to cover the liability and exposure to which the Landlord is subject as the result of this Schedule.</w:t>
      </w:r>
    </w:p>
    <w:p>
      <w:pPr>
        <w:spacing w:after="0" w:line="201" w:lineRule="exact"/>
        <w:rPr>
          <w:rFonts w:ascii="Times New Roman" w:cs="Times New Roman" w:eastAsia="Times New Roman" w:hAnsi="Times New Roman"/>
          <w:sz w:val="18"/>
          <w:szCs w:val="18"/>
          <w:color w:val="auto"/>
        </w:rPr>
      </w:pPr>
    </w:p>
    <w:p>
      <w:pPr>
        <w:ind w:left="1072" w:right="240" w:hanging="532"/>
        <w:spacing w:after="0" w:line="312" w:lineRule="auto"/>
        <w:tabs>
          <w:tab w:leader="none" w:pos="1072" w:val="left"/>
        </w:tabs>
        <w:numPr>
          <w:ilvl w:val="0"/>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Release</w:t>
      </w:r>
      <w:r>
        <w:rPr>
          <w:rFonts w:ascii="Times New Roman" w:cs="Times New Roman" w:eastAsia="Times New Roman" w:hAnsi="Times New Roman"/>
          <w:sz w:val="16"/>
          <w:szCs w:val="16"/>
          <w:color w:val="auto"/>
        </w:rPr>
        <w:t>—The Tenant releases the Landlord in respect of all liability, claims, loss, damage, and expense which the Tenant might suffer for any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reason whatsoever in connection with damage to, interruption to, or interference with the Diesel Equipment regardless of any negligence, gross negligence, wilful act, or other wrongful act which is alleged to or is in fact established to have taken place on the part of the Landlord.</w:t>
      </w:r>
    </w:p>
    <w:p>
      <w:pPr>
        <w:spacing w:after="0" w:line="160" w:lineRule="exact"/>
        <w:rPr>
          <w:rFonts w:ascii="Times New Roman" w:cs="Times New Roman" w:eastAsia="Times New Roman" w:hAnsi="Times New Roman"/>
          <w:sz w:val="16"/>
          <w:szCs w:val="16"/>
          <w:color w:val="auto"/>
        </w:rPr>
      </w:pPr>
    </w:p>
    <w:p>
      <w:pPr>
        <w:ind w:left="1072" w:right="40" w:hanging="532"/>
        <w:spacing w:after="0" w:line="255" w:lineRule="auto"/>
        <w:tabs>
          <w:tab w:leader="none" w:pos="1072"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Indemnity</w:t>
      </w:r>
      <w:r>
        <w:rPr>
          <w:rFonts w:ascii="Times New Roman" w:cs="Times New Roman" w:eastAsia="Times New Roman" w:hAnsi="Times New Roman"/>
          <w:sz w:val="18"/>
          <w:szCs w:val="18"/>
          <w:color w:val="auto"/>
        </w:rPr>
        <w:t>—Notwithstanding the provisions of Article VI of the Lease, the Tenant hereby indemnifies the Landlord from and against all loss,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cost, expense, claims, and liability arising in any way in connection with the installation, use, operation or otherwise in connection with the Diesel Equipment, this Schedule, and from and against all loss, claim, cost, liability expense and damages which the Landlord might suffer as the result of any breach by the Tenant of its obligations under this Schedule. This indemnity applies regardless of any negligence, alleged negligence, gross negligence or other wrongful act claimed to have taken place or to take place and for which the Landlord might otherwise have been held responsible.</w:t>
      </w:r>
    </w:p>
    <w:p>
      <w:pPr>
        <w:spacing w:after="0" w:line="220" w:lineRule="exact"/>
        <w:rPr>
          <w:rFonts w:ascii="Times New Roman" w:cs="Times New Roman" w:eastAsia="Times New Roman" w:hAnsi="Times New Roman"/>
          <w:sz w:val="18"/>
          <w:szCs w:val="18"/>
          <w:color w:val="auto"/>
        </w:rPr>
      </w:pPr>
    </w:p>
    <w:p>
      <w:pPr>
        <w:jc w:val="both"/>
        <w:ind w:left="1072" w:hanging="532"/>
        <w:spacing w:after="0" w:line="259" w:lineRule="auto"/>
        <w:tabs>
          <w:tab w:leader="none" w:pos="1072"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Expanded Release and Indemnities</w:t>
      </w:r>
      <w:r>
        <w:rPr>
          <w:rFonts w:ascii="Times New Roman" w:cs="Times New Roman" w:eastAsia="Times New Roman" w:hAnsi="Times New Roman"/>
          <w:sz w:val="18"/>
          <w:szCs w:val="18"/>
          <w:color w:val="auto"/>
        </w:rPr>
        <w:t>—Each release, exculpatory clause, and indemnity provided for in this Schedule in favour of the Landlord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considered to apply also to the affiliates of the Landlord, the manager of the Generator Building and their respective officers, directors, employees and contractors as though each of them was specifically named as a released person or entity or an indemnified person or entity. For the purpose of enabling each of these persons and entities to enforce the benefit of the exculpatory clauses, releases and indemnities</w:t>
      </w:r>
    </w:p>
    <w:p>
      <w:pPr>
        <w:spacing w:after="0" w:line="189"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149860</wp:posOffset>
            </wp:positionV>
            <wp:extent cx="7250430" cy="21590"/>
            <wp:wrapNone/>
            <wp:docPr id="1339" name="Picture 1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9"/>
                    <pic:cNvPicPr>
                      <a:picLocks noChangeAspect="1" noChangeArrowheads="1"/>
                    </pic:cNvPicPr>
                  </pic:nvPicPr>
                  <pic:blipFill>
                    <a:blip r:embed="rId13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72"/>
        <w:spacing w:after="0"/>
        <w:rPr>
          <w:sz w:val="20"/>
          <w:szCs w:val="20"/>
          <w:color w:val="auto"/>
        </w:rPr>
      </w:pPr>
      <w:r>
        <w:rPr>
          <w:rFonts w:ascii="Times New Roman" w:cs="Times New Roman" w:eastAsia="Times New Roman" w:hAnsi="Times New Roman"/>
          <w:sz w:val="18"/>
          <w:szCs w:val="18"/>
          <w:color w:val="auto"/>
        </w:rPr>
        <w:t>provided for in this Schedule the Landlord acts as agent or trustee for the benefit of those other entities and persons.</w:t>
      </w:r>
    </w:p>
    <w:p>
      <w:pPr>
        <w:spacing w:after="0" w:line="237" w:lineRule="exact"/>
        <w:rPr>
          <w:sz w:val="20"/>
          <w:szCs w:val="20"/>
          <w:color w:val="auto"/>
        </w:rPr>
      </w:pPr>
    </w:p>
    <w:p>
      <w:pPr>
        <w:ind w:left="532" w:hanging="532"/>
        <w:spacing w:after="0"/>
        <w:tabs>
          <w:tab w:leader="none" w:pos="532"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Environment</w:t>
      </w:r>
    </w:p>
    <w:p>
      <w:pPr>
        <w:spacing w:after="0" w:line="240" w:lineRule="exact"/>
        <w:rPr>
          <w:rFonts w:ascii="Times New Roman" w:cs="Times New Roman" w:eastAsia="Times New Roman" w:hAnsi="Times New Roman"/>
          <w:sz w:val="18"/>
          <w:szCs w:val="18"/>
          <w:color w:val="auto"/>
        </w:rPr>
      </w:pPr>
    </w:p>
    <w:p>
      <w:pPr>
        <w:ind w:left="1072" w:right="360" w:hanging="532"/>
        <w:spacing w:after="0" w:line="275" w:lineRule="auto"/>
        <w:tabs>
          <w:tab w:leader="none" w:pos="1072"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Laws" means statutes, regulations, orders, rules, notices permits or directives and other requirements of a governmental or quasi-governmental authority with jurisdiction over any matter.</w:t>
      </w:r>
    </w:p>
    <w:p>
      <w:pPr>
        <w:spacing w:after="0" w:line="198" w:lineRule="exact"/>
        <w:rPr>
          <w:rFonts w:ascii="Times New Roman" w:cs="Times New Roman" w:eastAsia="Times New Roman" w:hAnsi="Times New Roman"/>
          <w:sz w:val="18"/>
          <w:szCs w:val="18"/>
          <w:color w:val="auto"/>
        </w:rPr>
      </w:pPr>
    </w:p>
    <w:p>
      <w:pPr>
        <w:ind w:left="1072" w:right="60" w:hanging="532"/>
        <w:spacing w:after="0" w:line="255" w:lineRule="auto"/>
        <w:tabs>
          <w:tab w:leader="none" w:pos="1072"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"Hazardous Substance"</w:t>
      </w:r>
      <w:r>
        <w:rPr>
          <w:rFonts w:ascii="Times New Roman" w:cs="Times New Roman" w:eastAsia="Times New Roman" w:hAnsi="Times New Roman"/>
          <w:sz w:val="18"/>
          <w:szCs w:val="18"/>
          <w:color w:val="auto"/>
        </w:rPr>
        <w:t>: means any substance or material whose discharge, release, use, storage, handling or disposal is regulated, prohibited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controlled, either generally or specifically, by any governmental authority or quasi-governmental authority pursuant to or under any Applicable Laws, including, but not limited to, any contaminant, pollutant, deleterious substance, or material which may impair the environment, petroleum and other hydrocarbons and their derivatives and by-products, dangerous substances or goods, asbestos, gaseous, solid and liquid waste, special waste, toxic substance, hazardous or toxic chemical, hazardous waste, hazardous material or hazardous substance, either in fact or as defined in or pursuant to any Applicable Laws.</w:t>
      </w:r>
    </w:p>
    <w:p>
      <w:pPr>
        <w:spacing w:after="0" w:line="208" w:lineRule="exact"/>
        <w:rPr>
          <w:rFonts w:ascii="Times New Roman" w:cs="Times New Roman" w:eastAsia="Times New Roman" w:hAnsi="Times New Roman"/>
          <w:sz w:val="18"/>
          <w:szCs w:val="18"/>
          <w:color w:val="auto"/>
        </w:rPr>
      </w:pPr>
    </w:p>
    <w:p>
      <w:pPr>
        <w:ind w:left="1072" w:hanging="532"/>
        <w:spacing w:after="0"/>
        <w:tabs>
          <w:tab w:leader="none" w:pos="1072"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Intentionally Deleted.</w:t>
      </w:r>
    </w:p>
    <w:p>
      <w:pPr>
        <w:spacing w:after="0" w:line="238" w:lineRule="exact"/>
        <w:rPr>
          <w:rFonts w:ascii="Times New Roman" w:cs="Times New Roman" w:eastAsia="Times New Roman" w:hAnsi="Times New Roman"/>
          <w:sz w:val="18"/>
          <w:szCs w:val="18"/>
          <w:color w:val="auto"/>
        </w:rPr>
      </w:pPr>
    </w:p>
    <w:p>
      <w:pPr>
        <w:ind w:left="1072" w:right="180" w:hanging="532"/>
        <w:spacing w:after="0" w:line="256" w:lineRule="auto"/>
        <w:tabs>
          <w:tab w:leader="none" w:pos="1072"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any Applicable Law provides to the contrary, all wastes (including waste which is a Hazardous Substance) will be disposed of by the Tenant at its expense at least once every three (3) months (or more often if the Landlord requires it) using the Landlord's designated hauler or remover, or if there is none, using a properly licensed service. If Applicable Laws require the Tenant to keep waste at the Generator Building for more than three (3) months or the period required by the Landlord, then the Tenant shall store it at its sole expense in a manner and in a location specified by the Landlord and which complies with all Applicable Laws.</w:t>
      </w:r>
    </w:p>
    <w:p>
      <w:pPr>
        <w:spacing w:after="0" w:line="219" w:lineRule="exact"/>
        <w:rPr>
          <w:rFonts w:ascii="Times New Roman" w:cs="Times New Roman" w:eastAsia="Times New Roman" w:hAnsi="Times New Roman"/>
          <w:sz w:val="18"/>
          <w:szCs w:val="18"/>
          <w:color w:val="auto"/>
        </w:rPr>
      </w:pPr>
    </w:p>
    <w:p>
      <w:pPr>
        <w:ind w:left="1072" w:right="180" w:hanging="532"/>
        <w:spacing w:after="0" w:line="301" w:lineRule="auto"/>
        <w:tabs>
          <w:tab w:leader="none" w:pos="1072" w:val="left"/>
        </w:tabs>
        <w:numPr>
          <w:ilvl w:val="1"/>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Tenant will comply with all Applicable Laws pertaining to waste disposal and reduction in connection with the Licensed Areas and the Tenant's conduct of business. To the extent responsibility in connection with any waste related matters is imposed by Applicable Laws so as to appear to overlap or duplicate responsibilities among the Landlord, the Management Company, the Tenant, or any other party, the Landlord may allocate responsibility to the Tenant in whole or in part by notice to the Tenant particularizing the responsibilities which the Tenant will assume.</w:t>
      </w:r>
    </w:p>
    <w:p>
      <w:pPr>
        <w:spacing w:after="0" w:line="170" w:lineRule="exact"/>
        <w:rPr>
          <w:rFonts w:ascii="Times New Roman" w:cs="Times New Roman" w:eastAsia="Times New Roman" w:hAnsi="Times New Roman"/>
          <w:sz w:val="16"/>
          <w:szCs w:val="16"/>
          <w:color w:val="auto"/>
        </w:rPr>
      </w:pPr>
    </w:p>
    <w:p>
      <w:pPr>
        <w:ind w:left="1072" w:right="60" w:hanging="532"/>
        <w:spacing w:after="0" w:line="254" w:lineRule="auto"/>
        <w:tabs>
          <w:tab w:leader="none" w:pos="1072"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Tenant shall, at the Tenant's expense, comply, and cause any other person acting under its authority or control to comply with all Applicable Laws (including, but not limited to, obtaining any required permits or similar authorizations) pertaining to protection, conservation, utilization, impairment or degradation of the environment (which includes air, land, ground water and surface water) relating to the Premises or the use of the Licensed Areas and the Premises by the Tenant or those acting under its authority or control. Without limiting the generality of the foregoing, the Tenant shall, at the Tenant's expense, comply with all Applicable Laws regulating the manufacture, use, storage, transportation and disposal of Hazardous Substances and shall make, obtain and deliver all reports and studies required by governmental or quasi-governmental authorities having jurisdiction.</w:t>
      </w:r>
    </w:p>
    <w:p>
      <w:pPr>
        <w:spacing w:after="0" w:line="208" w:lineRule="exact"/>
        <w:rPr>
          <w:rFonts w:ascii="Times New Roman" w:cs="Times New Roman" w:eastAsia="Times New Roman" w:hAnsi="Times New Roman"/>
          <w:sz w:val="18"/>
          <w:szCs w:val="18"/>
          <w:color w:val="auto"/>
        </w:rPr>
      </w:pPr>
    </w:p>
    <w:p>
      <w:pPr>
        <w:ind w:left="1072" w:right="40" w:hanging="532"/>
        <w:spacing w:after="0" w:line="258" w:lineRule="auto"/>
        <w:tabs>
          <w:tab w:leader="none" w:pos="1072"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Tenant shall not authorize, cause or permit any Hazardous Substance to brought upon, kept or used in or about the Premises or the Generator Building nor use Licensed Areas or the Premises or permit them to be used to generate, manufacture or produce Hazardous Substances, unless such Hazardous Substance is reasonably necessary for the Tenant's permitted use of the Licensed Areas or the Premises or is used by the Tenant in the normal course of its business as permitted under this Lease and unless the Hazardous Substance is</w:t>
      </w:r>
    </w:p>
    <w:p>
      <w:pPr>
        <w:spacing w:after="0" w:line="190"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149860</wp:posOffset>
            </wp:positionV>
            <wp:extent cx="7250430" cy="21590"/>
            <wp:wrapNone/>
            <wp:docPr id="1340" name="Picture 1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0"/>
                    <pic:cNvPicPr>
                      <a:picLocks noChangeAspect="1" noChangeArrowheads="1"/>
                    </pic:cNvPicPr>
                  </pic:nvPicPr>
                  <pic:blipFill>
                    <a:blip r:embed="rId13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72" w:right="60"/>
        <w:spacing w:after="0" w:line="262" w:lineRule="auto"/>
        <w:rPr>
          <w:sz w:val="20"/>
          <w:szCs w:val="20"/>
          <w:color w:val="auto"/>
        </w:rPr>
      </w:pPr>
      <w:r>
        <w:rPr>
          <w:rFonts w:ascii="Times New Roman" w:cs="Times New Roman" w:eastAsia="Times New Roman" w:hAnsi="Times New Roman"/>
          <w:sz w:val="18"/>
          <w:szCs w:val="18"/>
          <w:color w:val="auto"/>
        </w:rPr>
        <w:t>used, kept, stored, generated, manufactured, produced or disposed of in a manner that complies with all Applicable Laws. The Tenant will take all proactive and preventative steps that may be imposed or recommended under any of the Applicable Laws or that a prudent tenant would take in order to minimize risk pertaining to Hazardous Substances.</w:t>
      </w:r>
    </w:p>
    <w:p>
      <w:pPr>
        <w:sectPr>
          <w:pgSz w:w="11900" w:h="16845" w:orient="portrait"/>
          <w:cols w:equalWidth="0" w:num="1">
            <w:col w:w="11392"/>
          </w:cols>
          <w:pgMar w:left="248" w:top="137" w:right="259" w:bottom="0" w:gutter="0" w:footer="0" w:header="0"/>
        </w:sectPr>
      </w:pPr>
    </w:p>
    <w:bookmarkStart w:id="69" w:name="page70"/>
    <w:bookmarkEnd w:id="69"/>
    <w:p>
      <w:pPr>
        <w:ind w:left="540" w:right="840" w:hanging="532"/>
        <w:spacing w:after="0" w:line="275" w:lineRule="auto"/>
        <w:tabs>
          <w:tab w:leader="none" w:pos="54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Without relieving the Tenant of any of its obligations under this Lease, the Tenant shall permit the Landlord, its officers, employees, consultants, authorized representatives and agents to:</w:t>
      </w:r>
    </w:p>
    <w:p>
      <w:pPr>
        <w:spacing w:after="0" w:line="200" w:lineRule="exact"/>
        <w:rPr>
          <w:rFonts w:ascii="Times New Roman" w:cs="Times New Roman" w:eastAsia="Times New Roman" w:hAnsi="Times New Roman"/>
          <w:sz w:val="18"/>
          <w:szCs w:val="18"/>
          <w:color w:val="auto"/>
        </w:rPr>
      </w:pPr>
    </w:p>
    <w:p>
      <w:pPr>
        <w:spacing w:after="0" w:line="217" w:lineRule="exact"/>
        <w:rPr>
          <w:rFonts w:ascii="Times New Roman" w:cs="Times New Roman" w:eastAsia="Times New Roman" w:hAnsi="Times New Roman"/>
          <w:sz w:val="18"/>
          <w:szCs w:val="18"/>
          <w:color w:val="auto"/>
        </w:rPr>
      </w:pPr>
    </w:p>
    <w:p>
      <w:pPr>
        <w:ind w:left="1620" w:hanging="531"/>
        <w:spacing w:after="0"/>
        <w:tabs>
          <w:tab w:leader="none" w:pos="1620"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visit and inspect the Licensed Areas and the Tenant's operation of the Diesel Equipment;</w:t>
      </w:r>
    </w:p>
    <w:p>
      <w:pPr>
        <w:spacing w:after="0" w:line="238" w:lineRule="exact"/>
        <w:rPr>
          <w:rFonts w:ascii="Times New Roman" w:cs="Times New Roman" w:eastAsia="Times New Roman" w:hAnsi="Times New Roman"/>
          <w:sz w:val="18"/>
          <w:szCs w:val="18"/>
          <w:color w:val="auto"/>
        </w:rPr>
      </w:pPr>
    </w:p>
    <w:p>
      <w:pPr>
        <w:ind w:left="1620" w:hanging="531"/>
        <w:spacing w:after="0"/>
        <w:tabs>
          <w:tab w:leader="none" w:pos="1620"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tests and environmental assessments or appraisals;</w:t>
      </w:r>
    </w:p>
    <w:p>
      <w:pPr>
        <w:spacing w:after="0" w:line="238" w:lineRule="exact"/>
        <w:rPr>
          <w:rFonts w:ascii="Times New Roman" w:cs="Times New Roman" w:eastAsia="Times New Roman" w:hAnsi="Times New Roman"/>
          <w:sz w:val="18"/>
          <w:szCs w:val="18"/>
          <w:color w:val="auto"/>
        </w:rPr>
      </w:pPr>
    </w:p>
    <w:p>
      <w:pPr>
        <w:ind w:left="1620" w:hanging="531"/>
        <w:spacing w:after="0"/>
        <w:tabs>
          <w:tab w:leader="none" w:pos="1620"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remove samples from the Licensed Areas;</w:t>
      </w:r>
    </w:p>
    <w:p>
      <w:pPr>
        <w:spacing w:after="0" w:line="252" w:lineRule="exact"/>
        <w:rPr>
          <w:rFonts w:ascii="Times New Roman" w:cs="Times New Roman" w:eastAsia="Times New Roman" w:hAnsi="Times New Roman"/>
          <w:sz w:val="18"/>
          <w:szCs w:val="18"/>
          <w:color w:val="auto"/>
        </w:rPr>
      </w:pPr>
    </w:p>
    <w:p>
      <w:pPr>
        <w:ind w:left="1620" w:hanging="531"/>
        <w:spacing w:after="0"/>
        <w:tabs>
          <w:tab w:leader="none" w:pos="1620"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examine and make abstracts from and copies of any documents or records relating to the Licensed Areas and the Premises;</w:t>
      </w:r>
    </w:p>
    <w:p>
      <w:pPr>
        <w:spacing w:after="0" w:line="238" w:lineRule="exact"/>
        <w:rPr>
          <w:rFonts w:ascii="Times New Roman" w:cs="Times New Roman" w:eastAsia="Times New Roman" w:hAnsi="Times New Roman"/>
          <w:sz w:val="18"/>
          <w:szCs w:val="18"/>
          <w:color w:val="auto"/>
        </w:rPr>
      </w:pPr>
    </w:p>
    <w:p>
      <w:pPr>
        <w:ind w:left="1620" w:hanging="531"/>
        <w:spacing w:after="0"/>
        <w:tabs>
          <w:tab w:leader="none" w:pos="1620"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interview the Tenant's employees; and</w:t>
      </w:r>
    </w:p>
    <w:p>
      <w:pPr>
        <w:spacing w:after="0" w:line="238" w:lineRule="exact"/>
        <w:rPr>
          <w:rFonts w:ascii="Times New Roman" w:cs="Times New Roman" w:eastAsia="Times New Roman" w:hAnsi="Times New Roman"/>
          <w:sz w:val="18"/>
          <w:szCs w:val="18"/>
          <w:color w:val="auto"/>
        </w:rPr>
      </w:pPr>
    </w:p>
    <w:p>
      <w:pPr>
        <w:ind w:left="1620" w:right="160" w:hanging="531"/>
        <w:spacing w:after="0" w:line="258" w:lineRule="auto"/>
        <w:tabs>
          <w:tab w:leader="none" w:pos="1620"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reasonable enquiries from time to time of any government or governmental agency in order to determine the Tenant's compliance with Applicable Laws pertaining to Hazardous Substances and the Tenant covenants and agrees that it will provide to the Landlord such written authorization as the Landlord may reasonably require in order to facilitate the obtaining of such information,</w:t>
      </w:r>
    </w:p>
    <w:p>
      <w:pPr>
        <w:spacing w:after="0" w:line="190"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all at such reasonable times and intervals as the Landlord may desire.</w:t>
      </w:r>
    </w:p>
    <w:p>
      <w:pPr>
        <w:spacing w:after="0" w:line="252" w:lineRule="exact"/>
        <w:rPr>
          <w:sz w:val="20"/>
          <w:szCs w:val="20"/>
          <w:color w:val="auto"/>
        </w:rPr>
      </w:pPr>
    </w:p>
    <w:p>
      <w:pPr>
        <w:ind w:left="1080" w:hanging="532"/>
        <w:spacing w:after="0" w:line="262" w:lineRule="auto"/>
        <w:tabs>
          <w:tab w:leader="none" w:pos="1080"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pursuant to any of the above actions the Landlord determines that the Tenant is in contravention of subparagraphs (f) and/or (g), the Tenant shall, immediately after being notified by the Landlord of such contravention, comply with all Applicable Laws regulating any such Hazardous Substances and reimburse the Landlord for all costs incurred pursuant to subparagraph (h)(i) above.</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59" w:lineRule="exact"/>
        <w:rPr>
          <w:rFonts w:ascii="Times New Roman" w:cs="Times New Roman" w:eastAsia="Times New Roman" w:hAnsi="Times New Roman"/>
          <w:sz w:val="18"/>
          <w:szCs w:val="18"/>
          <w:color w:val="auto"/>
        </w:rPr>
      </w:pPr>
    </w:p>
    <w:p>
      <w:pPr>
        <w:ind w:left="540" w:right="60" w:hanging="532"/>
        <w:spacing w:after="0" w:line="283" w:lineRule="auto"/>
        <w:tabs>
          <w:tab w:leader="none" w:pos="540" w:val="left"/>
        </w:tabs>
        <w:numPr>
          <w:ilvl w:val="0"/>
          <w:numId w:val="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any governmental authority having jurisdiction shall require the clean up of any Hazardous Substances held, released, spilled, abandoned or placed upon the Licensed Area and/or the Premises and/or the Generator Building and/or released into the environment in the course of business being carried on from the Licensed Area and/or the Premises or as a result of the use or occupancy of the Licensed Area and/or the Premises and the land thereunder, then the Tenant shall, at its own expense, prepare all necessary studies, plans and proposals and submit the same for approval, shall provide all bonds and other security required by governmental authorities having jurisdiction, and shall carry out the work required and keep the Landlord fully informed, and shall provide to the Landlord full information with respect to proposed plans and comply with the Landlord's reasonable requirements with respect to such plans. The Tenant further agrees that if the Generator Building or the Landlord is placed in any material jeopardy by the requirement for any such work, or if the Tenant fails to promptly carry out the work required, or if in the Landlord's reasonable opinion the Tenant is not competent to do so, the Landlord may itself undertake such work or any part thereof on not less than one</w:t>
      </w:r>
    </w:p>
    <w:p>
      <w:pPr>
        <w:spacing w:after="0" w:line="4" w:lineRule="exact"/>
        <w:rPr>
          <w:rFonts w:ascii="Times New Roman" w:cs="Times New Roman" w:eastAsia="Times New Roman" w:hAnsi="Times New Roman"/>
          <w:sz w:val="16"/>
          <w:szCs w:val="16"/>
          <w:color w:val="auto"/>
        </w:rPr>
      </w:pPr>
    </w:p>
    <w:p>
      <w:pPr>
        <w:ind w:left="540" w:right="40"/>
        <w:spacing w:after="0" w:line="261" w:lineRule="auto"/>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(1) day's prior written notice to the Tenant and the Tenant shall pay to the Landlord all costs incurred by the Landlord in so doing, together with an administration fee of fifteen percent (15%) of such costs.</w:t>
      </w:r>
    </w:p>
    <w:p>
      <w:pPr>
        <w:spacing w:after="0" w:line="199" w:lineRule="exact"/>
        <w:rPr>
          <w:rFonts w:ascii="Times New Roman" w:cs="Times New Roman" w:eastAsia="Times New Roman" w:hAnsi="Times New Roman"/>
          <w:sz w:val="16"/>
          <w:szCs w:val="16"/>
          <w:color w:val="auto"/>
        </w:rPr>
      </w:pPr>
    </w:p>
    <w:p>
      <w:pPr>
        <w:ind w:left="540" w:right="20" w:hanging="532"/>
        <w:spacing w:after="0" w:line="275" w:lineRule="auto"/>
        <w:tabs>
          <w:tab w:leader="none" w:pos="54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any release or spill of any Hazardous Substance at or from the Licensed Area and/or the Premises, whether under the circumstances referred to in subparagraph (i) above, or otherwise, the Tenant shall, upon becoming aware of such release or spill, immediately</w:t>
      </w:r>
    </w:p>
    <w:p>
      <w:pPr>
        <w:spacing w:after="0" w:line="174"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149860</wp:posOffset>
            </wp:positionV>
            <wp:extent cx="7250430" cy="21590"/>
            <wp:wrapNone/>
            <wp:docPr id="1341" name="Picture 1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1"/>
                    <pic:cNvPicPr>
                      <a:picLocks noChangeAspect="1" noChangeArrowheads="1"/>
                    </pic:cNvPicPr>
                  </pic:nvPicPr>
                  <pic:blipFill>
                    <a:blip r:embed="rId13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right="40"/>
        <w:spacing w:after="0" w:line="258" w:lineRule="auto"/>
        <w:rPr>
          <w:sz w:val="20"/>
          <w:szCs w:val="20"/>
          <w:color w:val="auto"/>
        </w:rPr>
      </w:pPr>
      <w:r>
        <w:rPr>
          <w:rFonts w:ascii="Times New Roman" w:cs="Times New Roman" w:eastAsia="Times New Roman" w:hAnsi="Times New Roman"/>
          <w:sz w:val="18"/>
          <w:szCs w:val="18"/>
          <w:color w:val="auto"/>
        </w:rPr>
        <w:t>notify the Landlord, such notice to include all information known to the Tenant regarding such release or spill. In addition, where the Tenant, from monitoring of its inventories, has reason to suspect a potential release or spill the Tenant will conduct an inspection of the lands on which the Generator Building is located. Where a written report is obtained relative to such inspections, the Tenant agrees to provide a copy of same to the Landlord within seven (7) days after receipt.</w:t>
      </w:r>
    </w:p>
    <w:p>
      <w:pPr>
        <w:spacing w:after="0" w:line="217" w:lineRule="exact"/>
        <w:rPr>
          <w:sz w:val="20"/>
          <w:szCs w:val="20"/>
          <w:color w:val="auto"/>
        </w:rPr>
      </w:pPr>
    </w:p>
    <w:p>
      <w:pPr>
        <w:ind w:left="540" w:right="100" w:hanging="532"/>
        <w:spacing w:after="0" w:line="254" w:lineRule="auto"/>
        <w:tabs>
          <w:tab w:leader="none" w:pos="54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Tenant shall, upon expiration or termination of this Lease or any renewal thereof, or upon the Tenant vacating a portion of the Licensed Area and/or the Premises, at the Tenant's sole expense and in accordance with Applicable Laws, promptly remove all Hazardous Substances generated by the Tenant or brought onto the Licensed Area and/or the Premises or part thereof vacated by the Tenant or those acting under its authority or control. For greater certainty, the foregoing obligation of the Tenant shall include, without limitation, the responsibility to remove any Hazardous Substances which have as a result of the operations of the Tenant, or any other person acting under its authority or control, become affixed to, permeated within or accumulated on or within the Generator Building. The Tenant shall obtain and provide to the Landlord a copy of the Tenant's environmental consultant's close-out report or reports with respect to such removal of Hazardous Substances.</w:t>
      </w:r>
    </w:p>
    <w:p>
      <w:pPr>
        <w:spacing w:after="0" w:line="208" w:lineRule="exact"/>
        <w:rPr>
          <w:rFonts w:ascii="Times New Roman" w:cs="Times New Roman" w:eastAsia="Times New Roman" w:hAnsi="Times New Roman"/>
          <w:sz w:val="18"/>
          <w:szCs w:val="18"/>
          <w:color w:val="auto"/>
        </w:rPr>
      </w:pPr>
    </w:p>
    <w:p>
      <w:pPr>
        <w:ind w:left="540" w:right="20" w:hanging="532"/>
        <w:spacing w:after="0" w:line="255" w:lineRule="auto"/>
        <w:tabs>
          <w:tab w:leader="none" w:pos="54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Tenant creates or brings to the Generator Building or the Licensed Areas and/or the Premises any Hazardous Substance or if the Tenant shall cause there to be any Hazardous Substance at the Generator Building or the Licensed Areas and/or the Premises then, notwithstanding any rule of law to the contrary or anything to the contrary contained in this Lease, such Hazardous Substance shall be and remain the sole and exclusive property of the Tenant and shall not become the property of the Landlord notwithstanding the degree of affixation to the Licensed Areas and/or the Premises or the Generator Building of the Hazardous Substance or the goods containing the Hazardous Substance, and notwithstanding the expiry or earlier termination of this Lease.</w:t>
      </w:r>
    </w:p>
    <w:p>
      <w:pPr>
        <w:spacing w:after="0" w:line="206" w:lineRule="exact"/>
        <w:rPr>
          <w:rFonts w:ascii="Times New Roman" w:cs="Times New Roman" w:eastAsia="Times New Roman" w:hAnsi="Times New Roman"/>
          <w:sz w:val="18"/>
          <w:szCs w:val="18"/>
          <w:color w:val="auto"/>
        </w:rPr>
      </w:pPr>
    </w:p>
    <w:p>
      <w:pPr>
        <w:ind w:left="540" w:right="20" w:hanging="532"/>
        <w:spacing w:after="0" w:line="291" w:lineRule="auto"/>
        <w:tabs>
          <w:tab w:leader="none" w:pos="540" w:val="left"/>
        </w:tabs>
        <w:numPr>
          <w:ilvl w:val="0"/>
          <w:numId w:val="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Tenant shall indemnify and hold the Landlord harmless at all times from and against any and all claims, losses, damages, penalties, fines, costs, fees and expenses (including legal counsel's and consultant's fees and expenses) resulting from (a) any breach of or non-compliance with the provisions of subparagraphs (c) through (l) by the Tenant, and (b) any legal or administrative action commenced by, or claim made or order or environmental notice from, any third party, including, without limitation, any governmental authority, to or against the Landlord and pursuant to or under any Applicable Laws or concerning a release or alleged release of Hazardous Substances at the Licensed Areas and/or the Premises, and related to or as a result of the operations of the Tenant or those acting under its authority or control at the Licensed Areas and/or the Premises. The indemnification provided for in this subparagraph (m) shall survive the termination or expiration of this Lease or any renewal thereof.</w:t>
      </w:r>
    </w:p>
    <w:p>
      <w:pPr>
        <w:sectPr>
          <w:pgSz w:w="11900" w:h="16838" w:orient="portrait"/>
          <w:cols w:equalWidth="0" w:num="1">
            <w:col w:w="10880"/>
          </w:cols>
          <w:pgMar w:left="780" w:top="139" w:right="239" w:bottom="0" w:gutter="0" w:footer="0" w:header="0"/>
        </w:sectPr>
      </w:pPr>
    </w:p>
    <w:p>
      <w:pPr>
        <w:spacing w:after="0" w:line="167"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149860</wp:posOffset>
            </wp:positionV>
            <wp:extent cx="7250430" cy="21590"/>
            <wp:wrapNone/>
            <wp:docPr id="1342" name="Picture 1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2"/>
                    <pic:cNvPicPr>
                      <a:picLocks noChangeAspect="1" noChangeArrowheads="1"/>
                    </pic:cNvPicPr>
                  </pic:nvPicPr>
                  <pic:blipFill>
                    <a:blip r:embed="rId13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80"/>
          </w:cols>
          <w:pgMar w:left="780" w:top="139" w:right="239" w:bottom="0" w:gutter="0" w:footer="0" w:header="0"/>
          <w:type w:val="continuous"/>
        </w:sectPr>
      </w:pPr>
    </w:p>
    <w:bookmarkStart w:id="70" w:name="page71"/>
    <w:bookmarkEnd w:id="70"/>
    <w:p>
      <w:pPr>
        <w:jc w:val="center"/>
        <w:ind w:right="-1160"/>
        <w:spacing w:after="0"/>
        <w:rPr>
          <w:sz w:val="20"/>
          <w:szCs w:val="20"/>
          <w:color w:val="auto"/>
        </w:rPr>
      </w:pPr>
      <w:r>
        <w:rPr>
          <w:rFonts w:ascii="Times New Roman" w:cs="Times New Roman" w:eastAsia="Times New Roman" w:hAnsi="Times New Roman"/>
          <w:sz w:val="18"/>
          <w:szCs w:val="18"/>
          <w:b w:val="1"/>
          <w:bCs w:val="1"/>
          <w:color w:val="auto"/>
        </w:rPr>
        <w:t>FLOOR PLAN</w:t>
      </w:r>
    </w:p>
    <w:p>
      <w:pPr>
        <w:spacing w:after="0" w:line="2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43" name="Picture 1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3"/>
                    <pic:cNvPicPr>
                      <a:picLocks noChangeAspect="1" noChangeArrowheads="1"/>
                    </pic:cNvPicPr>
                  </pic:nvPicPr>
                  <pic:blipFill>
                    <a:blip r:embed="rId13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QuickLinks</w:t>
      </w:r>
    </w:p>
    <w:p>
      <w:pPr>
        <w:spacing w:after="0" w:line="219" w:lineRule="exact"/>
        <w:rPr>
          <w:sz w:val="20"/>
          <w:szCs w:val="20"/>
          <w:color w:val="auto"/>
        </w:rPr>
      </w:pPr>
    </w:p>
    <w:p>
      <w:pPr>
        <w:ind w:left="540"/>
        <w:spacing w:after="0"/>
        <w:rPr>
          <w:rFonts w:ascii="Times New Roman" w:cs="Times New Roman" w:eastAsia="Times New Roman" w:hAnsi="Times New Roman"/>
          <w:sz w:val="18"/>
          <w:szCs w:val="18"/>
          <w:u w:val="single" w:color="auto"/>
          <w:color w:val="0000EE"/>
        </w:rPr>
      </w:pPr>
      <w:hyperlink w:anchor="page58">
        <w:r>
          <w:rPr>
            <w:rFonts w:ascii="Times New Roman" w:cs="Times New Roman" w:eastAsia="Times New Roman" w:hAnsi="Times New Roman"/>
            <w:sz w:val="18"/>
            <w:szCs w:val="18"/>
            <w:u w:val="single" w:color="auto"/>
            <w:color w:val="0000EE"/>
          </w:rPr>
          <w:t>Exhibit 10.12</w:t>
        </w:r>
      </w:hyperlink>
    </w:p>
    <w:p>
      <w:pPr>
        <w:spacing w:after="0" w:line="225"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58">
        <w:r>
          <w:rPr>
            <w:rFonts w:ascii="Times New Roman" w:cs="Times New Roman" w:eastAsia="Times New Roman" w:hAnsi="Times New Roman"/>
            <w:sz w:val="18"/>
            <w:szCs w:val="18"/>
            <w:u w:val="single" w:color="auto"/>
            <w:color w:val="0000EE"/>
          </w:rPr>
          <w:t>LEASE AMENDING AGREEMENT</w:t>
        </w:r>
      </w:hyperlink>
    </w:p>
    <w:p>
      <w:pPr>
        <w:spacing w:after="0" w:line="21" w:lineRule="exact"/>
        <w:rPr>
          <w:sz w:val="20"/>
          <w:szCs w:val="20"/>
          <w:color w:val="auto"/>
        </w:rPr>
      </w:pPr>
    </w:p>
    <w:p>
      <w:pPr>
        <w:spacing w:after="0"/>
        <w:rPr>
          <w:rFonts w:ascii="Times New Roman" w:cs="Times New Roman" w:eastAsia="Times New Roman" w:hAnsi="Times New Roman"/>
          <w:sz w:val="16"/>
          <w:szCs w:val="16"/>
          <w:u w:val="single" w:color="auto"/>
          <w:color w:val="0000EE"/>
        </w:rPr>
      </w:pPr>
      <w:hyperlink w:anchor="page58">
        <w:r>
          <w:rPr>
            <w:rFonts w:ascii="Times New Roman" w:cs="Times New Roman" w:eastAsia="Times New Roman" w:hAnsi="Times New Roman"/>
            <w:sz w:val="16"/>
            <w:szCs w:val="16"/>
            <w:u w:val="single" w:color="auto"/>
            <w:color w:val="0000EE"/>
          </w:rPr>
          <w:t>YCC LIMITED and LONDON LIFE INSURANCE COMPANY (collectively the "Landlord")</w:t>
        </w:r>
      </w:hyperlink>
    </w:p>
    <w:p>
      <w:pPr>
        <w:spacing w:after="0" w:line="32"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58">
        <w:r>
          <w:rPr>
            <w:rFonts w:ascii="Times New Roman" w:cs="Times New Roman" w:eastAsia="Times New Roman" w:hAnsi="Times New Roman"/>
            <w:sz w:val="18"/>
            <w:szCs w:val="18"/>
            <w:u w:val="single" w:color="auto"/>
            <w:color w:val="0000EE"/>
          </w:rPr>
          <w:t>LOYALTY MANAGEMENT GROUP CANADA INC. (the "Tenant")</w:t>
        </w:r>
      </w:hyperlink>
    </w:p>
    <w:p>
      <w:pPr>
        <w:spacing w:after="0" w:line="213" w:lineRule="exact"/>
        <w:rPr>
          <w:sz w:val="20"/>
          <w:szCs w:val="20"/>
          <w:color w:val="auto"/>
        </w:rPr>
      </w:pPr>
    </w:p>
    <w:p>
      <w:pPr>
        <w:ind w:left="540"/>
        <w:spacing w:after="0"/>
        <w:rPr>
          <w:rFonts w:ascii="Times New Roman" w:cs="Times New Roman" w:eastAsia="Times New Roman" w:hAnsi="Times New Roman"/>
          <w:sz w:val="18"/>
          <w:szCs w:val="18"/>
          <w:u w:val="single" w:color="auto"/>
          <w:color w:val="0000EE"/>
        </w:rPr>
      </w:pPr>
      <w:hyperlink w:anchor="page58">
        <w:r>
          <w:rPr>
            <w:rFonts w:ascii="Times New Roman" w:cs="Times New Roman" w:eastAsia="Times New Roman" w:hAnsi="Times New Roman"/>
            <w:sz w:val="18"/>
            <w:szCs w:val="18"/>
            <w:u w:val="single" w:color="auto"/>
            <w:color w:val="0000EE"/>
          </w:rPr>
          <w:t>WHEREAS</w:t>
        </w:r>
      </w:hyperlink>
    </w:p>
    <w:p>
      <w:pPr>
        <w:spacing w:after="0" w:line="225"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61">
        <w:r>
          <w:rPr>
            <w:rFonts w:ascii="Times New Roman" w:cs="Times New Roman" w:eastAsia="Times New Roman" w:hAnsi="Times New Roman"/>
            <w:sz w:val="18"/>
            <w:szCs w:val="18"/>
            <w:u w:val="single" w:color="auto"/>
            <w:color w:val="0000EE"/>
          </w:rPr>
          <w:t>SCHEDULE "B-4" FLOOR PLAN OF THE SECOND ADDITIONAL PREMISES</w:t>
        </w:r>
      </w:hyperlink>
    </w:p>
    <w:p>
      <w:pPr>
        <w:spacing w:after="0" w:line="21"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61">
        <w:r>
          <w:rPr>
            <w:rFonts w:ascii="Times New Roman" w:cs="Times New Roman" w:eastAsia="Times New Roman" w:hAnsi="Times New Roman"/>
            <w:sz w:val="18"/>
            <w:szCs w:val="18"/>
            <w:u w:val="single" w:color="auto"/>
            <w:color w:val="0000EE"/>
          </w:rPr>
          <w:t>LEASE AMENDING AGREEMENT</w:t>
        </w:r>
      </w:hyperlink>
    </w:p>
    <w:p>
      <w:pPr>
        <w:spacing w:after="0" w:line="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64">
        <w:r>
          <w:rPr>
            <w:rFonts w:ascii="Times New Roman" w:cs="Times New Roman" w:eastAsia="Times New Roman" w:hAnsi="Times New Roman"/>
            <w:sz w:val="18"/>
            <w:szCs w:val="18"/>
            <w:u w:val="single" w:color="auto"/>
            <w:color w:val="0000EE"/>
          </w:rPr>
          <w:t>SCHEDULE "B-5" [FLOOR PLAN]</w:t>
        </w:r>
      </w:hyperlink>
    </w:p>
    <w:p>
      <w:pPr>
        <w:spacing w:after="0" w:line="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64">
        <w:r>
          <w:rPr>
            <w:rFonts w:ascii="Times New Roman" w:cs="Times New Roman" w:eastAsia="Times New Roman" w:hAnsi="Times New Roman"/>
            <w:sz w:val="18"/>
            <w:szCs w:val="18"/>
            <w:u w:val="single" w:color="auto"/>
            <w:color w:val="0000EE"/>
          </w:rPr>
          <w:t>LEASE AMENDING AGREEMENT</w:t>
        </w:r>
      </w:hyperlink>
    </w:p>
    <w:p>
      <w:pPr>
        <w:spacing w:after="0" w:line="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66">
        <w:r>
          <w:rPr>
            <w:rFonts w:ascii="Times New Roman" w:cs="Times New Roman" w:eastAsia="Times New Roman" w:hAnsi="Times New Roman"/>
            <w:sz w:val="18"/>
            <w:szCs w:val="18"/>
            <w:u w:val="single" w:color="auto"/>
            <w:color w:val="0000EE"/>
          </w:rPr>
          <w:t>SCHEDULE "F" DIESEL GENERATOR</w:t>
        </w:r>
      </w:hyperlink>
    </w:p>
    <w:p>
      <w:pPr>
        <w:spacing w:after="0" w:line="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71">
        <w:r>
          <w:rPr>
            <w:rFonts w:ascii="Times New Roman" w:cs="Times New Roman" w:eastAsia="Times New Roman" w:hAnsi="Times New Roman"/>
            <w:sz w:val="18"/>
            <w:szCs w:val="18"/>
            <w:u w:val="single" w:color="auto"/>
            <w:color w:val="0000EE"/>
          </w:rPr>
          <w:t>FLOOR PLAN</w:t>
        </w:r>
      </w:hyperlink>
    </w:p>
    <w:p>
      <w:pPr>
        <w:sectPr>
          <w:pgSz w:w="11900" w:h="16838" w:orient="portrait"/>
          <w:cols w:equalWidth="0" w:num="1">
            <w:col w:w="10219"/>
          </w:cols>
          <w:pgMar w:left="240" w:top="339" w:right="1440" w:bottom="1440" w:gutter="0" w:footer="0" w:header="0"/>
        </w:sectPr>
      </w:pPr>
    </w:p>
    <w:bookmarkStart w:id="71" w:name="page72"/>
    <w:bookmarkEnd w:id="71"/>
    <w:p>
      <w:pPr>
        <w:spacing w:after="0"/>
        <w:rPr>
          <w:rFonts w:ascii="Times New Roman" w:cs="Times New Roman" w:eastAsia="Times New Roman" w:hAnsi="Times New Roman"/>
          <w:sz w:val="22"/>
          <w:szCs w:val="22"/>
          <w:color w:val="0000EE"/>
        </w:rPr>
      </w:pPr>
      <w:hyperlink w:anchor="page76">
        <w:r>
          <w:rPr>
            <w:rFonts w:ascii="Times New Roman" w:cs="Times New Roman" w:eastAsia="Times New Roman" w:hAnsi="Times New Roman"/>
            <w:sz w:val="22"/>
            <w:szCs w:val="22"/>
            <w:u w:val="single" w:color="auto"/>
            <w:color w:val="0000EE"/>
          </w:rPr>
          <w:t>QuickLinks</w:t>
        </w:r>
        <w:r>
          <w:rPr>
            <w:rFonts w:ascii="Times New Roman" w:cs="Times New Roman" w:eastAsia="Times New Roman" w:hAnsi="Times New Roman"/>
            <w:sz w:val="22"/>
            <w:szCs w:val="22"/>
            <w:color w:val="0000EE"/>
          </w:rPr>
          <w:t xml:space="preserve"> </w:t>
        </w:r>
      </w:hyperlink>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22"/>
          <w:szCs w:val="22"/>
          <w:color w:val="000000"/>
        </w:rPr>
        <w:t>Click here to rapidly navigate through this document</w:t>
      </w:r>
    </w:p>
    <w:p>
      <w:pPr>
        <w:spacing w:after="0" w:line="200" w:lineRule="exact"/>
        <w:rPr>
          <w:sz w:val="20"/>
          <w:szCs w:val="20"/>
          <w:color w:val="auto"/>
        </w:rPr>
      </w:pPr>
    </w:p>
    <w:p>
      <w:pPr>
        <w:spacing w:after="0" w:line="233" w:lineRule="exact"/>
        <w:rPr>
          <w:sz w:val="20"/>
          <w:szCs w:val="20"/>
          <w:color w:val="auto"/>
        </w:rPr>
      </w:pPr>
    </w:p>
    <w:p>
      <w:pPr>
        <w:ind w:left="10380"/>
        <w:spacing w:after="0"/>
        <w:rPr>
          <w:sz w:val="20"/>
          <w:szCs w:val="20"/>
          <w:color w:val="auto"/>
        </w:rPr>
      </w:pPr>
      <w:r>
        <w:rPr>
          <w:rFonts w:ascii="Times New Roman" w:cs="Times New Roman" w:eastAsia="Times New Roman" w:hAnsi="Times New Roman"/>
          <w:sz w:val="18"/>
          <w:szCs w:val="18"/>
          <w:b w:val="1"/>
          <w:bCs w:val="1"/>
          <w:color w:val="auto"/>
        </w:rPr>
        <w:t>Exhibit 10.17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153670</wp:posOffset>
            </wp:positionV>
            <wp:extent cx="1217930" cy="883285"/>
            <wp:wrapNone/>
            <wp:docPr id="1344" name="Picture 1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4"/>
                    <pic:cNvPicPr>
                      <a:picLocks noChangeAspect="1" noChangeArrowheads="1"/>
                    </pic:cNvPicPr>
                  </pic:nvPicPr>
                  <pic:blipFill>
                    <a:blip r:embed="rId1351">
                      <a:extLst>
                        <a:ext uri="{28A0092B-C50C-407E-A947-70E740481C1C}"/>
                      </a:extLst>
                    </a:blip>
                    <a:srcRect/>
                    <a:stretch>
                      <a:fillRect/>
                    </a:stretch>
                  </pic:blipFill>
                  <pic:spPr bwMode="auto">
                    <a:xfrm>
                      <a:off x="0" y="0"/>
                      <a:ext cx="1217930" cy="883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368"/>
        </w:trPr>
        <w:tc>
          <w:tcPr>
            <w:tcW w:w="20" w:type="dxa"/>
            <w:vAlign w:val="bottom"/>
          </w:tcPr>
          <w:p>
            <w:pPr>
              <w:spacing w:after="0"/>
              <w:rPr>
                <w:sz w:val="24"/>
                <w:szCs w:val="24"/>
                <w:color w:val="auto"/>
              </w:rPr>
            </w:pPr>
          </w:p>
        </w:tc>
        <w:tc>
          <w:tcPr>
            <w:tcW w:w="8580" w:type="dxa"/>
            <w:vAlign w:val="bottom"/>
          </w:tcPr>
          <w:p>
            <w:pPr>
              <w:jc w:val="center"/>
              <w:ind w:left="2692"/>
              <w:spacing w:after="0"/>
              <w:rPr>
                <w:sz w:val="20"/>
                <w:szCs w:val="20"/>
                <w:color w:val="auto"/>
              </w:rPr>
            </w:pPr>
            <w:r>
              <w:rPr>
                <w:rFonts w:ascii="Times New Roman" w:cs="Times New Roman" w:eastAsia="Times New Roman" w:hAnsi="Times New Roman"/>
                <w:sz w:val="32"/>
                <w:szCs w:val="32"/>
                <w:b w:val="1"/>
                <w:bCs w:val="1"/>
                <w:color w:val="auto"/>
              </w:rPr>
              <w:t>ALLIANCE DATA SYSTEMS</w:t>
            </w:r>
          </w:p>
        </w:tc>
        <w:tc>
          <w:tcPr>
            <w:tcW w:w="18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9"/>
        </w:trPr>
        <w:tc>
          <w:tcPr>
            <w:tcW w:w="20" w:type="dxa"/>
            <w:vAlign w:val="bottom"/>
          </w:tcPr>
          <w:p>
            <w:pPr>
              <w:spacing w:after="0"/>
              <w:rPr>
                <w:sz w:val="24"/>
                <w:szCs w:val="24"/>
                <w:color w:val="auto"/>
              </w:rPr>
            </w:pPr>
          </w:p>
        </w:tc>
        <w:tc>
          <w:tcPr>
            <w:tcW w:w="8580" w:type="dxa"/>
            <w:vAlign w:val="bottom"/>
          </w:tcPr>
          <w:p>
            <w:pPr>
              <w:jc w:val="center"/>
              <w:ind w:left="2712"/>
              <w:spacing w:after="0"/>
              <w:rPr>
                <w:sz w:val="20"/>
                <w:szCs w:val="20"/>
                <w:color w:val="auto"/>
              </w:rPr>
            </w:pPr>
            <w:r>
              <w:rPr>
                <w:rFonts w:ascii="Times New Roman" w:cs="Times New Roman" w:eastAsia="Times New Roman" w:hAnsi="Times New Roman"/>
                <w:sz w:val="32"/>
                <w:szCs w:val="32"/>
                <w:b w:val="1"/>
                <w:bCs w:val="1"/>
                <w:color w:val="auto"/>
              </w:rPr>
              <w:t>CORPORATION</w:t>
            </w:r>
          </w:p>
        </w:tc>
        <w:tc>
          <w:tcPr>
            <w:tcW w:w="18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7"/>
        </w:trPr>
        <w:tc>
          <w:tcPr>
            <w:tcW w:w="20" w:type="dxa"/>
            <w:vAlign w:val="bottom"/>
          </w:tcPr>
          <w:p>
            <w:pPr>
              <w:spacing w:after="0"/>
              <w:rPr>
                <w:sz w:val="24"/>
                <w:szCs w:val="24"/>
                <w:color w:val="auto"/>
              </w:rPr>
            </w:pPr>
          </w:p>
        </w:tc>
        <w:tc>
          <w:tcPr>
            <w:tcW w:w="8580" w:type="dxa"/>
            <w:vAlign w:val="bottom"/>
          </w:tcPr>
          <w:p>
            <w:pPr>
              <w:jc w:val="center"/>
              <w:ind w:left="2692"/>
              <w:spacing w:after="0"/>
              <w:rPr>
                <w:sz w:val="20"/>
                <w:szCs w:val="20"/>
                <w:color w:val="auto"/>
              </w:rPr>
            </w:pPr>
            <w:r>
              <w:rPr>
                <w:rFonts w:ascii="Times New Roman" w:cs="Times New Roman" w:eastAsia="Times New Roman" w:hAnsi="Times New Roman"/>
                <w:sz w:val="32"/>
                <w:szCs w:val="32"/>
                <w:b w:val="1"/>
                <w:bCs w:val="1"/>
                <w:color w:val="auto"/>
              </w:rPr>
              <w:t>SUPPLEMENTAL EXECUTIVE</w:t>
            </w:r>
          </w:p>
        </w:tc>
        <w:tc>
          <w:tcPr>
            <w:tcW w:w="18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8580" w:type="dxa"/>
            <w:vAlign w:val="bottom"/>
          </w:tcPr>
          <w:p>
            <w:pPr>
              <w:jc w:val="center"/>
              <w:ind w:left="2692"/>
              <w:spacing w:after="0" w:line="364" w:lineRule="exact"/>
              <w:rPr>
                <w:sz w:val="20"/>
                <w:szCs w:val="20"/>
                <w:color w:val="auto"/>
              </w:rPr>
            </w:pPr>
            <w:r>
              <w:rPr>
                <w:rFonts w:ascii="Times New Roman" w:cs="Times New Roman" w:eastAsia="Times New Roman" w:hAnsi="Times New Roman"/>
                <w:sz w:val="32"/>
                <w:szCs w:val="32"/>
                <w:b w:val="1"/>
                <w:bCs w:val="1"/>
                <w:color w:val="auto"/>
              </w:rPr>
              <w:t>RETIREMENT PLAN</w:t>
            </w:r>
          </w:p>
        </w:tc>
        <w:tc>
          <w:tcPr>
            <w:tcW w:w="18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9"/>
        </w:trPr>
        <w:tc>
          <w:tcPr>
            <w:tcW w:w="20" w:type="dxa"/>
            <w:vAlign w:val="bottom"/>
          </w:tcPr>
          <w:p>
            <w:pPr>
              <w:spacing w:after="0"/>
              <w:rPr>
                <w:sz w:val="24"/>
                <w:szCs w:val="24"/>
                <w:color w:val="auto"/>
              </w:rPr>
            </w:pPr>
          </w:p>
        </w:tc>
        <w:tc>
          <w:tcPr>
            <w:tcW w:w="8580" w:type="dxa"/>
            <w:vAlign w:val="bottom"/>
          </w:tcPr>
          <w:p>
            <w:pPr>
              <w:jc w:val="center"/>
              <w:ind w:left="2712"/>
              <w:spacing w:after="0"/>
              <w:rPr>
                <w:sz w:val="20"/>
                <w:szCs w:val="20"/>
                <w:color w:val="auto"/>
              </w:rPr>
            </w:pPr>
            <w:r>
              <w:rPr>
                <w:rFonts w:ascii="Times New Roman" w:cs="Times New Roman" w:eastAsia="Times New Roman" w:hAnsi="Times New Roman"/>
                <w:sz w:val="32"/>
                <w:szCs w:val="32"/>
                <w:b w:val="1"/>
                <w:bCs w:val="1"/>
                <w:color w:val="auto"/>
              </w:rPr>
              <w:t>(SERP)</w:t>
            </w:r>
          </w:p>
        </w:tc>
        <w:tc>
          <w:tcPr>
            <w:tcW w:w="18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9"/>
        </w:trPr>
        <w:tc>
          <w:tcPr>
            <w:tcW w:w="20" w:type="dxa"/>
            <w:vAlign w:val="bottom"/>
          </w:tcPr>
          <w:p>
            <w:pPr>
              <w:spacing w:after="0"/>
              <w:rPr>
                <w:sz w:val="24"/>
                <w:szCs w:val="24"/>
                <w:color w:val="auto"/>
              </w:rPr>
            </w:pPr>
          </w:p>
        </w:tc>
        <w:tc>
          <w:tcPr>
            <w:tcW w:w="8580" w:type="dxa"/>
            <w:vAlign w:val="bottom"/>
          </w:tcPr>
          <w:p>
            <w:pPr>
              <w:jc w:val="center"/>
              <w:ind w:left="2712"/>
              <w:spacing w:after="0"/>
              <w:rPr>
                <w:sz w:val="20"/>
                <w:szCs w:val="20"/>
                <w:color w:val="auto"/>
              </w:rPr>
            </w:pPr>
            <w:r>
              <w:rPr>
                <w:rFonts w:ascii="Times New Roman" w:cs="Times New Roman" w:eastAsia="Times New Roman" w:hAnsi="Times New Roman"/>
                <w:sz w:val="24"/>
                <w:szCs w:val="24"/>
                <w:b w:val="1"/>
                <w:bCs w:val="1"/>
                <w:color w:val="auto"/>
              </w:rPr>
              <w:t>(As Amended and Restated Effective January 1, 2003)</w:t>
            </w:r>
          </w:p>
        </w:tc>
        <w:tc>
          <w:tcPr>
            <w:tcW w:w="18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5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26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413"/>
        </w:trPr>
        <w:tc>
          <w:tcPr>
            <w:tcW w:w="20" w:type="dxa"/>
            <w:vAlign w:val="bottom"/>
          </w:tcPr>
          <w:p>
            <w:pPr>
              <w:spacing w:after="0"/>
              <w:rPr>
                <w:sz w:val="24"/>
                <w:szCs w:val="24"/>
                <w:color w:val="auto"/>
              </w:rPr>
            </w:pPr>
          </w:p>
        </w:tc>
        <w:tc>
          <w:tcPr>
            <w:tcW w:w="8580" w:type="dxa"/>
            <w:vAlign w:val="bottom"/>
          </w:tcPr>
          <w:p>
            <w:pPr>
              <w:jc w:val="center"/>
              <w:ind w:left="2712"/>
              <w:spacing w:after="0"/>
              <w:rPr>
                <w:sz w:val="20"/>
                <w:szCs w:val="20"/>
                <w:color w:val="auto"/>
              </w:rPr>
            </w:pPr>
            <w:r>
              <w:rPr>
                <w:rFonts w:ascii="Times New Roman" w:cs="Times New Roman" w:eastAsia="Times New Roman" w:hAnsi="Times New Roman"/>
                <w:sz w:val="18"/>
                <w:szCs w:val="18"/>
                <w:b w:val="1"/>
                <w:bCs w:val="1"/>
                <w:color w:val="auto"/>
                <w:w w:val="96"/>
              </w:rPr>
              <w:t>ALLIANCE DATA SYSTEMS CORPORATION</w:t>
            </w:r>
          </w:p>
        </w:tc>
        <w:tc>
          <w:tcPr>
            <w:tcW w:w="18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580" w:type="dxa"/>
            <w:vAlign w:val="bottom"/>
          </w:tcPr>
          <w:p>
            <w:pPr>
              <w:jc w:val="center"/>
              <w:ind w:left="2712"/>
              <w:spacing w:after="0"/>
              <w:rPr>
                <w:sz w:val="20"/>
                <w:szCs w:val="20"/>
                <w:color w:val="auto"/>
              </w:rPr>
            </w:pPr>
            <w:r>
              <w:rPr>
                <w:rFonts w:ascii="Times New Roman" w:cs="Times New Roman" w:eastAsia="Times New Roman" w:hAnsi="Times New Roman"/>
                <w:sz w:val="18"/>
                <w:szCs w:val="18"/>
                <w:b w:val="1"/>
                <w:bCs w:val="1"/>
                <w:color w:val="auto"/>
                <w:w w:val="97"/>
              </w:rPr>
              <w:t>SUPPLEMENTAL EXECUTIVE RETIREMENT PLAN</w:t>
            </w:r>
          </w:p>
        </w:tc>
        <w:tc>
          <w:tcPr>
            <w:tcW w:w="18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580" w:type="dxa"/>
            <w:vAlign w:val="bottom"/>
          </w:tcPr>
          <w:p>
            <w:pPr>
              <w:jc w:val="center"/>
              <w:ind w:left="2712"/>
              <w:spacing w:after="0"/>
              <w:rPr>
                <w:sz w:val="20"/>
                <w:szCs w:val="20"/>
                <w:color w:val="auto"/>
              </w:rPr>
            </w:pPr>
            <w:r>
              <w:rPr>
                <w:rFonts w:ascii="Times New Roman" w:cs="Times New Roman" w:eastAsia="Times New Roman" w:hAnsi="Times New Roman"/>
                <w:sz w:val="18"/>
                <w:szCs w:val="18"/>
                <w:b w:val="1"/>
                <w:bCs w:val="1"/>
                <w:color w:val="auto"/>
                <w:w w:val="96"/>
              </w:rPr>
              <w:t>TABLE OF CONTENTS</w:t>
            </w:r>
          </w:p>
        </w:tc>
        <w:tc>
          <w:tcPr>
            <w:tcW w:w="18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8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I—PREAMBLE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Times New Roman" w:cs="Times New Roman" w:eastAsia="Times New Roman" w:hAnsi="Times New Roman"/>
                <w:sz w:val="18"/>
                <w:szCs w:val="18"/>
                <w:color w:val="auto"/>
              </w:rPr>
              <w:t>ARTICLE II—DEFINITIONS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III—ELIGIBILITY</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Times New Roman" w:cs="Times New Roman" w:eastAsia="Times New Roman" w:hAnsi="Times New Roman"/>
                <w:sz w:val="18"/>
                <w:szCs w:val="18"/>
                <w:color w:val="auto"/>
              </w:rPr>
              <w:t>ARTICLE IV—CONTRIBUTIONS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V—LEAVE OF ABSENCE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Times New Roman" w:cs="Times New Roman" w:eastAsia="Times New Roman" w:hAnsi="Times New Roman"/>
                <w:sz w:val="18"/>
                <w:szCs w:val="18"/>
                <w:color w:val="auto"/>
              </w:rPr>
              <w:t>ARTICLE VI—VESTING</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VII—FUNDING AND INVESTMENT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Times New Roman" w:cs="Times New Roman" w:eastAsia="Times New Roman" w:hAnsi="Times New Roman"/>
                <w:sz w:val="18"/>
                <w:szCs w:val="18"/>
                <w:color w:val="auto"/>
              </w:rPr>
              <w:t>ARTICLE VIII—DISTRIBUTION OF BENEFITS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IX—AMENDMENT AND TERMINATION</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Times New Roman" w:cs="Times New Roman" w:eastAsia="Times New Roman" w:hAnsi="Times New Roman"/>
                <w:sz w:val="18"/>
                <w:szCs w:val="18"/>
                <w:color w:val="auto"/>
              </w:rPr>
              <w:t>ARTICLE X—ADMINISTRATION</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XI—MISCELLANEOUS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6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-2345055</wp:posOffset>
            </wp:positionV>
            <wp:extent cx="12700" cy="8890"/>
            <wp:wrapNone/>
            <wp:docPr id="1345" name="Picture 1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5"/>
                    <pic:cNvPicPr>
                      <a:picLocks noChangeAspect="1" noChangeArrowheads="1"/>
                    </pic:cNvPicPr>
                  </pic:nvPicPr>
                  <pic:blipFill>
                    <a:blip r:embed="rId13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-2345055</wp:posOffset>
            </wp:positionV>
            <wp:extent cx="12700" cy="8890"/>
            <wp:wrapNone/>
            <wp:docPr id="1346" name="Picture 1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6"/>
                    <pic:cNvPicPr>
                      <a:picLocks noChangeAspect="1" noChangeArrowheads="1"/>
                    </pic:cNvPicPr>
                  </pic:nvPicPr>
                  <pic:blipFill>
                    <a:blip r:embed="rId135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47" name="Picture 1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7"/>
                    <pic:cNvPicPr>
                      <a:picLocks noChangeAspect="1" noChangeArrowheads="1"/>
                    </pic:cNvPicPr>
                  </pic:nvPicPr>
                  <pic:blipFill>
                    <a:blip r:embed="rId13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I—PREAMBLE</w:t>
      </w:r>
    </w:p>
    <w:p>
      <w:pPr>
        <w:spacing w:after="0" w:line="227" w:lineRule="exact"/>
        <w:rPr>
          <w:sz w:val="20"/>
          <w:szCs w:val="20"/>
          <w:color w:val="auto"/>
        </w:rPr>
      </w:pPr>
    </w:p>
    <w:p>
      <w:pPr>
        <w:ind w:right="120" w:firstLine="348"/>
        <w:spacing w:after="0" w:line="256" w:lineRule="auto"/>
        <w:rPr>
          <w:sz w:val="20"/>
          <w:szCs w:val="20"/>
          <w:color w:val="auto"/>
        </w:rPr>
      </w:pPr>
      <w:r>
        <w:rPr>
          <w:rFonts w:ascii="Times New Roman" w:cs="Times New Roman" w:eastAsia="Times New Roman" w:hAnsi="Times New Roman"/>
          <w:sz w:val="18"/>
          <w:szCs w:val="18"/>
          <w:color w:val="auto"/>
        </w:rPr>
        <w:t>The Alliance Data Systems Corporation Supplemental Executive Retirement Plan (the "SERP") was established, effective May 1, 1999, to provide an opportunity for a select group of management and highly compensated employees to defer a portion of their regular compensation and bonuses payable for services rendered to Alliance Data Systems Corporation ("ADSC") and its participating affiliates and to receive certain employer contributions. ADSC established the SERP to assist in attracting and retaining qualified individuals to serve as officers and key managers. The SERP is unfunded for tax purposes and for purposes of Title I of ERISA. ADSC hereby amends and restates the SERP in its entirety, effective January 1, 2003.</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II—DEFINITIONS</w:t>
      </w:r>
    </w:p>
    <w:p>
      <w:pPr>
        <w:spacing w:after="0" w:line="225" w:lineRule="exact"/>
        <w:rPr>
          <w:sz w:val="20"/>
          <w:szCs w:val="20"/>
          <w:color w:val="auto"/>
        </w:rPr>
      </w:pPr>
    </w:p>
    <w:p>
      <w:pPr>
        <w:ind w:right="340" w:firstLine="351"/>
        <w:spacing w:after="0" w:line="264"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b w:val="1"/>
          <w:bCs w:val="1"/>
          <w:color w:val="auto"/>
        </w:rPr>
        <w:t>Account</w:t>
      </w:r>
      <w:r>
        <w:rPr>
          <w:rFonts w:ascii="Times New Roman" w:cs="Times New Roman" w:eastAsia="Times New Roman" w:hAnsi="Times New Roman"/>
          <w:sz w:val="18"/>
          <w:szCs w:val="18"/>
          <w:color w:val="auto"/>
        </w:rPr>
        <w:t xml:space="preserve"> means the account maintained on the books of an Employer for the purpose of accounting for Contributory Contributions and Restorative Contributions, if any, allocated to a Participant. Each Account shall be a bookkeeping entry only and shall be used solely as a device for the measurement and determination of the amounts to be paid to a Participant, or his or her designated beneficiary, pursuant to the SERP.</w:t>
      </w:r>
    </w:p>
    <w:p>
      <w:pPr>
        <w:spacing w:after="0" w:line="18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b w:val="1"/>
          <w:bCs w:val="1"/>
          <w:color w:val="auto"/>
        </w:rPr>
        <w:t>ADSC</w:t>
      </w:r>
      <w:r>
        <w:rPr>
          <w:rFonts w:ascii="Times New Roman" w:cs="Times New Roman" w:eastAsia="Times New Roman" w:hAnsi="Times New Roman"/>
          <w:sz w:val="18"/>
          <w:szCs w:val="18"/>
          <w:color w:val="auto"/>
        </w:rPr>
        <w:t xml:space="preserve"> means Alliance Data Systems Corporation.</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b w:val="1"/>
          <w:bCs w:val="1"/>
          <w:color w:val="auto"/>
        </w:rPr>
        <w:t>Alliance</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ADSI</w:t>
      </w:r>
      <w:r>
        <w:rPr>
          <w:rFonts w:ascii="Times New Roman" w:cs="Times New Roman" w:eastAsia="Times New Roman" w:hAnsi="Times New Roman"/>
          <w:sz w:val="18"/>
          <w:szCs w:val="18"/>
          <w:color w:val="auto"/>
        </w:rPr>
        <w:t xml:space="preserve"> means ADS Alliance Data Systems, Inc.</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 xml:space="preserve">2.4 </w:t>
      </w:r>
      <w:r>
        <w:rPr>
          <w:rFonts w:ascii="Times New Roman" w:cs="Times New Roman" w:eastAsia="Times New Roman" w:hAnsi="Times New Roman"/>
          <w:sz w:val="18"/>
          <w:szCs w:val="18"/>
          <w:b w:val="1"/>
          <w:bCs w:val="1"/>
          <w:color w:val="auto"/>
        </w:rPr>
        <w:t>Associate</w:t>
      </w:r>
      <w:r>
        <w:rPr>
          <w:rFonts w:ascii="Times New Roman" w:cs="Times New Roman" w:eastAsia="Times New Roman" w:hAnsi="Times New Roman"/>
          <w:sz w:val="18"/>
          <w:szCs w:val="18"/>
          <w:color w:val="auto"/>
        </w:rPr>
        <w:t xml:space="preserve"> means any person receiving compensation for personal services rendered in the employment of an Employer.</w:t>
      </w:r>
    </w:p>
    <w:p>
      <w:pPr>
        <w:spacing w:after="0" w:line="225" w:lineRule="exact"/>
        <w:rPr>
          <w:sz w:val="20"/>
          <w:szCs w:val="20"/>
          <w:color w:val="auto"/>
        </w:rPr>
      </w:pPr>
    </w:p>
    <w:p>
      <w:pPr>
        <w:ind w:right="80" w:firstLine="351"/>
        <w:spacing w:after="0" w:line="291" w:lineRule="auto"/>
        <w:rPr>
          <w:sz w:val="20"/>
          <w:szCs w:val="20"/>
          <w:color w:val="auto"/>
        </w:rPr>
      </w:pPr>
      <w:r>
        <w:rPr>
          <w:rFonts w:ascii="Times New Roman" w:cs="Times New Roman" w:eastAsia="Times New Roman" w:hAnsi="Times New Roman"/>
          <w:sz w:val="16"/>
          <w:szCs w:val="16"/>
          <w:color w:val="auto"/>
        </w:rPr>
        <w:t xml:space="preserve">2.5 </w:t>
      </w:r>
      <w:r>
        <w:rPr>
          <w:rFonts w:ascii="Times New Roman" w:cs="Times New Roman" w:eastAsia="Times New Roman" w:hAnsi="Times New Roman"/>
          <w:sz w:val="16"/>
          <w:szCs w:val="16"/>
          <w:b w:val="1"/>
          <w:bCs w:val="1"/>
          <w:color w:val="auto"/>
        </w:rPr>
        <w:t>Change in Control</w:t>
      </w:r>
      <w:r>
        <w:rPr>
          <w:rFonts w:ascii="Times New Roman" w:cs="Times New Roman" w:eastAsia="Times New Roman" w:hAnsi="Times New Roman"/>
          <w:sz w:val="16"/>
          <w:szCs w:val="16"/>
          <w:color w:val="auto"/>
        </w:rPr>
        <w:t xml:space="preserve"> means one of the following events: (i) the merger, consolidation or other reorganization of ADSC in which its outstanding common stock, $0.01 par value, is converted into or exchanged for a different class of securities of ADSC, a class of securities of any other issuer (except a direct or indirect wholly owned subsidiary of ADSC), cash, or other property, (ii) the sale, lease or exchange of all or substantially all of the assets of ADSC to any other corporation or entity (except a direct or indirect wholly owned subsidiary of ADSC), (iii) the adoption by the stockholders of ADSC of a plan of liquidation and dissolution, (iv) the acquisition (other than any acquisition pursuant to any other clause of this definition) by any person or entity, including without limitation a "group" as contemplated by Section 13(d)(3) of the Securities Exchange Act of 1934, as amended (whether or not such Act is then applicable to ADSC), of beneficial ownership, as contemplated by such Section, of more than twenty percent (20%) (based on voting power) of ADSC's outstanding capital stock, or</w:t>
      </w:r>
    </w:p>
    <w:p>
      <w:pPr>
        <w:sectPr>
          <w:pgSz w:w="11900" w:h="16838" w:orient="portrait"/>
          <w:cols w:equalWidth="0" w:num="1">
            <w:col w:w="11420"/>
          </w:cols>
          <w:pgMar w:left="240" w:top="355" w:right="239" w:bottom="0" w:gutter="0" w:footer="0" w:header="0"/>
        </w:sectPr>
      </w:pPr>
    </w:p>
    <w:bookmarkStart w:id="72" w:name="page73"/>
    <w:bookmarkEnd w:id="72"/>
    <w:p>
      <w:pPr>
        <w:spacing w:after="0" w:line="108" w:lineRule="exact"/>
        <w:rPr>
          <w:sz w:val="20"/>
          <w:szCs w:val="20"/>
          <w:color w:val="auto"/>
        </w:rPr>
      </w:pPr>
    </w:p>
    <w:p>
      <w:pPr>
        <w:ind w:right="60" w:firstLine="8"/>
        <w:spacing w:after="0" w:line="275" w:lineRule="auto"/>
        <w:tabs>
          <w:tab w:leader="none" w:pos="249"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or in connection with a contested election of directors, the persons who were the directors of ADSC before such election shall cease to constitute a majority of the Board of Directors.</w:t>
      </w:r>
    </w:p>
    <w:p>
      <w:pPr>
        <w:spacing w:after="0" w:line="17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 xml:space="preserve">2.6 </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xml:space="preserve"> means the Internal Revenue Code of 1986, as amended.</w:t>
      </w:r>
    </w:p>
    <w:p>
      <w:pPr>
        <w:spacing w:after="0" w:line="225" w:lineRule="exact"/>
        <w:rPr>
          <w:sz w:val="20"/>
          <w:szCs w:val="20"/>
          <w:color w:val="auto"/>
        </w:rPr>
      </w:pPr>
    </w:p>
    <w:p>
      <w:pPr>
        <w:ind w:right="400" w:firstLine="351"/>
        <w:spacing w:after="0" w:line="277" w:lineRule="auto"/>
        <w:rPr>
          <w:sz w:val="20"/>
          <w:szCs w:val="20"/>
          <w:color w:val="auto"/>
        </w:rPr>
      </w:pPr>
      <w:r>
        <w:rPr>
          <w:rFonts w:ascii="Times New Roman" w:cs="Times New Roman" w:eastAsia="Times New Roman" w:hAnsi="Times New Roman"/>
          <w:sz w:val="18"/>
          <w:szCs w:val="18"/>
          <w:color w:val="auto"/>
        </w:rPr>
        <w:t>2.7 C</w:t>
      </w:r>
      <w:r>
        <w:rPr>
          <w:rFonts w:ascii="Times New Roman" w:cs="Times New Roman" w:eastAsia="Times New Roman" w:hAnsi="Times New Roman"/>
          <w:sz w:val="18"/>
          <w:szCs w:val="18"/>
          <w:b w:val="1"/>
          <w:bCs w:val="1"/>
          <w:color w:val="auto"/>
        </w:rPr>
        <w:t>ode Section 401(a)(17) Limit</w:t>
      </w:r>
      <w:r>
        <w:rPr>
          <w:rFonts w:ascii="Times New Roman" w:cs="Times New Roman" w:eastAsia="Times New Roman" w:hAnsi="Times New Roman"/>
          <w:sz w:val="18"/>
          <w:szCs w:val="18"/>
          <w:color w:val="auto"/>
        </w:rPr>
        <w:t xml:space="preserve"> means the limit imposed under Code section 401(a)(17) on the amount of a Participant's compensation that may be taken into account under the Qualified Plan. This limit is subject to adjustment each year and for 2002 is $200,000.</w:t>
      </w:r>
    </w:p>
    <w:p>
      <w:pPr>
        <w:spacing w:after="0" w:line="170" w:lineRule="exact"/>
        <w:rPr>
          <w:sz w:val="20"/>
          <w:szCs w:val="20"/>
          <w:color w:val="auto"/>
        </w:rPr>
      </w:pPr>
    </w:p>
    <w:p>
      <w:pPr>
        <w:ind w:right="60" w:firstLine="351"/>
        <w:spacing w:after="0" w:line="277" w:lineRule="auto"/>
        <w:rPr>
          <w:sz w:val="20"/>
          <w:szCs w:val="20"/>
          <w:color w:val="auto"/>
        </w:rPr>
      </w:pPr>
      <w:r>
        <w:rPr>
          <w:rFonts w:ascii="Times New Roman" w:cs="Times New Roman" w:eastAsia="Times New Roman" w:hAnsi="Times New Roman"/>
          <w:sz w:val="18"/>
          <w:szCs w:val="18"/>
          <w:color w:val="auto"/>
        </w:rPr>
        <w:t xml:space="preserve">2.8 </w:t>
      </w:r>
      <w:r>
        <w:rPr>
          <w:rFonts w:ascii="Times New Roman" w:cs="Times New Roman" w:eastAsia="Times New Roman" w:hAnsi="Times New Roman"/>
          <w:sz w:val="18"/>
          <w:szCs w:val="18"/>
          <w:b w:val="1"/>
          <w:bCs w:val="1"/>
          <w:color w:val="auto"/>
        </w:rPr>
        <w:t>Code Section 415 Limit</w:t>
      </w:r>
      <w:r>
        <w:rPr>
          <w:rFonts w:ascii="Times New Roman" w:cs="Times New Roman" w:eastAsia="Times New Roman" w:hAnsi="Times New Roman"/>
          <w:sz w:val="18"/>
          <w:szCs w:val="18"/>
          <w:color w:val="auto"/>
        </w:rPr>
        <w:t xml:space="preserve"> means the limit imposed under Code section 415 on the amount that may be contributed with respect to a Participant under the Qualified Plan. This limit is subject to adjustment each year and for 2002 is the lesser of $40,000 or 100% of the Participant's compensation.</w:t>
      </w:r>
    </w:p>
    <w:p>
      <w:pPr>
        <w:spacing w:after="0" w:line="17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 xml:space="preserve">2.9 </w:t>
      </w:r>
      <w:r>
        <w:rPr>
          <w:rFonts w:ascii="Times New Roman" w:cs="Times New Roman" w:eastAsia="Times New Roman" w:hAnsi="Times New Roman"/>
          <w:sz w:val="18"/>
          <w:szCs w:val="18"/>
          <w:b w:val="1"/>
          <w:bCs w:val="1"/>
          <w:color w:val="auto"/>
        </w:rPr>
        <w:t>Committee</w:t>
      </w:r>
      <w:r>
        <w:rPr>
          <w:rFonts w:ascii="Times New Roman" w:cs="Times New Roman" w:eastAsia="Times New Roman" w:hAnsi="Times New Roman"/>
          <w:sz w:val="18"/>
          <w:szCs w:val="18"/>
          <w:color w:val="auto"/>
        </w:rPr>
        <w:t xml:space="preserve"> means the committee appointed pursuant to Section 10.1 to administer the SERP.</w:t>
      </w:r>
    </w:p>
    <w:p>
      <w:pPr>
        <w:spacing w:after="0" w:line="225" w:lineRule="exact"/>
        <w:rPr>
          <w:sz w:val="20"/>
          <w:szCs w:val="20"/>
          <w:color w:val="auto"/>
        </w:rPr>
      </w:pPr>
    </w:p>
    <w:p>
      <w:pPr>
        <w:ind w:right="280" w:firstLine="351"/>
        <w:spacing w:after="0" w:line="277" w:lineRule="auto"/>
        <w:rPr>
          <w:sz w:val="20"/>
          <w:szCs w:val="20"/>
          <w:color w:val="auto"/>
        </w:rPr>
      </w:pPr>
      <w:r>
        <w:rPr>
          <w:rFonts w:ascii="Times New Roman" w:cs="Times New Roman" w:eastAsia="Times New Roman" w:hAnsi="Times New Roman"/>
          <w:sz w:val="18"/>
          <w:szCs w:val="18"/>
          <w:color w:val="auto"/>
        </w:rPr>
        <w:t xml:space="preserve">2.10 </w:t>
      </w:r>
      <w:r>
        <w:rPr>
          <w:rFonts w:ascii="Times New Roman" w:cs="Times New Roman" w:eastAsia="Times New Roman" w:hAnsi="Times New Roman"/>
          <w:sz w:val="18"/>
          <w:szCs w:val="18"/>
          <w:b w:val="1"/>
          <w:bCs w:val="1"/>
          <w:color w:val="auto"/>
        </w:rPr>
        <w:t>Contributory Contributions</w:t>
      </w:r>
      <w:r>
        <w:rPr>
          <w:rFonts w:ascii="Times New Roman" w:cs="Times New Roman" w:eastAsia="Times New Roman" w:hAnsi="Times New Roman"/>
          <w:sz w:val="18"/>
          <w:szCs w:val="18"/>
          <w:color w:val="auto"/>
        </w:rPr>
        <w:t xml:space="preserve"> means both contributions directed by a Participant to the SERP pursuant to Section 4.1 ("Elective Contributions") and contributions made pursuant to Section 4.2 ("Section 415 Contributions").</w:t>
      </w:r>
    </w:p>
    <w:p>
      <w:pPr>
        <w:spacing w:after="0" w:line="170" w:lineRule="exact"/>
        <w:rPr>
          <w:sz w:val="20"/>
          <w:szCs w:val="20"/>
          <w:color w:val="auto"/>
        </w:rPr>
      </w:pPr>
    </w:p>
    <w:p>
      <w:pPr>
        <w:ind w:right="440" w:firstLine="351"/>
        <w:spacing w:after="0" w:line="264" w:lineRule="auto"/>
        <w:rPr>
          <w:sz w:val="20"/>
          <w:szCs w:val="20"/>
          <w:color w:val="auto"/>
        </w:rPr>
      </w:pPr>
      <w:r>
        <w:rPr>
          <w:rFonts w:ascii="Times New Roman" w:cs="Times New Roman" w:eastAsia="Times New Roman" w:hAnsi="Times New Roman"/>
          <w:sz w:val="18"/>
          <w:szCs w:val="18"/>
          <w:color w:val="auto"/>
        </w:rPr>
        <w:t xml:space="preserve">2.11 </w:t>
      </w:r>
      <w:r>
        <w:rPr>
          <w:rFonts w:ascii="Times New Roman" w:cs="Times New Roman" w:eastAsia="Times New Roman" w:hAnsi="Times New Roman"/>
          <w:sz w:val="18"/>
          <w:szCs w:val="18"/>
          <w:b w:val="1"/>
          <w:bCs w:val="1"/>
          <w:color w:val="auto"/>
        </w:rPr>
        <w:t>Deduction Limitation</w:t>
      </w:r>
      <w:r>
        <w:rPr>
          <w:rFonts w:ascii="Times New Roman" w:cs="Times New Roman" w:eastAsia="Times New Roman" w:hAnsi="Times New Roman"/>
          <w:sz w:val="18"/>
          <w:szCs w:val="18"/>
          <w:color w:val="auto"/>
        </w:rPr>
        <w:t xml:space="preserve"> means the following described limitation on a benefit that may otherwise be distributable pursuant to the provisions of this SERP. Except as otherwise provided, this limitation shall be applied to all distributions that are subject to the Deduction Limitation under this SERP. If an Employer determines in good faith prior to a Change in Control that there is a reasonable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123190</wp:posOffset>
            </wp:positionV>
            <wp:extent cx="7250430" cy="21590"/>
            <wp:wrapNone/>
            <wp:docPr id="1348" name="Picture 1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8"/>
                    <pic:cNvPicPr>
                      <a:picLocks noChangeAspect="1" noChangeArrowheads="1"/>
                    </pic:cNvPicPr>
                  </pic:nvPicPr>
                  <pic:blipFill>
                    <a:blip r:embed="rId13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likelihood that any compensation paid to a Participant for a taxable year of the Employer would not be deductible by the Employer solely by reason of the limitation under Code section 162(m), then to the extent deemed necessary by the Employer to ensure that the entire amount of any distribution to the Participant pursuant to this SERP prior to the Change in Control is deductible, the Employer may defer payment of all or any portion of that distribution. Any amounts deferred pursuant to this limitation shall continue to be credited with earnings (or losses), and shall be distributed to the Participant or his or her beneficiary (in the event of the Participant's death) at the earliest possible date, as determined by the Employer in good faith, on which the deductibility of compensation paid to the Participant will not be limited by Code section 162(m), or if earlier, the effective date of a Change in Control. Notwithstanding anything to the contrary, the Deduction Limitation shall not apply to any distributions made after a Change in Control.</w:t>
      </w:r>
    </w:p>
    <w:p>
      <w:pPr>
        <w:spacing w:after="0" w:line="193" w:lineRule="exact"/>
        <w:rPr>
          <w:sz w:val="20"/>
          <w:szCs w:val="20"/>
          <w:color w:val="auto"/>
        </w:rPr>
      </w:pPr>
    </w:p>
    <w:p>
      <w:pPr>
        <w:jc w:val="both"/>
        <w:ind w:firstLine="351"/>
        <w:spacing w:after="0" w:line="297" w:lineRule="auto"/>
        <w:rPr>
          <w:sz w:val="20"/>
          <w:szCs w:val="20"/>
          <w:color w:val="auto"/>
        </w:rPr>
      </w:pPr>
      <w:r>
        <w:rPr>
          <w:rFonts w:ascii="Times New Roman" w:cs="Times New Roman" w:eastAsia="Times New Roman" w:hAnsi="Times New Roman"/>
          <w:sz w:val="16"/>
          <w:szCs w:val="16"/>
          <w:color w:val="auto"/>
        </w:rPr>
        <w:t xml:space="preserve">2.12 </w:t>
      </w:r>
      <w:r>
        <w:rPr>
          <w:rFonts w:ascii="Times New Roman" w:cs="Times New Roman" w:eastAsia="Times New Roman" w:hAnsi="Times New Roman"/>
          <w:sz w:val="16"/>
          <w:szCs w:val="16"/>
          <w:b w:val="1"/>
          <w:bCs w:val="1"/>
          <w:color w:val="auto"/>
        </w:rPr>
        <w:t>Eligible Compensation</w:t>
      </w:r>
      <w:r>
        <w:rPr>
          <w:rFonts w:ascii="Times New Roman" w:cs="Times New Roman" w:eastAsia="Times New Roman" w:hAnsi="Times New Roman"/>
          <w:sz w:val="16"/>
          <w:szCs w:val="16"/>
          <w:color w:val="auto"/>
        </w:rPr>
        <w:t xml:space="preserve"> means base salary or wages, overtime pay, performance based cash incentives, and commissions paid annually to an Associate, increased by the amount of any pre-tax contributions to the Qualified Plan or other benefit plans under section 125 of the Code and by the amount of any Elective Contributions. Excluded from Eligible Compensation are Restorative Contributions, Section 415 Contributions, severance payments, disability payments, workers compensation payments, stock option earnings, restricted stock or other equity-based compensation, referral or sign-on bonuses, service-related cash awards, and gross-up of wages for contest or other earnings. Eligible Compensation in excess of $1 million annually shall not be taken into account under the SERP.</w:t>
      </w:r>
    </w:p>
    <w:p>
      <w:pPr>
        <w:spacing w:after="0" w:line="15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 xml:space="preserve">2.13 </w:t>
      </w:r>
      <w:r>
        <w:rPr>
          <w:rFonts w:ascii="Times New Roman" w:cs="Times New Roman" w:eastAsia="Times New Roman" w:hAnsi="Times New Roman"/>
          <w:sz w:val="18"/>
          <w:szCs w:val="18"/>
          <w:b w:val="1"/>
          <w:bCs w:val="1"/>
          <w:color w:val="auto"/>
        </w:rPr>
        <w:t>Employer</w:t>
      </w:r>
      <w:r>
        <w:rPr>
          <w:rFonts w:ascii="Times New Roman" w:cs="Times New Roman" w:eastAsia="Times New Roman" w:hAnsi="Times New Roman"/>
          <w:sz w:val="18"/>
          <w:szCs w:val="18"/>
          <w:color w:val="auto"/>
        </w:rPr>
        <w:t xml:space="preserve"> means Alliance and any other entity affiliated with ADSC that has adopted the SERP with the approval of the Committee.</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 xml:space="preserve">2.14 </w:t>
      </w:r>
      <w:r>
        <w:rPr>
          <w:rFonts w:ascii="Times New Roman" w:cs="Times New Roman" w:eastAsia="Times New Roman" w:hAnsi="Times New Roman"/>
          <w:sz w:val="18"/>
          <w:szCs w:val="18"/>
          <w:b w:val="1"/>
          <w:bCs w:val="1"/>
          <w:color w:val="auto"/>
        </w:rPr>
        <w:t>ERISA</w:t>
      </w:r>
      <w:r>
        <w:rPr>
          <w:rFonts w:ascii="Times New Roman" w:cs="Times New Roman" w:eastAsia="Times New Roman" w:hAnsi="Times New Roman"/>
          <w:sz w:val="18"/>
          <w:szCs w:val="18"/>
          <w:color w:val="auto"/>
        </w:rPr>
        <w:t xml:space="preserve"> means the Employee Retirement Income Security Act of 1974, as amended.</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 xml:space="preserve">2.15 </w:t>
      </w:r>
      <w:r>
        <w:rPr>
          <w:rFonts w:ascii="Times New Roman" w:cs="Times New Roman" w:eastAsia="Times New Roman" w:hAnsi="Times New Roman"/>
          <w:sz w:val="18"/>
          <w:szCs w:val="18"/>
          <w:b w:val="1"/>
          <w:bCs w:val="1"/>
          <w:color w:val="auto"/>
        </w:rPr>
        <w:t>Incentive Compensation</w:t>
      </w:r>
      <w:r>
        <w:rPr>
          <w:rFonts w:ascii="Times New Roman" w:cs="Times New Roman" w:eastAsia="Times New Roman" w:hAnsi="Times New Roman"/>
          <w:sz w:val="18"/>
          <w:szCs w:val="18"/>
          <w:color w:val="auto"/>
        </w:rPr>
        <w:t xml:space="preserve"> means that portion of a Participant's Eligible Compensation that is paid as an incentive bonus based on performance.</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 xml:space="preserve">2.16 </w:t>
      </w:r>
      <w:r>
        <w:rPr>
          <w:rFonts w:ascii="Times New Roman" w:cs="Times New Roman" w:eastAsia="Times New Roman" w:hAnsi="Times New Roman"/>
          <w:sz w:val="18"/>
          <w:szCs w:val="18"/>
          <w:b w:val="1"/>
          <w:bCs w:val="1"/>
          <w:color w:val="auto"/>
        </w:rPr>
        <w:t>Participant</w:t>
      </w:r>
      <w:r>
        <w:rPr>
          <w:rFonts w:ascii="Times New Roman" w:cs="Times New Roman" w:eastAsia="Times New Roman" w:hAnsi="Times New Roman"/>
          <w:sz w:val="18"/>
          <w:szCs w:val="18"/>
          <w:color w:val="auto"/>
        </w:rPr>
        <w:t xml:space="preserve"> means an Associate who is eligible to participate in the SERP.</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 xml:space="preserve">2.17 </w:t>
      </w:r>
      <w:r>
        <w:rPr>
          <w:rFonts w:ascii="Times New Roman" w:cs="Times New Roman" w:eastAsia="Times New Roman" w:hAnsi="Times New Roman"/>
          <w:sz w:val="18"/>
          <w:szCs w:val="18"/>
          <w:b w:val="1"/>
          <w:bCs w:val="1"/>
          <w:color w:val="auto"/>
        </w:rPr>
        <w:t>Restorative Contribution</w:t>
      </w:r>
      <w:r>
        <w:rPr>
          <w:rFonts w:ascii="Times New Roman" w:cs="Times New Roman" w:eastAsia="Times New Roman" w:hAnsi="Times New Roman"/>
          <w:sz w:val="18"/>
          <w:szCs w:val="18"/>
          <w:color w:val="auto"/>
        </w:rPr>
        <w:t xml:space="preserve"> means a contribution by an Employer pursuant to Section 4.3.</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 xml:space="preserve">2.18 </w:t>
      </w:r>
      <w:r>
        <w:rPr>
          <w:rFonts w:ascii="Times New Roman" w:cs="Times New Roman" w:eastAsia="Times New Roman" w:hAnsi="Times New Roman"/>
          <w:sz w:val="16"/>
          <w:szCs w:val="16"/>
          <w:b w:val="1"/>
          <w:bCs w:val="1"/>
          <w:color w:val="auto"/>
        </w:rPr>
        <w:t>Retirement Contribution</w:t>
      </w:r>
      <w:r>
        <w:rPr>
          <w:rFonts w:ascii="Times New Roman" w:cs="Times New Roman" w:eastAsia="Times New Roman" w:hAnsi="Times New Roman"/>
          <w:sz w:val="16"/>
          <w:szCs w:val="16"/>
          <w:color w:val="auto"/>
        </w:rPr>
        <w:t xml:space="preserve"> means the non-matching contribution made to the Qualified Plan pursuant to its Section 4.5 in effect as of January 1, 2001.</w:t>
      </w:r>
    </w:p>
    <w:p>
      <w:pPr>
        <w:spacing w:after="0" w:line="24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 xml:space="preserve">2.19 </w:t>
      </w:r>
      <w:r>
        <w:rPr>
          <w:rFonts w:ascii="Times New Roman" w:cs="Times New Roman" w:eastAsia="Times New Roman" w:hAnsi="Times New Roman"/>
          <w:sz w:val="18"/>
          <w:szCs w:val="18"/>
          <w:b w:val="1"/>
          <w:bCs w:val="1"/>
          <w:color w:val="auto"/>
        </w:rPr>
        <w:t>Qualified Plan</w:t>
      </w:r>
      <w:r>
        <w:rPr>
          <w:rFonts w:ascii="Times New Roman" w:cs="Times New Roman" w:eastAsia="Times New Roman" w:hAnsi="Times New Roman"/>
          <w:sz w:val="18"/>
          <w:szCs w:val="18"/>
          <w:color w:val="auto"/>
        </w:rPr>
        <w:t xml:space="preserve"> means the Alliance Data Systems 401(k) and Retirement Savings Plan.</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 xml:space="preserve">2.20 </w:t>
      </w:r>
      <w:r>
        <w:rPr>
          <w:rFonts w:ascii="Times New Roman" w:cs="Times New Roman" w:eastAsia="Times New Roman" w:hAnsi="Times New Roman"/>
          <w:sz w:val="18"/>
          <w:szCs w:val="18"/>
          <w:b w:val="1"/>
          <w:bCs w:val="1"/>
          <w:color w:val="auto"/>
        </w:rPr>
        <w:t>Regular Compensation</w:t>
      </w:r>
      <w:r>
        <w:rPr>
          <w:rFonts w:ascii="Times New Roman" w:cs="Times New Roman" w:eastAsia="Times New Roman" w:hAnsi="Times New Roman"/>
          <w:sz w:val="18"/>
          <w:szCs w:val="18"/>
          <w:color w:val="auto"/>
        </w:rPr>
        <w:t xml:space="preserve"> means a Participant's base salary or wages.</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 xml:space="preserve">2.21 </w:t>
      </w:r>
      <w:r>
        <w:rPr>
          <w:rFonts w:ascii="Times New Roman" w:cs="Times New Roman" w:eastAsia="Times New Roman" w:hAnsi="Times New Roman"/>
          <w:sz w:val="18"/>
          <w:szCs w:val="18"/>
          <w:b w:val="1"/>
          <w:bCs w:val="1"/>
          <w:color w:val="auto"/>
        </w:rPr>
        <w:t>SERP</w:t>
      </w:r>
      <w:r>
        <w:rPr>
          <w:rFonts w:ascii="Times New Roman" w:cs="Times New Roman" w:eastAsia="Times New Roman" w:hAnsi="Times New Roman"/>
          <w:sz w:val="18"/>
          <w:szCs w:val="18"/>
          <w:color w:val="auto"/>
        </w:rPr>
        <w:t xml:space="preserve"> means this Alliance Data Systems, Inc. Supplemental Executive Retirement Plan.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III—ELIGIBILITY</w:t>
      </w:r>
    </w:p>
    <w:p>
      <w:pPr>
        <w:spacing w:after="0" w:line="225" w:lineRule="exact"/>
        <w:rPr>
          <w:sz w:val="20"/>
          <w:szCs w:val="20"/>
          <w:color w:val="auto"/>
        </w:rPr>
      </w:pPr>
    </w:p>
    <w:p>
      <w:pPr>
        <w:ind w:right="60" w:firstLine="351"/>
        <w:spacing w:after="0" w:line="264"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b w:val="1"/>
          <w:bCs w:val="1"/>
          <w:color w:val="auto"/>
        </w:rPr>
        <w:t>Eligibility</w:t>
      </w:r>
      <w:r>
        <w:rPr>
          <w:rFonts w:ascii="Times New Roman" w:cs="Times New Roman" w:eastAsia="Times New Roman" w:hAnsi="Times New Roman"/>
          <w:sz w:val="18"/>
          <w:szCs w:val="18"/>
          <w:color w:val="auto"/>
        </w:rPr>
        <w:t>. All full-time Associates who are on the United States payroll of an Employer are eligible to participate in the SERP for a calendar year provided (1) the Associate's Eligible Compensation is at least $170,000 as of December 31st of the previous calendar year, and (2) he or she is a participant in the Qualified Plan.</w:t>
      </w:r>
    </w:p>
    <w:p>
      <w:pPr>
        <w:spacing w:after="0" w:line="181" w:lineRule="exact"/>
        <w:rPr>
          <w:sz w:val="20"/>
          <w:szCs w:val="20"/>
          <w:color w:val="auto"/>
        </w:rPr>
      </w:pPr>
    </w:p>
    <w:p>
      <w:pPr>
        <w:ind w:right="300" w:firstLine="351"/>
        <w:spacing w:after="0" w:line="264"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b w:val="1"/>
          <w:bCs w:val="1"/>
          <w:color w:val="auto"/>
        </w:rPr>
        <w:t>Enrollment Procedure</w:t>
      </w:r>
      <w:r>
        <w:rPr>
          <w:rFonts w:ascii="Times New Roman" w:cs="Times New Roman" w:eastAsia="Times New Roman" w:hAnsi="Times New Roman"/>
          <w:sz w:val="18"/>
          <w:szCs w:val="18"/>
          <w:color w:val="auto"/>
        </w:rPr>
        <w:t>. Each Participant shall be eligible for a Restorative Contribution and a Section 415 Contribution without application. To be eligible for Elective Contributions, a Participant must file an Enrollment Form, a copy of which is attached as Exhibit A, prior to the beginning of the calendar year for which the enrollment is to be effective.</w:t>
      </w:r>
    </w:p>
    <w:p>
      <w:pPr>
        <w:spacing w:after="0" w:line="181" w:lineRule="exact"/>
        <w:rPr>
          <w:sz w:val="20"/>
          <w:szCs w:val="20"/>
          <w:color w:val="auto"/>
        </w:rPr>
      </w:pPr>
    </w:p>
    <w:p>
      <w:pPr>
        <w:ind w:right="240" w:firstLine="351"/>
        <w:spacing w:after="0" w:line="277" w:lineRule="auto"/>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b w:val="1"/>
          <w:bCs w:val="1"/>
          <w:color w:val="auto"/>
        </w:rPr>
        <w:t>Modification</w:t>
      </w:r>
      <w:r>
        <w:rPr>
          <w:rFonts w:ascii="Times New Roman" w:cs="Times New Roman" w:eastAsia="Times New Roman" w:hAnsi="Times New Roman"/>
          <w:sz w:val="18"/>
          <w:szCs w:val="18"/>
          <w:color w:val="auto"/>
        </w:rPr>
        <w:t>. A Participant may terminate an election to make Elective Contributions at any time, but may not decrease or increase the election until the next calendar year. If a Participant elects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49" name="Picture 1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9"/>
                    <pic:cNvPicPr>
                      <a:picLocks noChangeAspect="1" noChangeArrowheads="1"/>
                    </pic:cNvPicPr>
                  </pic:nvPicPr>
                  <pic:blipFill>
                    <a:blip r:embed="rId13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stop during the calendar year, he or she may not resume making Elective Contributions until the next January 1st.</w:t>
      </w:r>
    </w:p>
    <w:p>
      <w:pPr>
        <w:spacing w:after="0" w:line="223" w:lineRule="exact"/>
        <w:rPr>
          <w:sz w:val="20"/>
          <w:szCs w:val="20"/>
          <w:color w:val="auto"/>
        </w:rPr>
      </w:pPr>
    </w:p>
    <w:p>
      <w:pPr>
        <w:ind w:right="100" w:firstLine="351"/>
        <w:spacing w:after="0" w:line="342" w:lineRule="auto"/>
        <w:rPr>
          <w:sz w:val="20"/>
          <w:szCs w:val="20"/>
          <w:color w:val="auto"/>
        </w:rPr>
      </w:pPr>
      <w:r>
        <w:rPr>
          <w:rFonts w:ascii="Times New Roman" w:cs="Times New Roman" w:eastAsia="Times New Roman" w:hAnsi="Times New Roman"/>
          <w:sz w:val="16"/>
          <w:szCs w:val="16"/>
          <w:color w:val="auto"/>
        </w:rPr>
        <w:t xml:space="preserve">3.4 </w:t>
      </w:r>
      <w:r>
        <w:rPr>
          <w:rFonts w:ascii="Times New Roman" w:cs="Times New Roman" w:eastAsia="Times New Roman" w:hAnsi="Times New Roman"/>
          <w:sz w:val="16"/>
          <w:szCs w:val="16"/>
          <w:b w:val="1"/>
          <w:bCs w:val="1"/>
          <w:color w:val="auto"/>
        </w:rPr>
        <w:t>Ineligible Participant</w:t>
      </w:r>
      <w:r>
        <w:rPr>
          <w:rFonts w:ascii="Times New Roman" w:cs="Times New Roman" w:eastAsia="Times New Roman" w:hAnsi="Times New Roman"/>
          <w:sz w:val="16"/>
          <w:szCs w:val="16"/>
          <w:color w:val="auto"/>
        </w:rPr>
        <w:t>. Notwithstanding any other provisions of this SERP, if the Committee believes that any Participant may not qualify as a member of a group of "management or highly compensated employees," as determined in accordance with sections 201(2), 301(a)(3), and 401(a)(l) of ERISA, the</w:t>
      </w:r>
    </w:p>
    <w:p>
      <w:pPr>
        <w:sectPr>
          <w:pgSz w:w="11900" w:h="16946" w:orient="portrait"/>
          <w:cols w:equalWidth="0" w:num="1">
            <w:col w:w="11420"/>
          </w:cols>
          <w:pgMar w:left="240" w:top="125" w:right="239" w:bottom="0" w:gutter="0" w:footer="0" w:header="0"/>
        </w:sectPr>
      </w:pPr>
    </w:p>
    <w:bookmarkStart w:id="73" w:name="page74"/>
    <w:bookmarkEnd w:id="73"/>
    <w:p>
      <w:pPr>
        <w:ind w:right="60"/>
        <w:spacing w:after="0" w:line="262" w:lineRule="auto"/>
        <w:rPr>
          <w:sz w:val="20"/>
          <w:szCs w:val="20"/>
          <w:color w:val="auto"/>
        </w:rPr>
      </w:pPr>
      <w:r>
        <w:rPr>
          <w:rFonts w:ascii="Times New Roman" w:cs="Times New Roman" w:eastAsia="Times New Roman" w:hAnsi="Times New Roman"/>
          <w:sz w:val="18"/>
          <w:szCs w:val="18"/>
          <w:color w:val="auto"/>
        </w:rPr>
        <w:t>Committee in its sole discretion may direct that such Participant shall cease to be eligible to participate in this SERP. Upon such determination, the Employer shall make an immediate lump sum payment to the Participant equal to the amount credited to his or her Account. Upon such payment, no benefit shall thereafter be payable under the SERP either to the Participant or any beneficiary of the Participant.</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IV—CONTRIBUTIONS</w:t>
      </w:r>
    </w:p>
    <w:p>
      <w:pPr>
        <w:spacing w:after="0" w:line="225" w:lineRule="exact"/>
        <w:rPr>
          <w:sz w:val="20"/>
          <w:szCs w:val="20"/>
          <w:color w:val="auto"/>
        </w:rPr>
      </w:pPr>
    </w:p>
    <w:p>
      <w:pPr>
        <w:ind w:right="280" w:firstLine="351"/>
        <w:spacing w:after="0" w:line="264"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b w:val="1"/>
          <w:bCs w:val="1"/>
          <w:color w:val="auto"/>
        </w:rPr>
        <w:t>Elective Contributions.</w:t>
      </w:r>
      <w:r>
        <w:rPr>
          <w:rFonts w:ascii="Times New Roman" w:cs="Times New Roman" w:eastAsia="Times New Roman" w:hAnsi="Times New Roman"/>
          <w:sz w:val="18"/>
          <w:szCs w:val="18"/>
          <w:color w:val="auto"/>
        </w:rPr>
        <w:t xml:space="preserve"> Prior to the beginning of each calendar year, a Participant may direct an Employer to withhold a percentage of Regular Compensation and Incentive Compensation and allocate it to his or her Account. The Participant may select any whole number percentage up to fifty (50) and allocate that percentage, in any whole numbers including zero, between Incentive Compensation and Regular Compensation.</w:t>
      </w:r>
    </w:p>
    <w:p>
      <w:pPr>
        <w:spacing w:after="0" w:line="181" w:lineRule="exact"/>
        <w:rPr>
          <w:sz w:val="20"/>
          <w:szCs w:val="20"/>
          <w:color w:val="auto"/>
        </w:rPr>
      </w:pPr>
    </w:p>
    <w:p>
      <w:pPr>
        <w:jc w:val="both"/>
        <w:ind w:right="320" w:firstLine="351"/>
        <w:spacing w:after="0" w:line="264"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b w:val="1"/>
          <w:bCs w:val="1"/>
          <w:color w:val="auto"/>
        </w:rPr>
        <w:t>Section 415 Contributions.</w:t>
      </w:r>
      <w:r>
        <w:rPr>
          <w:rFonts w:ascii="Times New Roman" w:cs="Times New Roman" w:eastAsia="Times New Roman" w:hAnsi="Times New Roman"/>
          <w:sz w:val="18"/>
          <w:szCs w:val="18"/>
          <w:color w:val="auto"/>
        </w:rPr>
        <w:t xml:space="preserve"> Whether or not a Participant elects to make Elective Contributions, the Employer shall allocate to each Participant any contributions to the Qualified Plan that would otherwise have been returned to the Participant on account of the Code Section 415 Limit, except that any such amount that is attributable to after-tax contributions shall be returned to the Participant in cash.</w:t>
      </w:r>
    </w:p>
    <w:p>
      <w:pPr>
        <w:spacing w:after="0" w:line="181" w:lineRule="exact"/>
        <w:rPr>
          <w:sz w:val="20"/>
          <w:szCs w:val="20"/>
          <w:color w:val="auto"/>
        </w:rPr>
      </w:pPr>
    </w:p>
    <w:p>
      <w:pPr>
        <w:ind w:right="100" w:firstLine="351"/>
        <w:spacing w:after="0" w:line="264"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b w:val="1"/>
          <w:bCs w:val="1"/>
          <w:color w:val="auto"/>
        </w:rPr>
        <w:t>Restorative Contributions.</w:t>
      </w:r>
      <w:r>
        <w:rPr>
          <w:rFonts w:ascii="Times New Roman" w:cs="Times New Roman" w:eastAsia="Times New Roman" w:hAnsi="Times New Roman"/>
          <w:sz w:val="18"/>
          <w:szCs w:val="18"/>
          <w:color w:val="auto"/>
        </w:rPr>
        <w:t xml:space="preserve"> Whether or not a Participant elects to make Elective Contributions, the Employer shall allocate to each Participant an amount equal to the amount of the Retirement Contribution, if any, that the Employer could not make to such Participant under the Qualified Plan because of the Code Section 401(a)(17) Limit, reduced, if necessary, to take into account the $1 million limit on Includible Compensation.</w:t>
      </w:r>
    </w:p>
    <w:p>
      <w:pPr>
        <w:spacing w:after="0" w:line="181" w:lineRule="exact"/>
        <w:rPr>
          <w:sz w:val="20"/>
          <w:szCs w:val="20"/>
          <w:color w:val="auto"/>
        </w:rPr>
      </w:pPr>
    </w:p>
    <w:p>
      <w:pPr>
        <w:ind w:right="100" w:firstLine="351"/>
        <w:spacing w:after="0" w:line="259"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b w:val="1"/>
          <w:bCs w:val="1"/>
          <w:color w:val="auto"/>
        </w:rPr>
        <w:t>Crediting Contributions.</w:t>
      </w:r>
      <w:r>
        <w:rPr>
          <w:rFonts w:ascii="Times New Roman" w:cs="Times New Roman" w:eastAsia="Times New Roman" w:hAnsi="Times New Roman"/>
          <w:sz w:val="18"/>
          <w:szCs w:val="18"/>
          <w:color w:val="auto"/>
        </w:rPr>
        <w:t xml:space="preserve"> The amount of Eligible Compensation that a Participant elects to defer pursuant to Section 4.1 shall be credited to the Participant's Account as of the date such Compensation would otherwise become payable to the Participant. Section 415 Contributions shall be credited as of the date distributed from the Qualified Plan. Restorative Contributions shall be credited as of the date such contributions would otherwise have been made under the Qualified Plan.</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V—LEAVE OF ABSENCE</w:t>
      </w:r>
    </w:p>
    <w:p>
      <w:pPr>
        <w:spacing w:after="0" w:line="225" w:lineRule="exact"/>
        <w:rPr>
          <w:sz w:val="20"/>
          <w:szCs w:val="20"/>
          <w:color w:val="auto"/>
        </w:rPr>
      </w:pPr>
    </w:p>
    <w:p>
      <w:pPr>
        <w:jc w:val="both"/>
        <w:ind w:firstLine="351"/>
        <w:spacing w:after="0" w:line="264"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b w:val="1"/>
          <w:bCs w:val="1"/>
          <w:color w:val="auto"/>
        </w:rPr>
        <w:t>Paid Leave of Absence.</w:t>
      </w:r>
      <w:r>
        <w:rPr>
          <w:rFonts w:ascii="Times New Roman" w:cs="Times New Roman" w:eastAsia="Times New Roman" w:hAnsi="Times New Roman"/>
          <w:sz w:val="18"/>
          <w:szCs w:val="18"/>
          <w:color w:val="auto"/>
        </w:rPr>
        <w:t xml:space="preserve"> If a Participant is authorized by an Employer for any reason to take a paid leave of absence, the Participant shall continue to be considered employed by the Employer. Contributory Contributions shall continue during such paid leave of absence, and the Participant shall remain eligible for a Restorative Contribution.</w:t>
      </w:r>
    </w:p>
    <w:p>
      <w:pPr>
        <w:spacing w:after="0" w:line="181" w:lineRule="exact"/>
        <w:rPr>
          <w:sz w:val="20"/>
          <w:szCs w:val="20"/>
          <w:color w:val="auto"/>
        </w:rPr>
      </w:pPr>
    </w:p>
    <w:p>
      <w:pPr>
        <w:ind w:right="300" w:firstLine="351"/>
        <w:spacing w:after="0" w:line="259"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b w:val="1"/>
          <w:bCs w:val="1"/>
          <w:color w:val="auto"/>
        </w:rPr>
        <w:t>Unpaid Leave of Absence.</w:t>
      </w:r>
      <w:r>
        <w:rPr>
          <w:rFonts w:ascii="Times New Roman" w:cs="Times New Roman" w:eastAsia="Times New Roman" w:hAnsi="Times New Roman"/>
          <w:sz w:val="18"/>
          <w:szCs w:val="18"/>
          <w:color w:val="auto"/>
        </w:rPr>
        <w:t xml:space="preserve"> If a Participant is authorized by the Employer for any reason to take an unpaid leave of absence, the Participant shall continue to be considered employed by the Employer, but may not make Elective Contributions until the earlier of the date the leave of absence expires or the Participant returns to a paid employment status. Upon such expiration or return, Elective Contributions shall resume. The Participant shall remain eligible for Restorative Contributions and Section 415 Contributions.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50" name="Picture 1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0"/>
                    <pic:cNvPicPr>
                      <a:picLocks noChangeAspect="1" noChangeArrowheads="1"/>
                    </pic:cNvPicPr>
                  </pic:nvPicPr>
                  <pic:blipFill>
                    <a:blip r:embed="rId13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VI—VESTING</w:t>
      </w:r>
    </w:p>
    <w:p>
      <w:pPr>
        <w:spacing w:after="0" w:line="225" w:lineRule="exact"/>
        <w:rPr>
          <w:sz w:val="20"/>
          <w:szCs w:val="20"/>
          <w:color w:val="auto"/>
        </w:rPr>
      </w:pPr>
    </w:p>
    <w:p>
      <w:pPr>
        <w:jc w:val="both"/>
        <w:ind w:right="160" w:firstLine="351"/>
        <w:spacing w:after="0" w:line="257"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b w:val="1"/>
          <w:bCs w:val="1"/>
          <w:color w:val="auto"/>
        </w:rPr>
        <w:t>Vesting</w:t>
      </w:r>
      <w:r>
        <w:rPr>
          <w:rFonts w:ascii="Times New Roman" w:cs="Times New Roman" w:eastAsia="Times New Roman" w:hAnsi="Times New Roman"/>
          <w:sz w:val="18"/>
          <w:szCs w:val="18"/>
          <w:color w:val="auto"/>
        </w:rPr>
        <w:t>. Participants are always 100% vested in their Contributory Contributions and the earnings on these contributions. Participants shall vest in the Restorative Contributions in accordance with the vesting schedule and rules applicable to Retirement Contributions. If a Participant terminates employment and receives a payout of his vested Account at a time when the Account is not fully vested, the Participant will forfeit the nonvested portion of the Account; and the forfeiture shall not be restored for any reason, including a subsequent reemployment. Forfeitures shall be used to offset future Restorative Contributions. Upon termination of the SERP, unallocated forfeitures shall be returned to the Employer.</w:t>
      </w:r>
    </w:p>
    <w:p>
      <w:pPr>
        <w:spacing w:after="0" w:line="188" w:lineRule="exact"/>
        <w:rPr>
          <w:sz w:val="20"/>
          <w:szCs w:val="20"/>
          <w:color w:val="auto"/>
        </w:rPr>
      </w:pPr>
    </w:p>
    <w:p>
      <w:pPr>
        <w:ind w:right="480" w:firstLine="351"/>
        <w:spacing w:after="0" w:line="277"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b w:val="1"/>
          <w:bCs w:val="1"/>
          <w:color w:val="auto"/>
        </w:rPr>
        <w:t>Change of Control</w:t>
      </w:r>
      <w:r>
        <w:rPr>
          <w:rFonts w:ascii="Times New Roman" w:cs="Times New Roman" w:eastAsia="Times New Roman" w:hAnsi="Times New Roman"/>
          <w:sz w:val="18"/>
          <w:szCs w:val="18"/>
          <w:color w:val="auto"/>
        </w:rPr>
        <w:t>. In the event of a Change of Control, all Participants shall be 100% vested in their Restorative Contributions, notwithstanding Section 6.1.</w:t>
      </w:r>
    </w:p>
    <w:p>
      <w:pPr>
        <w:spacing w:after="0" w:line="1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VII—FUNDING AND INVESTMENT</w:t>
      </w:r>
    </w:p>
    <w:p>
      <w:pPr>
        <w:spacing w:after="0" w:line="225" w:lineRule="exact"/>
        <w:rPr>
          <w:sz w:val="20"/>
          <w:szCs w:val="20"/>
          <w:color w:val="auto"/>
        </w:rPr>
      </w:pPr>
    </w:p>
    <w:p>
      <w:pPr>
        <w:ind w:firstLine="351"/>
        <w:spacing w:after="0" w:line="264" w:lineRule="auto"/>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b w:val="1"/>
          <w:bCs w:val="1"/>
          <w:color w:val="auto"/>
        </w:rPr>
        <w:t>Unfunded Plan.</w:t>
      </w:r>
      <w:r>
        <w:rPr>
          <w:rFonts w:ascii="Times New Roman" w:cs="Times New Roman" w:eastAsia="Times New Roman" w:hAnsi="Times New Roman"/>
          <w:sz w:val="18"/>
          <w:szCs w:val="18"/>
          <w:color w:val="auto"/>
        </w:rPr>
        <w:t xml:space="preserve"> Neither Contributory Contributions nor Restorative Contributions shall be set aside in a trust or otherwise funded. Any assets of an Employer available to pay SERP benefits shall be subject to the claims of the Employer's general unsecured creditors and may be used by the Employer in its sole discretion for any purpose. Any payments made to Participants under the SERP will be made from the general assets of the Employer.</w:t>
      </w:r>
    </w:p>
    <w:p>
      <w:pPr>
        <w:spacing w:after="0" w:line="181" w:lineRule="exact"/>
        <w:rPr>
          <w:sz w:val="20"/>
          <w:szCs w:val="20"/>
          <w:color w:val="auto"/>
        </w:rPr>
      </w:pPr>
    </w:p>
    <w:p>
      <w:pPr>
        <w:ind w:right="280" w:firstLine="351"/>
        <w:spacing w:after="0" w:line="264" w:lineRule="auto"/>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b w:val="1"/>
          <w:bCs w:val="1"/>
          <w:color w:val="auto"/>
        </w:rPr>
        <w:t>Change of Control.</w:t>
      </w:r>
      <w:r>
        <w:rPr>
          <w:rFonts w:ascii="Times New Roman" w:cs="Times New Roman" w:eastAsia="Times New Roman" w:hAnsi="Times New Roman"/>
          <w:sz w:val="18"/>
          <w:szCs w:val="18"/>
          <w:color w:val="auto"/>
        </w:rPr>
        <w:t xml:space="preserve"> In the event of a Change of Control, ADSC will establish the type or trust known as a "rabbi trust," to which will be contributed sufficient assets to fully fund all Accounts. All assets in the rabbi trust will remain subject to the claims of the Employer's creditors, and a Participant will continue to have the status of an unsecured creditor with respect to the Employer's obligation to make benefit payments.</w:t>
      </w:r>
    </w:p>
    <w:p>
      <w:pPr>
        <w:spacing w:after="0" w:line="181" w:lineRule="exact"/>
        <w:rPr>
          <w:sz w:val="20"/>
          <w:szCs w:val="20"/>
          <w:color w:val="auto"/>
        </w:rPr>
      </w:pPr>
    </w:p>
    <w:p>
      <w:pPr>
        <w:ind w:firstLine="351"/>
        <w:spacing w:after="0" w:line="255" w:lineRule="auto"/>
        <w:rPr>
          <w:sz w:val="20"/>
          <w:szCs w:val="20"/>
          <w:color w:val="auto"/>
        </w:rPr>
      </w:pPr>
      <w:r>
        <w:rPr>
          <w:rFonts w:ascii="Times New Roman" w:cs="Times New Roman" w:eastAsia="Times New Roman" w:hAnsi="Times New Roman"/>
          <w:sz w:val="18"/>
          <w:szCs w:val="18"/>
          <w:color w:val="auto"/>
        </w:rPr>
        <w:t xml:space="preserve">7.3 </w:t>
      </w:r>
      <w:r>
        <w:rPr>
          <w:rFonts w:ascii="Times New Roman" w:cs="Times New Roman" w:eastAsia="Times New Roman" w:hAnsi="Times New Roman"/>
          <w:sz w:val="18"/>
          <w:szCs w:val="18"/>
          <w:b w:val="1"/>
          <w:bCs w:val="1"/>
          <w:color w:val="auto"/>
        </w:rPr>
        <w:t>Investment of Accounts.</w:t>
      </w:r>
      <w:r>
        <w:rPr>
          <w:rFonts w:ascii="Times New Roman" w:cs="Times New Roman" w:eastAsia="Times New Roman" w:hAnsi="Times New Roman"/>
          <w:sz w:val="18"/>
          <w:szCs w:val="18"/>
          <w:color w:val="auto"/>
        </w:rPr>
        <w:t xml:space="preserve"> As of the effective date of this restated SERP, Contributory and Restorative Contributions are credited with interest at a rate of 8% a year, compounded quarterly. The applicable interest rate was established by ADSC and shall be adjusted periodically at the sole discretion of the Committee. The Committee may, in its sole discretion, direct that the Employer invest the amount credited to an Account, in whole or in part, in such property (real, personal, tangible or intangible), as the Committee may select (collectively the "Investments"), or may direct that the Employer retain the amount credited as cash to be added to its general assets. The Employer shall be the sole owner and beneficiary of all Investments, and all contracts and other evidences of the Investments shall be registered in the name of the Employer.</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VIII—DISTRIBUTION OF BENEFITS</w:t>
      </w:r>
    </w:p>
    <w:p>
      <w:pPr>
        <w:spacing w:after="0" w:line="225" w:lineRule="exact"/>
        <w:rPr>
          <w:sz w:val="20"/>
          <w:szCs w:val="20"/>
          <w:color w:val="auto"/>
        </w:rPr>
      </w:pPr>
    </w:p>
    <w:p>
      <w:pPr>
        <w:ind w:right="140" w:firstLine="351"/>
        <w:spacing w:after="0" w:line="255" w:lineRule="auto"/>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b w:val="1"/>
          <w:bCs w:val="1"/>
          <w:color w:val="auto"/>
        </w:rPr>
        <w:t>In-Service Distributions</w:t>
      </w:r>
      <w:r>
        <w:rPr>
          <w:rFonts w:ascii="Times New Roman" w:cs="Times New Roman" w:eastAsia="Times New Roman" w:hAnsi="Times New Roman"/>
          <w:sz w:val="18"/>
          <w:szCs w:val="18"/>
          <w:color w:val="auto"/>
        </w:rPr>
        <w:t>. A Participant who is actively employed by an Employer generally may not withdraw or otherwise access any amounts credited to an Account. For example, loans are not permitted. However, amounts may be withdrawn in the event of an "unforeseeable financial emergency," which is an unanticipated emergency that is caused by an event beyond the control of the Participant or beneficiary and that would result in severe financial hardship to the individual if early withdrawal were not permitted. Any such early withdrawal must be approved by the Committee and must be limited to an amount necessary to meet the emergency. If the Committee or its delegate approves a distribution on this basis, the distribution shall be made as soon as practicable thereafter; and the Participant's right to make Elective Contributions shall be suspended until the first of the month following 6 months from the date funds are distributed.</w:t>
      </w:r>
    </w:p>
    <w:p>
      <w:pPr>
        <w:sectPr>
          <w:pgSz w:w="11900" w:h="16838" w:orient="portrait"/>
          <w:cols w:equalWidth="0" w:num="1">
            <w:col w:w="11400"/>
          </w:cols>
          <w:pgMar w:left="240" w:top="125" w:right="259" w:bottom="0" w:gutter="0" w:footer="0" w:header="0"/>
        </w:sectPr>
      </w:pPr>
    </w:p>
    <w:bookmarkStart w:id="74" w:name="page75"/>
    <w:bookmarkEnd w:id="74"/>
    <w:p>
      <w:pPr>
        <w:ind w:right="180" w:firstLine="351"/>
        <w:spacing w:after="0" w:line="277" w:lineRule="auto"/>
        <w:rPr>
          <w:sz w:val="20"/>
          <w:szCs w:val="20"/>
          <w:color w:val="auto"/>
        </w:rPr>
      </w:pPr>
      <w:r>
        <w:rPr>
          <w:rFonts w:ascii="Times New Roman" w:cs="Times New Roman" w:eastAsia="Times New Roman" w:hAnsi="Times New Roman"/>
          <w:sz w:val="18"/>
          <w:szCs w:val="18"/>
          <w:color w:val="auto"/>
        </w:rPr>
        <w:t xml:space="preserve">8.2 </w:t>
      </w:r>
      <w:r>
        <w:rPr>
          <w:rFonts w:ascii="Times New Roman" w:cs="Times New Roman" w:eastAsia="Times New Roman" w:hAnsi="Times New Roman"/>
          <w:sz w:val="18"/>
          <w:szCs w:val="18"/>
          <w:b w:val="1"/>
          <w:bCs w:val="1"/>
          <w:color w:val="auto"/>
        </w:rPr>
        <w:t>Retirement Distributions</w:t>
      </w:r>
      <w:r>
        <w:rPr>
          <w:rFonts w:ascii="Times New Roman" w:cs="Times New Roman" w:eastAsia="Times New Roman" w:hAnsi="Times New Roman"/>
          <w:sz w:val="18"/>
          <w:szCs w:val="18"/>
          <w:color w:val="auto"/>
        </w:rPr>
        <w:t>. If a Participant ceases to be actively employed by an Employer, retires, or becomes totally disabled (under the terms of the long-term disability plan and as determined by the Employer's disability carrier at the time of distribution), the value of the Participant's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51" name="Picture 1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1"/>
                    <pic:cNvPicPr>
                      <a:picLocks noChangeAspect="1" noChangeArrowheads="1"/>
                    </pic:cNvPicPr>
                  </pic:nvPicPr>
                  <pic:blipFill>
                    <a:blip r:embed="rId13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Contributory Contributions, the vested portion of the Restorative Contributions, and any accrued interest thereon will be distributed. For this purpose an individual who is receiving severance payments from an Employer as part of a separation agreement shall be considered to have ceased to be actively employed by the Employer. Payments will be made within sixty (60) days of the end of the quarter in which the Participant becomes eligible for a distribution. All benefits will be paid in one (1) lump-sum payment, subject to applicable withholding and the Deduction Limitation.</w:t>
      </w:r>
    </w:p>
    <w:p>
      <w:pPr>
        <w:spacing w:after="0" w:line="188" w:lineRule="exact"/>
        <w:rPr>
          <w:sz w:val="20"/>
          <w:szCs w:val="20"/>
          <w:color w:val="auto"/>
        </w:rPr>
      </w:pPr>
    </w:p>
    <w:p>
      <w:pPr>
        <w:ind w:right="140" w:firstLine="351"/>
        <w:spacing w:after="0" w:line="277" w:lineRule="auto"/>
        <w:rPr>
          <w:sz w:val="20"/>
          <w:szCs w:val="20"/>
          <w:color w:val="auto"/>
        </w:rPr>
      </w:pPr>
      <w:r>
        <w:rPr>
          <w:rFonts w:ascii="Times New Roman" w:cs="Times New Roman" w:eastAsia="Times New Roman" w:hAnsi="Times New Roman"/>
          <w:sz w:val="18"/>
          <w:szCs w:val="18"/>
          <w:color w:val="auto"/>
        </w:rPr>
        <w:t xml:space="preserve">8.3 </w:t>
      </w:r>
      <w:r>
        <w:rPr>
          <w:rFonts w:ascii="Times New Roman" w:cs="Times New Roman" w:eastAsia="Times New Roman" w:hAnsi="Times New Roman"/>
          <w:sz w:val="18"/>
          <w:szCs w:val="18"/>
          <w:b w:val="1"/>
          <w:bCs w:val="1"/>
          <w:color w:val="auto"/>
        </w:rPr>
        <w:t>Death Benefits</w:t>
      </w:r>
      <w:r>
        <w:rPr>
          <w:rFonts w:ascii="Times New Roman" w:cs="Times New Roman" w:eastAsia="Times New Roman" w:hAnsi="Times New Roman"/>
          <w:sz w:val="18"/>
          <w:szCs w:val="18"/>
          <w:color w:val="auto"/>
        </w:rPr>
        <w:t>. Any vested, undistributed amount credited to a Participant's Account on the date he or she dies shall be distributed in one lump sum to the Participant's designated beneficiary. If no valid beneficiary designation is on file, benefits will be paid to the Participant's estate.</w:t>
      </w:r>
    </w:p>
    <w:p>
      <w:pPr>
        <w:spacing w:after="0" w:line="170" w:lineRule="exact"/>
        <w:rPr>
          <w:sz w:val="20"/>
          <w:szCs w:val="20"/>
          <w:color w:val="auto"/>
        </w:rPr>
      </w:pPr>
    </w:p>
    <w:p>
      <w:pPr>
        <w:ind w:right="20" w:firstLine="351"/>
        <w:spacing w:after="0" w:line="255" w:lineRule="auto"/>
        <w:rPr>
          <w:sz w:val="20"/>
          <w:szCs w:val="20"/>
          <w:color w:val="auto"/>
        </w:rPr>
      </w:pPr>
      <w:r>
        <w:rPr>
          <w:rFonts w:ascii="Times New Roman" w:cs="Times New Roman" w:eastAsia="Times New Roman" w:hAnsi="Times New Roman"/>
          <w:sz w:val="18"/>
          <w:szCs w:val="18"/>
          <w:color w:val="auto"/>
        </w:rPr>
        <w:t xml:space="preserve">8.4 </w:t>
      </w:r>
      <w:r>
        <w:rPr>
          <w:rFonts w:ascii="Times New Roman" w:cs="Times New Roman" w:eastAsia="Times New Roman" w:hAnsi="Times New Roman"/>
          <w:sz w:val="18"/>
          <w:szCs w:val="18"/>
          <w:b w:val="1"/>
          <w:bCs w:val="1"/>
          <w:color w:val="auto"/>
        </w:rPr>
        <w:t>Distribution in the Event of Taxation.</w:t>
      </w:r>
      <w:r>
        <w:rPr>
          <w:rFonts w:ascii="Times New Roman" w:cs="Times New Roman" w:eastAsia="Times New Roman" w:hAnsi="Times New Roman"/>
          <w:sz w:val="18"/>
          <w:szCs w:val="18"/>
          <w:color w:val="auto"/>
        </w:rPr>
        <w:t xml:space="preserve"> If, for any reason, all or any portion of a Participant's benefits under this SERP becomes taxable to the Participant prior to receipt, a Participant may petition the Committee for a distribution of that portion of his or her benefit that has become taxable. Upon the grant of such a petition, which grant shall not be unreasonably withheld (and, after a Change in Control, shall be granted), the Committee shall cause to be distributed to the Participant funds in an amount equal to the taxable portion of his or her benefit (which amount shall not exceed the existing balance in a Participant's Account). If the petition is granted, the tax liability distribution shall be made within 90 days of the date when the Participant's petition is granted and shall reduce any subsequent benefits paid under this SERP.</w:t>
      </w:r>
    </w:p>
    <w:p>
      <w:pPr>
        <w:spacing w:after="0" w:line="193" w:lineRule="exact"/>
        <w:rPr>
          <w:sz w:val="20"/>
          <w:szCs w:val="20"/>
          <w:color w:val="auto"/>
        </w:rPr>
      </w:pPr>
    </w:p>
    <w:p>
      <w:pPr>
        <w:ind w:right="60" w:firstLine="351"/>
        <w:spacing w:after="0" w:line="257" w:lineRule="auto"/>
        <w:rPr>
          <w:sz w:val="20"/>
          <w:szCs w:val="20"/>
          <w:color w:val="auto"/>
        </w:rPr>
      </w:pPr>
      <w:r>
        <w:rPr>
          <w:rFonts w:ascii="Times New Roman" w:cs="Times New Roman" w:eastAsia="Times New Roman" w:hAnsi="Times New Roman"/>
          <w:sz w:val="18"/>
          <w:szCs w:val="18"/>
          <w:color w:val="auto"/>
        </w:rPr>
        <w:t xml:space="preserve">8.5 </w:t>
      </w:r>
      <w:r>
        <w:rPr>
          <w:rFonts w:ascii="Times New Roman" w:cs="Times New Roman" w:eastAsia="Times New Roman" w:hAnsi="Times New Roman"/>
          <w:sz w:val="18"/>
          <w:szCs w:val="18"/>
          <w:b w:val="1"/>
          <w:bCs w:val="1"/>
          <w:color w:val="auto"/>
        </w:rPr>
        <w:t>Withholding</w:t>
      </w:r>
      <w:r>
        <w:rPr>
          <w:rFonts w:ascii="Times New Roman" w:cs="Times New Roman" w:eastAsia="Times New Roman" w:hAnsi="Times New Roman"/>
          <w:sz w:val="18"/>
          <w:szCs w:val="18"/>
          <w:color w:val="auto"/>
        </w:rPr>
        <w:t>. If the Employer believes it is required to withhold and pay over any taxes or other amounts from a Participant's Eligible Compensation pursuant to any state, federal, or local law, such amounts shall, to the extent possible, be withheld from the Participant's Eligible Compensation before such amounts are credited under the SERP. Any additional withholding amount required shall be paid by the Participant to the Employer as a condition to the crediting of any contributions to the Participant's Account. The Employer shall withhold any required state, federal, or local taxes or other amounts from any benefits payable to a Participant or beneficiary.</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IX—AMENDMENT AND TERMINATION</w:t>
      </w:r>
    </w:p>
    <w:p>
      <w:pPr>
        <w:spacing w:after="0" w:line="225" w:lineRule="exact"/>
        <w:rPr>
          <w:sz w:val="20"/>
          <w:szCs w:val="20"/>
          <w:color w:val="auto"/>
        </w:rPr>
      </w:pPr>
    </w:p>
    <w:p>
      <w:pPr>
        <w:ind w:right="40" w:firstLine="351"/>
        <w:spacing w:after="0" w:line="259" w:lineRule="auto"/>
        <w:rPr>
          <w:sz w:val="20"/>
          <w:szCs w:val="20"/>
          <w:color w:val="auto"/>
        </w:rPr>
      </w:pPr>
      <w:r>
        <w:rPr>
          <w:rFonts w:ascii="Times New Roman" w:cs="Times New Roman" w:eastAsia="Times New Roman" w:hAnsi="Times New Roman"/>
          <w:sz w:val="18"/>
          <w:szCs w:val="18"/>
          <w:color w:val="auto"/>
        </w:rPr>
        <w:t xml:space="preserve">9.1 </w:t>
      </w:r>
      <w:r>
        <w:rPr>
          <w:rFonts w:ascii="Times New Roman" w:cs="Times New Roman" w:eastAsia="Times New Roman" w:hAnsi="Times New Roman"/>
          <w:sz w:val="18"/>
          <w:szCs w:val="18"/>
          <w:b w:val="1"/>
          <w:bCs w:val="1"/>
          <w:color w:val="auto"/>
        </w:rPr>
        <w:t>Amendment.</w:t>
      </w:r>
      <w:r>
        <w:rPr>
          <w:rFonts w:ascii="Times New Roman" w:cs="Times New Roman" w:eastAsia="Times New Roman" w:hAnsi="Times New Roman"/>
          <w:sz w:val="18"/>
          <w:szCs w:val="18"/>
          <w:color w:val="auto"/>
        </w:rPr>
        <w:t xml:space="preserve"> ADSC may at any time amend, suspend, or reinstate any or all of the provisions of the SERP, except that no such amendment, suspension, or reinstatement may adversely affect the vested portion of any Participant's Account as it existed as of the effective date of such amendment, suspension, or reinstatement, without such Participant's prior written consent. Written notice of any amendment or other action with respect to the SERP shall be given to each Participant.</w:t>
      </w:r>
    </w:p>
    <w:p>
      <w:pPr>
        <w:spacing w:after="0" w:line="187" w:lineRule="exact"/>
        <w:rPr>
          <w:sz w:val="20"/>
          <w:szCs w:val="20"/>
          <w:color w:val="auto"/>
        </w:rPr>
      </w:pPr>
    </w:p>
    <w:p>
      <w:pPr>
        <w:ind w:firstLine="351"/>
        <w:spacing w:after="0" w:line="264" w:lineRule="auto"/>
        <w:rPr>
          <w:sz w:val="20"/>
          <w:szCs w:val="20"/>
          <w:color w:val="auto"/>
        </w:rPr>
      </w:pPr>
      <w:r>
        <w:rPr>
          <w:rFonts w:ascii="Times New Roman" w:cs="Times New Roman" w:eastAsia="Times New Roman" w:hAnsi="Times New Roman"/>
          <w:sz w:val="18"/>
          <w:szCs w:val="18"/>
          <w:color w:val="auto"/>
        </w:rPr>
        <w:t xml:space="preserve">9.2 </w:t>
      </w:r>
      <w:r>
        <w:rPr>
          <w:rFonts w:ascii="Times New Roman" w:cs="Times New Roman" w:eastAsia="Times New Roman" w:hAnsi="Times New Roman"/>
          <w:sz w:val="18"/>
          <w:szCs w:val="18"/>
          <w:b w:val="1"/>
          <w:bCs w:val="1"/>
          <w:color w:val="auto"/>
        </w:rPr>
        <w:t>Termination.</w:t>
      </w:r>
      <w:r>
        <w:rPr>
          <w:rFonts w:ascii="Times New Roman" w:cs="Times New Roman" w:eastAsia="Times New Roman" w:hAnsi="Times New Roman"/>
          <w:sz w:val="18"/>
          <w:szCs w:val="18"/>
          <w:color w:val="auto"/>
        </w:rPr>
        <w:t xml:space="preserve"> ADSC, in its sole discretion, may terminate this SERP at any time and for any reason whatsoever. Upon termination of the SERP, the Committee shall cause to be distributed to each Participant as soon as practicable the entire value of the vested portion of his or her Account. The Committee shall take such actions as it deems appropriate, in its sole discretion, to administer any Accounts existing prior to such termination distributions.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X—ADMINISTRATION</w:t>
      </w:r>
    </w:p>
    <w:p>
      <w:pPr>
        <w:spacing w:after="0" w:line="225" w:lineRule="exact"/>
        <w:rPr>
          <w:sz w:val="20"/>
          <w:szCs w:val="20"/>
          <w:color w:val="auto"/>
        </w:rPr>
      </w:pPr>
    </w:p>
    <w:p>
      <w:pPr>
        <w:ind w:right="140" w:firstLine="351"/>
        <w:spacing w:after="0" w:line="259" w:lineRule="auto"/>
        <w:rPr>
          <w:sz w:val="20"/>
          <w:szCs w:val="20"/>
          <w:color w:val="auto"/>
        </w:rPr>
      </w:pPr>
      <w:r>
        <w:rPr>
          <w:rFonts w:ascii="Times New Roman" w:cs="Times New Roman" w:eastAsia="Times New Roman" w:hAnsi="Times New Roman"/>
          <w:sz w:val="18"/>
          <w:szCs w:val="18"/>
          <w:color w:val="auto"/>
        </w:rPr>
        <w:t xml:space="preserve">10.1 </w:t>
      </w:r>
      <w:r>
        <w:rPr>
          <w:rFonts w:ascii="Times New Roman" w:cs="Times New Roman" w:eastAsia="Times New Roman" w:hAnsi="Times New Roman"/>
          <w:sz w:val="18"/>
          <w:szCs w:val="18"/>
          <w:b w:val="1"/>
          <w:bCs w:val="1"/>
          <w:color w:val="auto"/>
        </w:rPr>
        <w:t>Committee</w:t>
      </w:r>
      <w:r>
        <w:rPr>
          <w:rFonts w:ascii="Times New Roman" w:cs="Times New Roman" w:eastAsia="Times New Roman" w:hAnsi="Times New Roman"/>
          <w:sz w:val="18"/>
          <w:szCs w:val="18"/>
          <w:color w:val="auto"/>
        </w:rPr>
        <w:t>. The Committee shall administer the SERP. The members of the Committee shall be Associates who are appointed by, and serve at the pleasure of, the ADSC Board of Directors. The Committee has complete and absolute authority to interpret any provision of the SERP and, in its sole discretion, decide all questions and issues arising under the SERP including, without limitation, questions of fact, eligibility to participate in the SERP, and the amount of benefits, if any, due under</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52" name="Picture 1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2"/>
                    <pic:cNvPicPr>
                      <a:picLocks noChangeAspect="1" noChangeArrowheads="1"/>
                    </pic:cNvPicPr>
                  </pic:nvPicPr>
                  <pic:blipFill>
                    <a:blip r:embed="rId13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SERP. Decisions of the Committee are final and binding upon all parties. Additional information about the SERP is available by contacting:</w:t>
      </w:r>
    </w:p>
    <w:p>
      <w:pPr>
        <w:spacing w:after="0" w:line="22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SERP Committee</w:t>
      </w:r>
    </w:p>
    <w:p>
      <w:pPr>
        <w:spacing w:after="0" w:line="2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C/O EVP &amp; Chief Administrative Officer</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Alliance Data Systems</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17655 Waterview Parkway</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Dallas, TX 75252</w:t>
      </w:r>
    </w:p>
    <w:p>
      <w:pPr>
        <w:spacing w:after="0" w:line="211" w:lineRule="exact"/>
        <w:rPr>
          <w:sz w:val="20"/>
          <w:szCs w:val="20"/>
          <w:color w:val="auto"/>
        </w:rPr>
      </w:pPr>
    </w:p>
    <w:p>
      <w:pPr>
        <w:ind w:right="60" w:firstLine="351"/>
        <w:spacing w:after="0" w:line="288" w:lineRule="auto"/>
        <w:rPr>
          <w:sz w:val="20"/>
          <w:szCs w:val="20"/>
          <w:color w:val="auto"/>
        </w:rPr>
      </w:pPr>
      <w:r>
        <w:rPr>
          <w:rFonts w:ascii="Times New Roman" w:cs="Times New Roman" w:eastAsia="Times New Roman" w:hAnsi="Times New Roman"/>
          <w:sz w:val="16"/>
          <w:szCs w:val="16"/>
          <w:color w:val="auto"/>
        </w:rPr>
        <w:t xml:space="preserve">10.2 </w:t>
      </w:r>
      <w:r>
        <w:rPr>
          <w:rFonts w:ascii="Times New Roman" w:cs="Times New Roman" w:eastAsia="Times New Roman" w:hAnsi="Times New Roman"/>
          <w:sz w:val="16"/>
          <w:szCs w:val="16"/>
          <w:b w:val="1"/>
          <w:bCs w:val="1"/>
          <w:color w:val="auto"/>
        </w:rPr>
        <w:t>Claims Procedure</w:t>
      </w:r>
      <w:r>
        <w:rPr>
          <w:rFonts w:ascii="Times New Roman" w:cs="Times New Roman" w:eastAsia="Times New Roman" w:hAnsi="Times New Roman"/>
          <w:sz w:val="16"/>
          <w:szCs w:val="16"/>
          <w:color w:val="auto"/>
        </w:rPr>
        <w:t>. In the event a Participant or beneficiary has a dispute concerning his or her benefit, the claim for the benefit shall first be submitted in writing to the EVP &amp; Chief Administrative Officer of Alliance. In the event that the EVP &amp; Chief Administrative Officer does not provide a response satisfactory to the Participant within ninety (90) days after receipt of the claim, the Participant or named beneficiary may submit the claim in writing, within sixty</w:t>
      </w:r>
    </w:p>
    <w:p>
      <w:pPr>
        <w:ind w:right="120" w:firstLine="8"/>
        <w:spacing w:after="0" w:line="302" w:lineRule="auto"/>
        <w:tabs>
          <w:tab w:leader="none" w:pos="336" w:val="left"/>
        </w:tabs>
        <w:numPr>
          <w:ilvl w:val="0"/>
          <w:numId w:val="1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days thereafter to the Committee, whose decision regarding the claim shall be final and binding on each Participant or person claiming under the SERP. The claimant shall be notified of the Committee's decision within sixty (60) days, unless special circumstances require an extension of time for processing, in which case a decision shall be rendered within a reasonable period of time, but not later than one hundred twenty (120) days after receipt of a request for review.</w:t>
      </w:r>
    </w:p>
    <w:p>
      <w:pPr>
        <w:spacing w:after="0" w:line="155" w:lineRule="exact"/>
        <w:rPr>
          <w:sz w:val="20"/>
          <w:szCs w:val="20"/>
          <w:color w:val="auto"/>
        </w:rPr>
      </w:pPr>
    </w:p>
    <w:p>
      <w:pPr>
        <w:ind w:right="600" w:firstLine="351"/>
        <w:spacing w:after="0" w:line="277" w:lineRule="auto"/>
        <w:rPr>
          <w:sz w:val="20"/>
          <w:szCs w:val="20"/>
          <w:color w:val="auto"/>
        </w:rPr>
      </w:pPr>
      <w:r>
        <w:rPr>
          <w:rFonts w:ascii="Times New Roman" w:cs="Times New Roman" w:eastAsia="Times New Roman" w:hAnsi="Times New Roman"/>
          <w:sz w:val="18"/>
          <w:szCs w:val="18"/>
          <w:color w:val="auto"/>
        </w:rPr>
        <w:t xml:space="preserve">10.3 </w:t>
      </w:r>
      <w:r>
        <w:rPr>
          <w:rFonts w:ascii="Times New Roman" w:cs="Times New Roman" w:eastAsia="Times New Roman" w:hAnsi="Times New Roman"/>
          <w:sz w:val="18"/>
          <w:szCs w:val="18"/>
          <w:b w:val="1"/>
          <w:bCs w:val="1"/>
          <w:color w:val="auto"/>
        </w:rPr>
        <w:t>Participant Statements</w:t>
      </w:r>
      <w:r>
        <w:rPr>
          <w:rFonts w:ascii="Times New Roman" w:cs="Times New Roman" w:eastAsia="Times New Roman" w:hAnsi="Times New Roman"/>
          <w:sz w:val="18"/>
          <w:szCs w:val="18"/>
          <w:color w:val="auto"/>
        </w:rPr>
        <w:t>. A summary of the status of each Participant's Account, reflecting Contributory Contributions, the vested and unvested Restorative Contributions, and accrued interest, will be prepared and distributed annually.</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XI—MISCELLANEOUS</w:t>
      </w:r>
    </w:p>
    <w:p>
      <w:pPr>
        <w:spacing w:after="0" w:line="225" w:lineRule="exact"/>
        <w:rPr>
          <w:sz w:val="20"/>
          <w:szCs w:val="20"/>
          <w:color w:val="auto"/>
        </w:rPr>
      </w:pPr>
    </w:p>
    <w:p>
      <w:pPr>
        <w:ind w:right="20" w:firstLine="351"/>
        <w:spacing w:after="0" w:line="259" w:lineRule="auto"/>
        <w:rPr>
          <w:sz w:val="20"/>
          <w:szCs w:val="20"/>
          <w:color w:val="auto"/>
        </w:rPr>
      </w:pPr>
      <w:r>
        <w:rPr>
          <w:rFonts w:ascii="Times New Roman" w:cs="Times New Roman" w:eastAsia="Times New Roman" w:hAnsi="Times New Roman"/>
          <w:sz w:val="18"/>
          <w:szCs w:val="18"/>
          <w:color w:val="auto"/>
        </w:rPr>
        <w:t xml:space="preserve">11.1 </w:t>
      </w:r>
      <w:r>
        <w:rPr>
          <w:rFonts w:ascii="Times New Roman" w:cs="Times New Roman" w:eastAsia="Times New Roman" w:hAnsi="Times New Roman"/>
          <w:sz w:val="18"/>
          <w:szCs w:val="18"/>
          <w:b w:val="1"/>
          <w:bCs w:val="1"/>
          <w:color w:val="auto"/>
        </w:rPr>
        <w:t>Not a Contract of Employment</w:t>
      </w:r>
      <w:r>
        <w:rPr>
          <w:rFonts w:ascii="Times New Roman" w:cs="Times New Roman" w:eastAsia="Times New Roman" w:hAnsi="Times New Roman"/>
          <w:sz w:val="18"/>
          <w:szCs w:val="18"/>
          <w:color w:val="auto"/>
        </w:rPr>
        <w:t>. This SERP shall not be deemed to constitute a contract between an Employer and any Associate or other person, whether or not in the employ of an Employer. Nothing herein contained shall be deemed to give any Associate or other person, whether or not in the employ of an Employer any right to be retained in the employ of an Employer, nor to interfere with the right of an Employer to discharge any Associate at any time or to treat the Associate without any regard to the effect which such treatment might have upon said Associate as a participant of the SERP.</w:t>
      </w:r>
    </w:p>
    <w:p>
      <w:pPr>
        <w:sectPr>
          <w:pgSz w:w="11900" w:h="16838" w:orient="portrait"/>
          <w:cols w:equalWidth="0" w:num="1">
            <w:col w:w="11420"/>
          </w:cols>
          <w:pgMar w:left="240" w:top="123" w:right="239" w:bottom="158" w:gutter="0" w:footer="0" w:header="0"/>
        </w:sectPr>
      </w:pPr>
    </w:p>
    <w:bookmarkStart w:id="75" w:name="page76"/>
    <w:bookmarkEnd w:id="75"/>
    <w:p>
      <w:pPr>
        <w:ind w:firstLine="351"/>
        <w:spacing w:after="0" w:line="254" w:lineRule="auto"/>
        <w:rPr>
          <w:sz w:val="20"/>
          <w:szCs w:val="20"/>
          <w:color w:val="auto"/>
        </w:rPr>
      </w:pPr>
      <w:r>
        <w:rPr>
          <w:rFonts w:ascii="Times New Roman" w:cs="Times New Roman" w:eastAsia="Times New Roman" w:hAnsi="Times New Roman"/>
          <w:sz w:val="18"/>
          <w:szCs w:val="18"/>
          <w:color w:val="auto"/>
        </w:rPr>
        <w:t xml:space="preserve">11.2 </w:t>
      </w:r>
      <w:r>
        <w:rPr>
          <w:rFonts w:ascii="Times New Roman" w:cs="Times New Roman" w:eastAsia="Times New Roman" w:hAnsi="Times New Roman"/>
          <w:sz w:val="18"/>
          <w:szCs w:val="18"/>
          <w:b w:val="1"/>
          <w:bCs w:val="1"/>
          <w:color w:val="auto"/>
        </w:rPr>
        <w:t>Non-Assignability</w:t>
      </w:r>
      <w:r>
        <w:rPr>
          <w:rFonts w:ascii="Times New Roman" w:cs="Times New Roman" w:eastAsia="Times New Roman" w:hAnsi="Times New Roman"/>
          <w:sz w:val="18"/>
          <w:szCs w:val="18"/>
          <w:color w:val="auto"/>
        </w:rPr>
        <w:t>. Except as may otherwise be required by law, no distribution or payment under the SERP to any Participant, named beneficiary, heirs and successors shall be subject in any manner to anticipation, alienation, sale, transfer, assignment, pledge, encumbrance or charge, whether voluntary or involuntary; and any attempt to so anticipate, alienate, sell, transfer, assign, pledge, encumber, or charge the same shall be void. Nor shall any such distribution or payment be in any way subject to the debts, contracts, liabilities, engagements, or torts of any person entitled to such distribution or payment. If any Participant, named beneficiary, heir, or successor is adjudicated bankrupt or purports to anticipate, alienate, sell, transfer, assign, pledge, encumber, or charge any such distribution or payment, voluntarily or involuntarily, the Committee, in its discretion, may cancel such distribution or payment or may hold or cause to be held or applied such distribution or payment, or any part thereof, to or for the benefit of such Participant, named beneficiary, heir or successor in such manner as the Committee shall direct.</w:t>
      </w:r>
    </w:p>
    <w:p>
      <w:pPr>
        <w:spacing w:after="0" w:line="192" w:lineRule="exact"/>
        <w:rPr>
          <w:sz w:val="20"/>
          <w:szCs w:val="20"/>
          <w:color w:val="auto"/>
        </w:rPr>
      </w:pPr>
    </w:p>
    <w:p>
      <w:pPr>
        <w:ind w:right="260" w:firstLine="351"/>
        <w:spacing w:after="0" w:line="277" w:lineRule="auto"/>
        <w:rPr>
          <w:sz w:val="20"/>
          <w:szCs w:val="20"/>
          <w:color w:val="auto"/>
        </w:rPr>
      </w:pPr>
      <w:r>
        <w:rPr>
          <w:rFonts w:ascii="Times New Roman" w:cs="Times New Roman" w:eastAsia="Times New Roman" w:hAnsi="Times New Roman"/>
          <w:sz w:val="18"/>
          <w:szCs w:val="18"/>
          <w:color w:val="auto"/>
        </w:rPr>
        <w:t xml:space="preserve">11.3 </w:t>
      </w:r>
      <w:r>
        <w:rPr>
          <w:rFonts w:ascii="Times New Roman" w:cs="Times New Roman" w:eastAsia="Times New Roman" w:hAnsi="Times New Roman"/>
          <w:sz w:val="18"/>
          <w:szCs w:val="18"/>
          <w:b w:val="1"/>
          <w:bCs w:val="1"/>
          <w:color w:val="auto"/>
        </w:rPr>
        <w:t>Savings Clause</w:t>
      </w:r>
      <w:r>
        <w:rPr>
          <w:rFonts w:ascii="Times New Roman" w:cs="Times New Roman" w:eastAsia="Times New Roman" w:hAnsi="Times New Roman"/>
          <w:sz w:val="18"/>
          <w:szCs w:val="18"/>
          <w:color w:val="auto"/>
        </w:rPr>
        <w:t>. If any provision of this instrument is finally held by a court of competent jurisdiction to be invalid or unenforceable, the remaining provisions hereof shall continue to be fully effective.</w:t>
      </w:r>
    </w:p>
    <w:p>
      <w:pPr>
        <w:spacing w:after="0" w:line="170" w:lineRule="exact"/>
        <w:rPr>
          <w:sz w:val="20"/>
          <w:szCs w:val="20"/>
          <w:color w:val="auto"/>
        </w:rPr>
      </w:pPr>
    </w:p>
    <w:p>
      <w:pPr>
        <w:ind w:right="100" w:firstLine="351"/>
        <w:spacing w:after="0" w:line="277" w:lineRule="auto"/>
        <w:rPr>
          <w:sz w:val="20"/>
          <w:szCs w:val="20"/>
          <w:color w:val="auto"/>
        </w:rPr>
      </w:pPr>
      <w:r>
        <w:rPr>
          <w:rFonts w:ascii="Times New Roman" w:cs="Times New Roman" w:eastAsia="Times New Roman" w:hAnsi="Times New Roman"/>
          <w:sz w:val="18"/>
          <w:szCs w:val="18"/>
          <w:color w:val="auto"/>
        </w:rPr>
        <w:t xml:space="preserve">11.4 </w:t>
      </w:r>
      <w:r>
        <w:rPr>
          <w:rFonts w:ascii="Times New Roman" w:cs="Times New Roman" w:eastAsia="Times New Roman" w:hAnsi="Times New Roman"/>
          <w:sz w:val="18"/>
          <w:szCs w:val="18"/>
          <w:b w:val="1"/>
          <w:bCs w:val="1"/>
          <w:color w:val="auto"/>
        </w:rPr>
        <w:t>Governing Law</w:t>
      </w:r>
      <w:r>
        <w:rPr>
          <w:rFonts w:ascii="Times New Roman" w:cs="Times New Roman" w:eastAsia="Times New Roman" w:hAnsi="Times New Roman"/>
          <w:sz w:val="18"/>
          <w:szCs w:val="18"/>
          <w:color w:val="auto"/>
        </w:rPr>
        <w:t>. The provisions of the SERP shall be construed, administered and governed under applicable Federal law and the laws of the State of Ohio.</w:t>
      </w:r>
    </w:p>
    <w:p>
      <w:pPr>
        <w:spacing w:after="0" w:line="17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53" name="Picture 1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3"/>
                    <pic:cNvPicPr>
                      <a:picLocks noChangeAspect="1" noChangeArrowheads="1"/>
                    </pic:cNvPicPr>
                  </pic:nvPicPr>
                  <pic:blipFill>
                    <a:blip r:embed="rId13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360"/>
        <w:spacing w:after="0"/>
        <w:tabs>
          <w:tab w:leader="none" w:pos="4440" w:val="left"/>
          <w:tab w:leader="none" w:pos="5920" w:val="left"/>
        </w:tabs>
        <w:rPr>
          <w:sz w:val="20"/>
          <w:szCs w:val="20"/>
          <w:color w:val="auto"/>
        </w:rPr>
      </w:pPr>
      <w:r>
        <w:rPr>
          <w:rFonts w:ascii="Times New Roman" w:cs="Times New Roman" w:eastAsia="Times New Roman" w:hAnsi="Times New Roman"/>
          <w:sz w:val="18"/>
          <w:szCs w:val="18"/>
          <w:color w:val="auto"/>
        </w:rPr>
        <w:t>This amended and restated SERP is hereby adopted this</w:t>
        <w:tab/>
        <w:t>day of</w:t>
      </w:r>
      <w:r>
        <w:rPr>
          <w:sz w:val="20"/>
          <w:szCs w:val="20"/>
          <w:color w:val="auto"/>
        </w:rPr>
        <w:tab/>
      </w:r>
      <w:r>
        <w:rPr>
          <w:rFonts w:ascii="Times New Roman" w:cs="Times New Roman" w:eastAsia="Times New Roman" w:hAnsi="Times New Roman"/>
          <w:sz w:val="16"/>
          <w:szCs w:val="16"/>
          <w:color w:val="auto"/>
        </w:rPr>
        <w:t>, 2002, but effective as of January 1, 2003.</w:t>
      </w:r>
    </w:p>
    <w:p>
      <w:pPr>
        <w:spacing w:after="0" w:line="223"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b w:val="1"/>
          <w:bCs w:val="1"/>
          <w:color w:val="auto"/>
        </w:rPr>
        <w:t>ALLIANCE DATA SYSTEMS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356870</wp:posOffset>
            </wp:positionV>
            <wp:extent cx="3486150" cy="21590"/>
            <wp:wrapNone/>
            <wp:docPr id="1354" name="Picture 1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4"/>
                    <pic:cNvPicPr>
                      <a:picLocks noChangeAspect="1" noChangeArrowheads="1"/>
                    </pic:cNvPicPr>
                  </pic:nvPicPr>
                  <pic:blipFill>
                    <a:blip r:embed="rId1361">
                      <a:extLst>
                        <a:ext uri="{28A0092B-C50C-407E-A947-70E740481C1C}"/>
                      </a:extLst>
                    </a:blip>
                    <a:srcRect/>
                    <a:stretch>
                      <a:fillRect/>
                    </a:stretch>
                  </pic:blipFill>
                  <pic:spPr bwMode="auto">
                    <a:xfrm>
                      <a:off x="0" y="0"/>
                      <a:ext cx="348615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By:</w:t>
      </w:r>
    </w:p>
    <w:p>
      <w:pPr>
        <w:spacing w:after="0" w:line="21"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Title:</w:t>
      </w:r>
    </w:p>
    <w:p>
      <w:pPr>
        <w:spacing w:after="0" w:line="2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55" name="Picture 1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5"/>
                    <pic:cNvPicPr>
                      <a:picLocks noChangeAspect="1" noChangeArrowheads="1"/>
                    </pic:cNvPicPr>
                  </pic:nvPicPr>
                  <pic:blipFill>
                    <a:blip r:embed="rId13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QuickLinks</w:t>
      </w:r>
    </w:p>
    <w:p>
      <w:pPr>
        <w:spacing w:after="0" w:line="219" w:lineRule="exact"/>
        <w:rPr>
          <w:sz w:val="20"/>
          <w:szCs w:val="20"/>
          <w:color w:val="auto"/>
        </w:rPr>
      </w:pPr>
    </w:p>
    <w:p>
      <w:pPr>
        <w:ind w:left="540"/>
        <w:spacing w:after="0"/>
        <w:rPr>
          <w:rFonts w:ascii="Times New Roman" w:cs="Times New Roman" w:eastAsia="Times New Roman" w:hAnsi="Times New Roman"/>
          <w:sz w:val="18"/>
          <w:szCs w:val="18"/>
          <w:u w:val="single" w:color="auto"/>
          <w:color w:val="0000EE"/>
        </w:rPr>
      </w:pPr>
      <w:hyperlink w:anchor="page72">
        <w:r>
          <w:rPr>
            <w:rFonts w:ascii="Times New Roman" w:cs="Times New Roman" w:eastAsia="Times New Roman" w:hAnsi="Times New Roman"/>
            <w:sz w:val="18"/>
            <w:szCs w:val="18"/>
            <w:u w:val="single" w:color="auto"/>
            <w:color w:val="0000EE"/>
          </w:rPr>
          <w:t>Exhibit 10.17</w:t>
        </w:r>
      </w:hyperlink>
    </w:p>
    <w:p>
      <w:pPr>
        <w:sectPr>
          <w:pgSz w:w="11900" w:h="16838" w:orient="portrait"/>
          <w:cols w:equalWidth="0" w:num="1">
            <w:col w:w="11360"/>
          </w:cols>
          <w:pgMar w:left="240" w:top="123" w:right="299" w:bottom="1440" w:gutter="0" w:footer="0" w:header="0"/>
        </w:sectPr>
      </w:pPr>
    </w:p>
    <w:bookmarkStart w:id="76" w:name="page77"/>
    <w:bookmarkEnd w:id="76"/>
    <w:p>
      <w:pPr>
        <w:spacing w:after="0"/>
        <w:rPr>
          <w:rFonts w:ascii="Times New Roman" w:cs="Times New Roman" w:eastAsia="Times New Roman" w:hAnsi="Times New Roman"/>
          <w:sz w:val="22"/>
          <w:szCs w:val="22"/>
          <w:color w:val="0000EE"/>
        </w:rPr>
      </w:pPr>
      <w:hyperlink w:anchor="page85">
        <w:r>
          <w:rPr>
            <w:rFonts w:ascii="Times New Roman" w:cs="Times New Roman" w:eastAsia="Times New Roman" w:hAnsi="Times New Roman"/>
            <w:sz w:val="22"/>
            <w:szCs w:val="22"/>
            <w:u w:val="single" w:color="auto"/>
            <w:color w:val="0000EE"/>
          </w:rPr>
          <w:t>QuickLinks</w:t>
        </w:r>
        <w:r>
          <w:rPr>
            <w:rFonts w:ascii="Times New Roman" w:cs="Times New Roman" w:eastAsia="Times New Roman" w:hAnsi="Times New Roman"/>
            <w:sz w:val="22"/>
            <w:szCs w:val="22"/>
            <w:color w:val="0000EE"/>
          </w:rPr>
          <w:t xml:space="preserve"> </w:t>
        </w:r>
      </w:hyperlink>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22"/>
          <w:szCs w:val="22"/>
          <w:color w:val="000000"/>
        </w:rPr>
        <w:t>Click here to rapidly navigate through this document</w:t>
      </w:r>
    </w:p>
    <w:p>
      <w:pPr>
        <w:spacing w:after="0" w:line="200" w:lineRule="exact"/>
        <w:rPr>
          <w:sz w:val="20"/>
          <w:szCs w:val="20"/>
          <w:color w:val="auto"/>
        </w:rPr>
      </w:pPr>
    </w:p>
    <w:p>
      <w:pPr>
        <w:spacing w:after="0" w:line="233" w:lineRule="exact"/>
        <w:rPr>
          <w:sz w:val="20"/>
          <w:szCs w:val="20"/>
          <w:color w:val="auto"/>
        </w:rPr>
      </w:pPr>
    </w:p>
    <w:p>
      <w:pPr>
        <w:ind w:left="10380"/>
        <w:spacing w:after="0"/>
        <w:rPr>
          <w:sz w:val="20"/>
          <w:szCs w:val="20"/>
          <w:color w:val="auto"/>
        </w:rPr>
      </w:pPr>
      <w:r>
        <w:rPr>
          <w:rFonts w:ascii="Times New Roman" w:cs="Times New Roman" w:eastAsia="Times New Roman" w:hAnsi="Times New Roman"/>
          <w:sz w:val="18"/>
          <w:szCs w:val="18"/>
          <w:b w:val="1"/>
          <w:bCs w:val="1"/>
          <w:color w:val="auto"/>
        </w:rPr>
        <w:t>Exhibit 10.23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153670</wp:posOffset>
            </wp:positionV>
            <wp:extent cx="1217930" cy="883285"/>
            <wp:wrapNone/>
            <wp:docPr id="1356" name="Picture 1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6"/>
                    <pic:cNvPicPr>
                      <a:picLocks noChangeAspect="1" noChangeArrowheads="1"/>
                    </pic:cNvPicPr>
                  </pic:nvPicPr>
                  <pic:blipFill>
                    <a:blip r:embed="rId1363">
                      <a:extLst>
                        <a:ext uri="{28A0092B-C50C-407E-A947-70E740481C1C}"/>
                      </a:extLst>
                    </a:blip>
                    <a:srcRect/>
                    <a:stretch>
                      <a:fillRect/>
                    </a:stretch>
                  </pic:blipFill>
                  <pic:spPr bwMode="auto">
                    <a:xfrm>
                      <a:off x="0" y="0"/>
                      <a:ext cx="1217930" cy="883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ALLIANCE DATA SYSTEMS CORPORATION</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2003 Incentive Compensation Plan</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(As Amended and Restated Effective January 1,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1357" name="Picture 1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7"/>
                    <pic:cNvPicPr>
                      <a:picLocks noChangeAspect="1" noChangeArrowheads="1"/>
                    </pic:cNvPicPr>
                  </pic:nvPicPr>
                  <pic:blipFill>
                    <a:blip r:embed="rId13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0260" w:type="dxa"/>
            <w:vAlign w:val="bottom"/>
          </w:tcPr>
          <w:p>
            <w:pPr>
              <w:ind w:left="50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10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PLAN PHILOSOPHY</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10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EFFECTIVE DATE</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w:t>
            </w: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10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ELIGIBILITY</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10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BASE COMPENSATION USED IN CALCULATING IC PAYOUT</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w:t>
            </w: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10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DETERMINING IC TARGETS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10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IC COMPONENTS</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w:t>
            </w: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10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STANDARD WEIGHTINGS CHART FOR IC COMPONENTS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10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DETERMINING PAYMENT CALCULATIONS</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6</w:t>
            </w: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10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TIMING OF PAYMENT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10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STATUS CHANGES THAT MAY AFFECT IC TARGETS AND PAYOUTS</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6</w:t>
            </w: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10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TERMS AND CONDITIONS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10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ATTACHMENT A—ASSOCIATE SATISFACTION INDEX (ASI) INFORMATION</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A-1</w:t>
            </w: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10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ATTACHMENT B—EXAMPLE INDIVIDUAL EXPECTATIONS WORKSHEET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B-1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0"/>
        </w:trPr>
        <w:tc>
          <w:tcPr>
            <w:tcW w:w="10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ATTACHMENT C—PERFORMANCE/PAYOUT TABLE FOR REVENUE, EBITDA AND INDIVIDUAL EXPECTATIONS</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C-1</w:t>
            </w:r>
          </w:p>
        </w:tc>
        <w:tc>
          <w:tcPr>
            <w:tcW w:w="0" w:type="dxa"/>
            <w:vAlign w:val="bottom"/>
          </w:tcPr>
          <w:p>
            <w:pPr>
              <w:spacing w:after="0"/>
              <w:rPr>
                <w:sz w:val="1"/>
                <w:szCs w:val="1"/>
                <w:color w:val="auto"/>
              </w:rPr>
            </w:pPr>
          </w:p>
        </w:tc>
      </w:tr>
      <w:tr>
        <w:trPr>
          <w:trHeight w:val="432"/>
        </w:trPr>
        <w:tc>
          <w:tcPr>
            <w:tcW w:w="10280" w:type="dxa"/>
            <w:vAlign w:val="bottom"/>
            <w:gridSpan w:val="2"/>
          </w:tcPr>
          <w:p>
            <w:pPr>
              <w:ind w:left="5680"/>
              <w:spacing w:after="0"/>
              <w:rPr>
                <w:sz w:val="20"/>
                <w:szCs w:val="20"/>
                <w:color w:val="auto"/>
              </w:rPr>
            </w:pPr>
            <w:r>
              <w:rPr>
                <w:rFonts w:ascii="Times New Roman" w:cs="Times New Roman" w:eastAsia="Times New Roman" w:hAnsi="Times New Roman"/>
                <w:sz w:val="18"/>
                <w:szCs w:val="18"/>
                <w:color w:val="auto"/>
              </w:rPr>
              <w:t>2</w:t>
            </w: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7250430" cy="21590"/>
            <wp:wrapNone/>
            <wp:docPr id="1358" name="Picture 1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8"/>
                    <pic:cNvPicPr>
                      <a:picLocks noChangeAspect="1" noChangeArrowheads="1"/>
                    </pic:cNvPicPr>
                  </pic:nvPicPr>
                  <pic:blipFill>
                    <a:blip r:embed="rId13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Plan Philosophy</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intent of the Alliance Data Systems Incentive Compensation ("IC") Plan ("Plan") is to:</w:t>
      </w:r>
    </w:p>
    <w:p>
      <w:pPr>
        <w:spacing w:after="0" w:line="239" w:lineRule="exact"/>
        <w:rPr>
          <w:sz w:val="20"/>
          <w:szCs w:val="20"/>
          <w:color w:val="auto"/>
        </w:rPr>
      </w:pPr>
    </w:p>
    <w:p>
      <w:pPr>
        <w:ind w:left="1080" w:hanging="532"/>
        <w:spacing w:after="0"/>
        <w:tabs>
          <w:tab w:leader="none" w:pos="10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IC to round out an eligible associate's total compensation package in order to attract and retain high performing associates;</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 organizational performance by driving financial and individual performance and increasing associate satisfaction;</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 the alignment between strategic imperatives and initiatives with the Alliance Scorecard; and</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an opportunity for associates to share in the success they help create.</w:t>
      </w:r>
    </w:p>
    <w:p>
      <w:pPr>
        <w:spacing w:after="0" w:line="225" w:lineRule="exact"/>
        <w:rPr>
          <w:sz w:val="20"/>
          <w:szCs w:val="20"/>
          <w:color w:val="auto"/>
        </w:rPr>
      </w:pPr>
    </w:p>
    <w:p>
      <w:pPr>
        <w:ind w:right="380" w:firstLine="351"/>
        <w:spacing w:after="0" w:line="275" w:lineRule="auto"/>
        <w:rPr>
          <w:sz w:val="20"/>
          <w:szCs w:val="20"/>
          <w:color w:val="auto"/>
        </w:rPr>
      </w:pPr>
      <w:r>
        <w:rPr>
          <w:rFonts w:ascii="Times New Roman" w:cs="Times New Roman" w:eastAsia="Times New Roman" w:hAnsi="Times New Roman"/>
          <w:sz w:val="18"/>
          <w:szCs w:val="18"/>
          <w:color w:val="auto"/>
        </w:rPr>
        <w:t>Participation in this Plan reflects the importance of an associate's position and the impact that the associate's performance can have on the success of the Company.</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Effective Date</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Plan Year is January 1, 2003 through December 31, 2003.</w:t>
      </w:r>
    </w:p>
    <w:p>
      <w:pPr>
        <w:sectPr>
          <w:pgSz w:w="11900" w:h="16838" w:orient="portrait"/>
          <w:cols w:equalWidth="0" w:num="1">
            <w:col w:w="11420"/>
          </w:cols>
          <w:pgMar w:left="240" w:top="355" w:right="239" w:bottom="0" w:gutter="0" w:footer="0" w:header="0"/>
        </w:sect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Eligibility</w:t>
      </w:r>
    </w:p>
    <w:p>
      <w:pPr>
        <w:sectPr>
          <w:pgSz w:w="11900" w:h="16838" w:orient="portrait"/>
          <w:cols w:equalWidth="0" w:num="1">
            <w:col w:w="11420"/>
          </w:cols>
          <w:pgMar w:left="240" w:top="355" w:right="239" w:bottom="0" w:gutter="0" w:footer="0" w:header="0"/>
          <w:type w:val="continuous"/>
        </w:sectPr>
      </w:pPr>
    </w:p>
    <w:bookmarkStart w:id="77" w:name="page78"/>
    <w:bookmarkEnd w:id="77"/>
    <w:p>
      <w:pPr>
        <w:ind w:left="340"/>
        <w:spacing w:after="0"/>
        <w:rPr>
          <w:sz w:val="20"/>
          <w:szCs w:val="20"/>
          <w:color w:val="auto"/>
        </w:rPr>
      </w:pPr>
      <w:r>
        <w:rPr>
          <w:rFonts w:ascii="Times New Roman" w:cs="Times New Roman" w:eastAsia="Times New Roman" w:hAnsi="Times New Roman"/>
          <w:sz w:val="18"/>
          <w:szCs w:val="18"/>
          <w:color w:val="auto"/>
        </w:rPr>
        <w:t>Associates are covered by this Plan if they are:</w:t>
      </w:r>
    </w:p>
    <w:p>
      <w:pPr>
        <w:spacing w:after="0" w:line="239" w:lineRule="exact"/>
        <w:rPr>
          <w:sz w:val="20"/>
          <w:szCs w:val="20"/>
          <w:color w:val="auto"/>
        </w:rPr>
      </w:pPr>
    </w:p>
    <w:p>
      <w:pPr>
        <w:ind w:left="1080" w:hanging="532"/>
        <w:spacing w:after="0"/>
        <w:tabs>
          <w:tab w:leader="none" w:pos="10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Employed by Alliance Data Systems Corporation or any of its subsidiaries (collectively, the "Company").</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member of the Alliance Senior Leadership Team, as defined by the title Director through Chairman &amp; CEO.</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 Exempt position that is designated by Corporate Compensation as IC eligible (currently jobs in pay grades 8-11, 21-23, and 32-35).</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Employed by Alliance before October 1, 2003.</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Newly hired associates or associates promoted into IC eligible pay grades for the first time before October 1, 2003.</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active status on the date of the award distribution or eligible under the guidelines for retirement, disability or leave of absence.</w:t>
      </w:r>
    </w:p>
    <w:p>
      <w:pPr>
        <w:spacing w:after="0" w:line="238" w:lineRule="exact"/>
        <w:rPr>
          <w:rFonts w:ascii="Times New Roman" w:cs="Times New Roman" w:eastAsia="Times New Roman" w:hAnsi="Times New Roman"/>
          <w:sz w:val="18"/>
          <w:szCs w:val="18"/>
          <w:color w:val="auto"/>
        </w:rPr>
      </w:pPr>
    </w:p>
    <w:p>
      <w:pPr>
        <w:ind w:left="340" w:right="920" w:firstLine="208"/>
        <w:spacing w:after="0" w:line="501" w:lineRule="auto"/>
        <w:tabs>
          <w:tab w:leader="none" w:pos="1079"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Part-time associates in one of the specified pay grades listed above and working a schedule equal to a minimum of 25 hours per week. Associates are not eligible if they:</w:t>
      </w:r>
    </w:p>
    <w:p>
      <w:pPr>
        <w:spacing w:after="0" w:line="27" w:lineRule="exact"/>
        <w:rPr>
          <w:rFonts w:ascii="Times New Roman" w:cs="Times New Roman" w:eastAsia="Times New Roman" w:hAnsi="Times New Roman"/>
          <w:sz w:val="18"/>
          <w:szCs w:val="18"/>
          <w:color w:val="auto"/>
        </w:rPr>
      </w:pPr>
    </w:p>
    <w:p>
      <w:pPr>
        <w:jc w:val="both"/>
        <w:ind w:left="1080" w:right="40" w:hanging="532"/>
        <w:spacing w:after="0" w:line="339" w:lineRule="auto"/>
        <w:tabs>
          <w:tab w:leader="none" w:pos="1080" w:val="left"/>
        </w:tabs>
        <w:numPr>
          <w:ilvl w:val="0"/>
          <w:numId w:val="1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Are participating in a sales commission or other incentive plan, unless approved by the appropriate Executive Vice President of a Line of Business ("LOB") or of a Business Support Group ("BSG") and confirmed by the Senior Vice President of Human Resources and Corporate Compensation.</w:t>
      </w:r>
    </w:p>
    <w:p>
      <w:pPr>
        <w:spacing w:after="0" w:line="141" w:lineRule="exact"/>
        <w:rPr>
          <w:rFonts w:ascii="Times New Roman" w:cs="Times New Roman" w:eastAsia="Times New Roman" w:hAnsi="Times New Roman"/>
          <w:sz w:val="16"/>
          <w:szCs w:val="16"/>
          <w:color w:val="auto"/>
        </w:rPr>
      </w:pPr>
    </w:p>
    <w:p>
      <w:pPr>
        <w:ind w:left="1080" w:hanging="532"/>
        <w:spacing w:after="0"/>
        <w:tabs>
          <w:tab w:leader="none" w:pos="10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temporary or contract employees.</w:t>
      </w:r>
    </w:p>
    <w:p>
      <w:pPr>
        <w:spacing w:after="0" w:line="236"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Are hired </w:t>
      </w:r>
      <w:r>
        <w:rPr>
          <w:rFonts w:ascii="Times New Roman" w:cs="Times New Roman" w:eastAsia="Times New Roman" w:hAnsi="Times New Roman"/>
          <w:sz w:val="18"/>
          <w:szCs w:val="18"/>
          <w:i w:val="1"/>
          <w:iCs w:val="1"/>
          <w:color w:val="auto"/>
        </w:rPr>
        <w:t>on</w:t>
      </w:r>
      <w:r>
        <w:rPr>
          <w:rFonts w:ascii="Times New Roman" w:cs="Times New Roman" w:eastAsia="Times New Roman" w:hAnsi="Times New Roman"/>
          <w:sz w:val="18"/>
          <w:szCs w:val="18"/>
          <w:color w:val="auto"/>
        </w:rPr>
        <w:t xml:space="preserve"> or after October 1, 2003 or are promoted into an IC eligible pay grade on or after October 1, 2003.</w:t>
      </w:r>
    </w:p>
    <w:p>
      <w:pPr>
        <w:spacing w:after="0" w:line="254"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on a documented performance improvement plan as of the date of award distribution.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59" name="Picture 1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9"/>
                    <pic:cNvPicPr>
                      <a:picLocks noChangeAspect="1" noChangeArrowheads="1"/>
                    </pic:cNvPicPr>
                  </pic:nvPicPr>
                  <pic:blipFill>
                    <a:blip r:embed="rId13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Base Compensation Used in Calculating IC Payout</w:t>
      </w:r>
    </w:p>
    <w:p>
      <w:pPr>
        <w:spacing w:after="0" w:line="229" w:lineRule="exact"/>
        <w:rPr>
          <w:sz w:val="20"/>
          <w:szCs w:val="20"/>
          <w:color w:val="auto"/>
        </w:rPr>
      </w:pPr>
    </w:p>
    <w:p>
      <w:pPr>
        <w:ind w:right="360" w:firstLine="341"/>
        <w:spacing w:after="0" w:line="275" w:lineRule="auto"/>
        <w:rPr>
          <w:sz w:val="20"/>
          <w:szCs w:val="20"/>
          <w:color w:val="auto"/>
        </w:rPr>
      </w:pPr>
      <w:r>
        <w:rPr>
          <w:rFonts w:ascii="Times New Roman" w:cs="Times New Roman" w:eastAsia="Times New Roman" w:hAnsi="Times New Roman"/>
          <w:sz w:val="18"/>
          <w:szCs w:val="18"/>
          <w:color w:val="auto"/>
        </w:rPr>
        <w:t>Annualized base pay as of October 1, 2003 will be used as part of the IC calculation. The IC target percentage(s) will be applied to October 1, 2003 base salary for purposes of calculating the dollar target amount.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Determining IC Targets</w:t>
      </w:r>
    </w:p>
    <w:p>
      <w:pPr>
        <w:spacing w:after="0" w:line="229" w:lineRule="exact"/>
        <w:rPr>
          <w:sz w:val="20"/>
          <w:szCs w:val="20"/>
          <w:color w:val="auto"/>
        </w:rPr>
      </w:pPr>
    </w:p>
    <w:p>
      <w:pPr>
        <w:ind w:right="400" w:firstLine="351"/>
        <w:spacing w:after="0" w:line="339" w:lineRule="auto"/>
        <w:rPr>
          <w:sz w:val="20"/>
          <w:szCs w:val="20"/>
          <w:color w:val="auto"/>
        </w:rPr>
      </w:pPr>
      <w:r>
        <w:rPr>
          <w:rFonts w:ascii="Times New Roman" w:cs="Times New Roman" w:eastAsia="Times New Roman" w:hAnsi="Times New Roman"/>
          <w:sz w:val="16"/>
          <w:szCs w:val="16"/>
          <w:color w:val="auto"/>
        </w:rPr>
        <w:t>Each participant has an IC target. The Compensation Committee of the Board of Directors assigns IC targets for the Executive Committee members. IC targets for other positions are determined by the participant's manager using the guidelines established by Corporate Compensation in the following table:</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260" w:type="dxa"/>
            <w:vAlign w:val="bottom"/>
            <w:gridSpan w:val="2"/>
          </w:tcPr>
          <w:p>
            <w:pPr>
              <w:jc w:val="right"/>
              <w:ind w:right="2440"/>
              <w:spacing w:after="0"/>
              <w:rPr>
                <w:sz w:val="20"/>
                <w:szCs w:val="20"/>
                <w:color w:val="auto"/>
              </w:rPr>
            </w:pPr>
            <w:r>
              <w:rPr>
                <w:rFonts w:ascii="Times New Roman" w:cs="Times New Roman" w:eastAsia="Times New Roman" w:hAnsi="Times New Roman"/>
                <w:sz w:val="14"/>
                <w:szCs w:val="14"/>
                <w:b w:val="1"/>
                <w:bCs w:val="1"/>
                <w:color w:val="auto"/>
              </w:rPr>
              <w:t>Grade Level</w:t>
            </w:r>
          </w:p>
        </w:tc>
        <w:tc>
          <w:tcPr>
            <w:tcW w:w="6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IC Target</w:t>
            </w:r>
          </w:p>
        </w:tc>
      </w:tr>
      <w:tr>
        <w:trPr>
          <w:trHeight w:val="105"/>
        </w:trPr>
        <w:tc>
          <w:tcPr>
            <w:tcW w:w="492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6160" w:type="dxa"/>
            <w:vAlign w:val="bottom"/>
            <w:tcBorders>
              <w:bottom w:val="single" w:sz="8" w:color="808080"/>
            </w:tcBorders>
          </w:tcPr>
          <w:p>
            <w:pPr>
              <w:spacing w:after="0"/>
              <w:rPr>
                <w:sz w:val="9"/>
                <w:szCs w:val="9"/>
                <w:color w:val="auto"/>
              </w:rPr>
            </w:pPr>
          </w:p>
        </w:tc>
      </w:tr>
      <w:tr>
        <w:trPr>
          <w:trHeight w:val="105"/>
        </w:trPr>
        <w:tc>
          <w:tcPr>
            <w:tcW w:w="49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160" w:type="dxa"/>
            <w:vAlign w:val="bottom"/>
          </w:tcPr>
          <w:p>
            <w:pPr>
              <w:spacing w:after="0"/>
              <w:rPr>
                <w:sz w:val="9"/>
                <w:szCs w:val="9"/>
                <w:color w:val="auto"/>
              </w:rPr>
            </w:pPr>
          </w:p>
        </w:tc>
      </w:tr>
      <w:tr>
        <w:trPr>
          <w:trHeight w:val="216"/>
        </w:trPr>
        <w:tc>
          <w:tcPr>
            <w:tcW w:w="52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Executive Committee Member</w:t>
            </w:r>
          </w:p>
        </w:tc>
        <w:tc>
          <w:tcPr>
            <w:tcW w:w="6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Determined by the Board's Compensation Committee</w:t>
            </w:r>
          </w:p>
        </w:tc>
      </w:tr>
      <w:tr>
        <w:trPr>
          <w:trHeight w:val="216"/>
        </w:trPr>
        <w:tc>
          <w:tcPr>
            <w:tcW w:w="52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(Senior Vice President) 3</w:t>
            </w:r>
          </w:p>
        </w:tc>
        <w:tc>
          <w:tcPr>
            <w:tcW w:w="6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35% or 40% or 45%</w:t>
            </w:r>
          </w:p>
        </w:tc>
      </w:tr>
      <w:tr>
        <w:trPr>
          <w:trHeight w:val="216"/>
        </w:trPr>
        <w:tc>
          <w:tcPr>
            <w:tcW w:w="52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(Vice President) 4</w:t>
            </w:r>
          </w:p>
        </w:tc>
        <w:tc>
          <w:tcPr>
            <w:tcW w:w="6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25% or 30% or 35%</w:t>
            </w:r>
          </w:p>
        </w:tc>
      </w:tr>
      <w:tr>
        <w:trPr>
          <w:trHeight w:val="216"/>
        </w:trPr>
        <w:tc>
          <w:tcPr>
            <w:tcW w:w="52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(Director/Senior Director) 5</w:t>
            </w:r>
          </w:p>
        </w:tc>
        <w:tc>
          <w:tcPr>
            <w:tcW w:w="6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15% or 20% or 25%</w:t>
            </w:r>
          </w:p>
        </w:tc>
      </w:tr>
      <w:tr>
        <w:trPr>
          <w:trHeight w:val="216"/>
        </w:trPr>
        <w:tc>
          <w:tcPr>
            <w:tcW w:w="52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8-10, 21-23, and 33-35</w:t>
            </w:r>
          </w:p>
        </w:tc>
        <w:tc>
          <w:tcPr>
            <w:tcW w:w="6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10% or 15%</w:t>
            </w:r>
          </w:p>
        </w:tc>
      </w:tr>
      <w:tr>
        <w:trPr>
          <w:trHeight w:val="228"/>
        </w:trPr>
        <w:tc>
          <w:tcPr>
            <w:tcW w:w="52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11 &amp; 32</w:t>
            </w:r>
          </w:p>
        </w:tc>
        <w:tc>
          <w:tcPr>
            <w:tcW w:w="6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 or 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3115945</wp:posOffset>
            </wp:positionH>
            <wp:positionV relativeFrom="paragraph">
              <wp:posOffset>-911860</wp:posOffset>
            </wp:positionV>
            <wp:extent cx="12700" cy="8890"/>
            <wp:wrapNone/>
            <wp:docPr id="1360" name="Picture 1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0"/>
                    <pic:cNvPicPr>
                      <a:picLocks noChangeAspect="1" noChangeArrowheads="1"/>
                    </pic:cNvPicPr>
                  </pic:nvPicPr>
                  <pic:blipFill>
                    <a:blip r:embed="rId13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-911860</wp:posOffset>
            </wp:positionV>
            <wp:extent cx="12700" cy="8890"/>
            <wp:wrapNone/>
            <wp:docPr id="1361" name="Picture 1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1"/>
                    <pic:cNvPicPr>
                      <a:picLocks noChangeAspect="1" noChangeArrowheads="1"/>
                    </pic:cNvPicPr>
                  </pic:nvPicPr>
                  <pic:blipFill>
                    <a:blip r:embed="rId13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-911860</wp:posOffset>
            </wp:positionV>
            <wp:extent cx="12700" cy="8890"/>
            <wp:wrapNone/>
            <wp:docPr id="1362" name="Picture 1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2"/>
                    <pic:cNvPicPr>
                      <a:picLocks noChangeAspect="1" noChangeArrowheads="1"/>
                    </pic:cNvPicPr>
                  </pic:nvPicPr>
                  <pic:blipFill>
                    <a:blip r:embed="rId13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3338830</wp:posOffset>
            </wp:positionH>
            <wp:positionV relativeFrom="paragraph">
              <wp:posOffset>-911860</wp:posOffset>
            </wp:positionV>
            <wp:extent cx="12700" cy="8890"/>
            <wp:wrapNone/>
            <wp:docPr id="1363" name="Picture 1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3"/>
                    <pic:cNvPicPr>
                      <a:picLocks noChangeAspect="1" noChangeArrowheads="1"/>
                    </pic:cNvPicPr>
                  </pic:nvPicPr>
                  <pic:blipFill>
                    <a:blip r:embed="rId137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6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 xml:space="preserve">IC targets are set in </w:t>
      </w:r>
      <w:r>
        <w:rPr>
          <w:rFonts w:ascii="Times New Roman" w:cs="Times New Roman" w:eastAsia="Times New Roman" w:hAnsi="Times New Roman"/>
          <w:sz w:val="18"/>
          <w:szCs w:val="18"/>
          <w:i w:val="1"/>
          <w:iCs w:val="1"/>
          <w:color w:val="auto"/>
        </w:rPr>
        <w:t>5% increments</w:t>
      </w:r>
      <w:r>
        <w:rPr>
          <w:rFonts w:ascii="Times New Roman" w:cs="Times New Roman" w:eastAsia="Times New Roman" w:hAnsi="Times New Roman"/>
          <w:sz w:val="18"/>
          <w:szCs w:val="18"/>
          <w:color w:val="auto"/>
        </w:rPr>
        <w:t>. When determining the appropriate target, the following are considered:</w:t>
      </w:r>
    </w:p>
    <w:p>
      <w:pPr>
        <w:spacing w:after="0" w:line="241" w:lineRule="exact"/>
        <w:rPr>
          <w:sz w:val="20"/>
          <w:szCs w:val="20"/>
          <w:color w:val="auto"/>
        </w:rPr>
      </w:pPr>
    </w:p>
    <w:p>
      <w:pPr>
        <w:ind w:left="1080" w:hanging="532"/>
        <w:spacing w:after="0"/>
        <w:tabs>
          <w:tab w:leader="none" w:pos="10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associate's position relative to those of other participants in the department;</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associate's anticipated contribution to the organization's success; and</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Targeted total compensation package that is competitive with similar positions in the appropriate labor market or industry.</w:t>
      </w:r>
    </w:p>
    <w:p>
      <w:pPr>
        <w:spacing w:after="0" w:line="225" w:lineRule="exact"/>
        <w:rPr>
          <w:sz w:val="20"/>
          <w:szCs w:val="20"/>
          <w:color w:val="auto"/>
        </w:rPr>
      </w:pPr>
    </w:p>
    <w:p>
      <w:pPr>
        <w:ind w:right="120" w:firstLine="351"/>
        <w:spacing w:after="0" w:line="275" w:lineRule="auto"/>
        <w:rPr>
          <w:sz w:val="20"/>
          <w:szCs w:val="20"/>
          <w:color w:val="auto"/>
        </w:rPr>
      </w:pPr>
      <w:r>
        <w:rPr>
          <w:rFonts w:ascii="Times New Roman" w:cs="Times New Roman" w:eastAsia="Times New Roman" w:hAnsi="Times New Roman"/>
          <w:sz w:val="18"/>
          <w:szCs w:val="18"/>
          <w:color w:val="auto"/>
        </w:rPr>
        <w:t>IC targets will be set at the beginning of the Plan year or at time of hire. If the IC target percentage changes, the manager will explain how the target will be prorated for payout purposes (if appropriate) and whether or not the performance expectations and weightings will change for the current Plan year.</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IC Components</w:t>
      </w:r>
    </w:p>
    <w:p>
      <w:pPr>
        <w:spacing w:after="0" w:line="229" w:lineRule="exact"/>
        <w:rPr>
          <w:sz w:val="20"/>
          <w:szCs w:val="20"/>
          <w:color w:val="auto"/>
        </w:rPr>
      </w:pPr>
    </w:p>
    <w:p>
      <w:pPr>
        <w:ind w:right="700" w:firstLine="341"/>
        <w:spacing w:after="0" w:line="339" w:lineRule="auto"/>
        <w:rPr>
          <w:sz w:val="20"/>
          <w:szCs w:val="20"/>
          <w:color w:val="auto"/>
        </w:rPr>
      </w:pPr>
      <w:r>
        <w:rPr>
          <w:rFonts w:ascii="Times New Roman" w:cs="Times New Roman" w:eastAsia="Times New Roman" w:hAnsi="Times New Roman"/>
          <w:sz w:val="16"/>
          <w:szCs w:val="16"/>
          <w:color w:val="auto"/>
        </w:rPr>
        <w:t>All performance goals should be established and communicated to the participant at the beginning of the Plan year or within 30 days of becoming a participant in the Plan. The degree to which these performance goals are accomplished have an impact on the actual incentive earned from the Plan.</w:t>
      </w:r>
    </w:p>
    <w:p>
      <w:pPr>
        <w:spacing w:after="0" w:line="126" w:lineRule="exact"/>
        <w:rPr>
          <w:sz w:val="20"/>
          <w:szCs w:val="20"/>
          <w:color w:val="auto"/>
        </w:rPr>
      </w:pPr>
    </w:p>
    <w:p>
      <w:pPr>
        <w:ind w:left="340"/>
        <w:spacing w:after="0"/>
        <w:tabs>
          <w:tab w:leader="none" w:pos="3500" w:val="left"/>
        </w:tabs>
        <w:rPr>
          <w:sz w:val="20"/>
          <w:szCs w:val="20"/>
          <w:color w:val="auto"/>
        </w:rPr>
      </w:pPr>
      <w:r>
        <w:rPr>
          <w:rFonts w:ascii="Times New Roman" w:cs="Times New Roman" w:eastAsia="Times New Roman" w:hAnsi="Times New Roman"/>
          <w:sz w:val="18"/>
          <w:szCs w:val="18"/>
          <w:b w:val="1"/>
          <w:bCs w:val="1"/>
          <w:color w:val="auto"/>
        </w:rPr>
        <w:t>Alliance Revenue and EBITDA Targets:</w:t>
      </w:r>
      <w:r>
        <w:rPr>
          <w:sz w:val="20"/>
          <w:szCs w:val="20"/>
          <w:color w:val="auto"/>
        </w:rPr>
        <w:tab/>
      </w:r>
      <w:r>
        <w:rPr>
          <w:rFonts w:ascii="Times New Roman" w:cs="Times New Roman" w:eastAsia="Times New Roman" w:hAnsi="Times New Roman"/>
          <w:sz w:val="16"/>
          <w:szCs w:val="16"/>
          <w:color w:val="auto"/>
        </w:rPr>
        <w:t>The Revenue and Earnings Before Interest, Taxes, Depreciation and Amortization ("EBITDA") targets make up</w:t>
      </w:r>
    </w:p>
    <w:p>
      <w:pPr>
        <w:spacing w:after="0" w:line="23"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25%-75% of a participant's IC payment (see Standard Weightings Chart below). The Board of Directors of the Company approves the Revenue and EBITDA targets.</w:t>
      </w:r>
    </w:p>
    <w:p>
      <w:pPr>
        <w:spacing w:after="0" w:line="184" w:lineRule="exact"/>
        <w:rPr>
          <w:sz w:val="20"/>
          <w:szCs w:val="20"/>
          <w:color w:val="auto"/>
        </w:rPr>
      </w:pPr>
    </w:p>
    <w:p>
      <w:pPr>
        <w:ind w:firstLine="351"/>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LOB Revenue and EBITDA Targets: </w:t>
      </w:r>
      <w:r>
        <w:rPr>
          <w:rFonts w:ascii="Times New Roman" w:cs="Times New Roman" w:eastAsia="Times New Roman" w:hAnsi="Times New Roman"/>
          <w:sz w:val="18"/>
          <w:szCs w:val="18"/>
          <w:color w:val="auto"/>
        </w:rPr>
        <w:t>There are a number of financial measures that can be used to determine success for a particular area or individual.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appropriate Executive Vice President, along with the Senior Vice President of Human Resources and Corporate Compensation will determine if sub-measures will be used for a particular LOB or a particular individual. However, it is intended that the Board of Directors approve the achievement of LOB Revenue and EBITDA for payout purposes.</w:t>
      </w:r>
    </w:p>
    <w:p>
      <w:pPr>
        <w:sectPr>
          <w:pgSz w:w="11900" w:h="16838" w:orient="portrait"/>
          <w:cols w:equalWidth="0" w:num="1">
            <w:col w:w="11420"/>
          </w:cols>
          <w:pgMar w:left="240" w:top="125" w:right="239" w:bottom="104" w:gutter="0" w:footer="0" w:header="0"/>
        </w:sectPr>
      </w:pPr>
    </w:p>
    <w:bookmarkStart w:id="78" w:name="page79"/>
    <w:bookmarkEnd w:id="78"/>
    <w:p>
      <w:pPr>
        <w:spacing w:after="0" w:line="47" w:lineRule="exact"/>
        <w:rPr>
          <w:sz w:val="20"/>
          <w:szCs w:val="20"/>
          <w:color w:val="auto"/>
        </w:rPr>
      </w:pPr>
    </w:p>
    <w:p>
      <w:pPr>
        <w:jc w:val="both"/>
        <w:ind w:right="60" w:firstLine="341"/>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Associate Satisfaction Index: </w:t>
      </w:r>
      <w:r>
        <w:rPr>
          <w:rFonts w:ascii="Times New Roman" w:cs="Times New Roman" w:eastAsia="Times New Roman" w:hAnsi="Times New Roman"/>
          <w:sz w:val="18"/>
          <w:szCs w:val="18"/>
          <w:color w:val="auto"/>
        </w:rPr>
        <w:t>The annual administration of the Associate Survey and the tracking of data (i.e., improvement expectations) are designed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motivate ongoing attention to issues that affect</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64" name="Picture 1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4"/>
                    <pic:cNvPicPr>
                      <a:picLocks noChangeAspect="1" noChangeArrowheads="1"/>
                    </pic:cNvPicPr>
                  </pic:nvPicPr>
                  <pic:blipFill>
                    <a:blip r:embed="rId13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both"/>
        <w:ind w:right="60"/>
        <w:spacing w:after="0" w:line="258" w:lineRule="auto"/>
        <w:rPr>
          <w:sz w:val="20"/>
          <w:szCs w:val="20"/>
          <w:color w:val="auto"/>
        </w:rPr>
      </w:pPr>
      <w:r>
        <w:rPr>
          <w:rFonts w:ascii="Times New Roman" w:cs="Times New Roman" w:eastAsia="Times New Roman" w:hAnsi="Times New Roman"/>
          <w:sz w:val="18"/>
          <w:szCs w:val="18"/>
          <w:color w:val="auto"/>
        </w:rPr>
        <w:t>quality of client service, as well as the development and retention of associates. The Associate Satisfaction Index ("ASI") is a component of the Associate Survey process. The ASI component is designed to recognize and incent critical non-financial organizational factors that contribute to sustainable business performance and provide a competitive advantage in recruiting, developing and retaining high performing associates. Targets are set at the beginning of each year along with a payout schedule. See Attachment A for more information.</w:t>
      </w:r>
    </w:p>
    <w:p>
      <w:pPr>
        <w:spacing w:after="0" w:line="188" w:lineRule="exact"/>
        <w:rPr>
          <w:sz w:val="20"/>
          <w:szCs w:val="20"/>
          <w:color w:val="auto"/>
        </w:rPr>
      </w:pPr>
    </w:p>
    <w:p>
      <w:pPr>
        <w:ind w:right="40" w:firstLine="351"/>
        <w:spacing w:after="0" w:line="264" w:lineRule="auto"/>
        <w:rPr>
          <w:sz w:val="20"/>
          <w:szCs w:val="20"/>
          <w:color w:val="auto"/>
        </w:rPr>
      </w:pPr>
      <w:r>
        <w:rPr>
          <w:rFonts w:ascii="Times New Roman" w:cs="Times New Roman" w:eastAsia="Times New Roman" w:hAnsi="Times New Roman"/>
          <w:sz w:val="18"/>
          <w:szCs w:val="18"/>
          <w:b w:val="1"/>
          <w:bCs w:val="1"/>
          <w:color w:val="auto"/>
        </w:rPr>
        <w:t xml:space="preserve">Individual Expectations: </w:t>
      </w:r>
      <w:r>
        <w:rPr>
          <w:rFonts w:ascii="Times New Roman" w:cs="Times New Roman" w:eastAsia="Times New Roman" w:hAnsi="Times New Roman"/>
          <w:sz w:val="18"/>
          <w:szCs w:val="18"/>
          <w:color w:val="auto"/>
        </w:rPr>
        <w:t>The Weightings Chart identifies those participants that have 25%-50% of their IC payments based upon the achievement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individual expectations or team strategic imperatives (or action steps to accomplish the strategic imperatives) as determined between the participant and his or her manager. A sample worksheet has been provided in Attachment B.</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Standard Weightings Chart for IC Components</w:t>
      </w:r>
    </w:p>
    <w:p>
      <w:pPr>
        <w:spacing w:after="0" w:line="229" w:lineRule="exact"/>
        <w:rPr>
          <w:sz w:val="20"/>
          <w:szCs w:val="20"/>
          <w:color w:val="auto"/>
        </w:rPr>
      </w:pPr>
    </w:p>
    <w:p>
      <w:pPr>
        <w:ind w:right="20" w:firstLine="351"/>
        <w:spacing w:after="0" w:line="301" w:lineRule="auto"/>
        <w:rPr>
          <w:sz w:val="20"/>
          <w:szCs w:val="20"/>
          <w:color w:val="auto"/>
        </w:rPr>
      </w:pPr>
      <w:r>
        <w:rPr>
          <w:rFonts w:ascii="Times New Roman" w:cs="Times New Roman" w:eastAsia="Times New Roman" w:hAnsi="Times New Roman"/>
          <w:sz w:val="16"/>
          <w:szCs w:val="16"/>
          <w:color w:val="auto"/>
        </w:rPr>
        <w:t>IC objectives are weighted to drive financial and individual performance and increase associate satisfaction. LOBs have the ability to use specific components that closely reflect Alliance Scorecard measurements. In addition, LOBs may adjust the standard components to include measurable financial drivers, such as bad debt or specific client revenue goals, with review and approval by the appropriate Executive Vice President, along with the Senior Vice President of Human Resources and Corporate Compensation. The participant's grade/job level as of October 1, 2003 will be used to determine the overall weightings.</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2003 IC Plan</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Standard Components and Weightings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5260" w:type="dxa"/>
            <w:vAlign w:val="bottom"/>
          </w:tcPr>
          <w:p>
            <w:pPr>
              <w:spacing w:after="0"/>
              <w:rPr>
                <w:sz w:val="13"/>
                <w:szCs w:val="13"/>
                <w:color w:val="auto"/>
              </w:rPr>
            </w:pPr>
          </w:p>
        </w:tc>
        <w:tc>
          <w:tcPr>
            <w:tcW w:w="148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Senior Leadership</w:t>
            </w:r>
          </w:p>
        </w:tc>
        <w:tc>
          <w:tcPr>
            <w:tcW w:w="17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6"/>
              </w:rPr>
              <w:t>Exempts with Direct</w:t>
            </w:r>
          </w:p>
        </w:tc>
        <w:tc>
          <w:tcPr>
            <w:tcW w:w="128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740" w:type="dxa"/>
            <w:vAlign w:val="bottom"/>
            <w:gridSpan w:val="2"/>
          </w:tcPr>
          <w:p>
            <w:pPr>
              <w:jc w:val="center"/>
              <w:ind w:right="200"/>
              <w:spacing w:after="0" w:line="139" w:lineRule="exact"/>
              <w:rPr>
                <w:sz w:val="20"/>
                <w:szCs w:val="20"/>
                <w:color w:val="auto"/>
              </w:rPr>
            </w:pPr>
            <w:r>
              <w:rPr>
                <w:rFonts w:ascii="Times New Roman" w:cs="Times New Roman" w:eastAsia="Times New Roman" w:hAnsi="Times New Roman"/>
                <w:sz w:val="14"/>
                <w:szCs w:val="14"/>
                <w:b w:val="1"/>
                <w:bCs w:val="1"/>
                <w:color w:val="auto"/>
                <w:w w:val="96"/>
              </w:rPr>
              <w:t>Supervisory</w:t>
            </w:r>
          </w:p>
        </w:tc>
        <w:tc>
          <w:tcPr>
            <w:tcW w:w="12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148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Team</w:t>
            </w:r>
            <w:r>
              <w:rPr>
                <w:rFonts w:ascii="Times New Roman" w:cs="Times New Roman" w:eastAsia="Times New Roman" w:hAnsi="Times New Roman"/>
                <w:sz w:val="22"/>
                <w:szCs w:val="22"/>
                <w:b w:val="1"/>
                <w:bCs w:val="1"/>
                <w:color w:val="auto"/>
                <w:vertAlign w:val="superscript"/>
              </w:rPr>
              <w:t>1</w:t>
            </w:r>
          </w:p>
        </w:tc>
        <w:tc>
          <w:tcPr>
            <w:tcW w:w="17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6"/>
              </w:rPr>
              <w:t>Responsibility</w:t>
            </w:r>
          </w:p>
        </w:tc>
        <w:tc>
          <w:tcPr>
            <w:tcW w:w="128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Exempts</w:t>
            </w:r>
            <w:r>
              <w:rPr>
                <w:rFonts w:ascii="Times New Roman" w:cs="Times New Roman" w:eastAsia="Times New Roman" w:hAnsi="Times New Roman"/>
                <w:sz w:val="22"/>
                <w:szCs w:val="22"/>
                <w:b w:val="1"/>
                <w:bCs w:val="1"/>
                <w:color w:val="auto"/>
                <w:vertAlign w:val="superscript"/>
              </w:rPr>
              <w:t>2</w:t>
            </w: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5260" w:type="dxa"/>
            <w:vAlign w:val="bottom"/>
          </w:tcPr>
          <w:p>
            <w:pPr>
              <w:spacing w:after="0"/>
              <w:rPr>
                <w:sz w:val="9"/>
                <w:szCs w:val="9"/>
                <w:color w:val="auto"/>
              </w:rPr>
            </w:pPr>
          </w:p>
        </w:tc>
        <w:tc>
          <w:tcPr>
            <w:tcW w:w="1280" w:type="dxa"/>
            <w:vAlign w:val="bottom"/>
            <w:tcBorders>
              <w:top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520" w:type="dxa"/>
            <w:vAlign w:val="bottom"/>
            <w:tcBorders>
              <w:top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060" w:type="dxa"/>
            <w:vAlign w:val="bottom"/>
            <w:tcBorders>
              <w:top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LOB</w:t>
            </w:r>
          </w:p>
        </w:tc>
        <w:tc>
          <w:tcPr>
            <w:tcW w:w="52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LOB EBITDA</w:t>
            </w:r>
          </w:p>
        </w:tc>
        <w:tc>
          <w:tcPr>
            <w:tcW w:w="1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50%</w:t>
            </w:r>
          </w:p>
        </w:tc>
        <w:tc>
          <w:tcPr>
            <w:tcW w:w="1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25%</w:t>
            </w: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5260" w:type="dxa"/>
            <w:vAlign w:val="bottom"/>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LOB Revenue</w:t>
            </w: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25%</w:t>
            </w:r>
          </w:p>
        </w:tc>
        <w:tc>
          <w:tcPr>
            <w:tcW w:w="1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25%</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25%</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640" w:type="dxa"/>
            <w:vAlign w:val="bottom"/>
            <w:shd w:val="clear" w:color="auto" w:fill="CCEEFF"/>
          </w:tcPr>
          <w:p>
            <w:pPr>
              <w:spacing w:after="0"/>
              <w:rPr>
                <w:sz w:val="22"/>
                <w:szCs w:val="22"/>
                <w:color w:val="auto"/>
              </w:rPr>
            </w:pPr>
          </w:p>
        </w:tc>
        <w:tc>
          <w:tcPr>
            <w:tcW w:w="5260" w:type="dxa"/>
            <w:vAlign w:val="bottom"/>
            <w:shd w:val="clear" w:color="auto" w:fill="CCEEFF"/>
          </w:tcPr>
          <w:p>
            <w:pPr>
              <w:jc w:val="right"/>
              <w:ind w:right="132"/>
              <w:spacing w:after="0" w:line="256" w:lineRule="exact"/>
              <w:rPr>
                <w:sz w:val="20"/>
                <w:szCs w:val="20"/>
                <w:color w:val="auto"/>
              </w:rPr>
            </w:pPr>
            <w:r>
              <w:rPr>
                <w:rFonts w:ascii="Times New Roman" w:cs="Times New Roman" w:eastAsia="Times New Roman" w:hAnsi="Times New Roman"/>
                <w:sz w:val="18"/>
                <w:szCs w:val="18"/>
                <w:b w:val="1"/>
                <w:bCs w:val="1"/>
                <w:color w:val="auto"/>
              </w:rPr>
              <w:t>Associate Satisfaction</w:t>
            </w:r>
            <w:r>
              <w:rPr>
                <w:rFonts w:ascii="Times New Roman" w:cs="Times New Roman" w:eastAsia="Times New Roman" w:hAnsi="Times New Roman"/>
                <w:sz w:val="29"/>
                <w:szCs w:val="29"/>
                <w:b w:val="1"/>
                <w:bCs w:val="1"/>
                <w:color w:val="auto"/>
                <w:vertAlign w:val="superscript"/>
              </w:rPr>
              <w:t>3</w:t>
            </w:r>
          </w:p>
        </w:tc>
        <w:tc>
          <w:tcPr>
            <w:tcW w:w="1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25%</w:t>
            </w:r>
          </w:p>
        </w:tc>
        <w:tc>
          <w:tcPr>
            <w:tcW w:w="1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25%</w:t>
            </w: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5260" w:type="dxa"/>
            <w:vAlign w:val="bottom"/>
          </w:tcPr>
          <w:p>
            <w:pPr>
              <w:jc w:val="right"/>
              <w:ind w:right="132"/>
              <w:spacing w:after="0" w:line="256" w:lineRule="exact"/>
              <w:rPr>
                <w:sz w:val="20"/>
                <w:szCs w:val="20"/>
                <w:color w:val="auto"/>
              </w:rPr>
            </w:pPr>
            <w:r>
              <w:rPr>
                <w:rFonts w:ascii="Times New Roman" w:cs="Times New Roman" w:eastAsia="Times New Roman" w:hAnsi="Times New Roman"/>
                <w:sz w:val="18"/>
                <w:szCs w:val="18"/>
                <w:b w:val="1"/>
                <w:bCs w:val="1"/>
                <w:color w:val="auto"/>
              </w:rPr>
              <w:t>Individual Expectations</w:t>
            </w:r>
            <w:r>
              <w:rPr>
                <w:rFonts w:ascii="Times New Roman" w:cs="Times New Roman" w:eastAsia="Times New Roman" w:hAnsi="Times New Roman"/>
                <w:sz w:val="29"/>
                <w:szCs w:val="29"/>
                <w:b w:val="1"/>
                <w:bCs w:val="1"/>
                <w:color w:val="auto"/>
                <w:vertAlign w:val="superscript"/>
              </w:rPr>
              <w:t>4</w:t>
            </w: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0%</w:t>
            </w:r>
          </w:p>
        </w:tc>
        <w:tc>
          <w:tcPr>
            <w:tcW w:w="1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25%</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50%</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BSG</w:t>
            </w:r>
          </w:p>
        </w:tc>
        <w:tc>
          <w:tcPr>
            <w:tcW w:w="52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Alliance EBITDA</w:t>
            </w:r>
          </w:p>
        </w:tc>
        <w:tc>
          <w:tcPr>
            <w:tcW w:w="1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50%</w:t>
            </w:r>
          </w:p>
        </w:tc>
        <w:tc>
          <w:tcPr>
            <w:tcW w:w="1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25%</w:t>
            </w: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5260" w:type="dxa"/>
            <w:vAlign w:val="bottom"/>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Alliance Revenue</w:t>
            </w: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25%</w:t>
            </w:r>
          </w:p>
        </w:tc>
        <w:tc>
          <w:tcPr>
            <w:tcW w:w="1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25%</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25%</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640" w:type="dxa"/>
            <w:vAlign w:val="bottom"/>
            <w:shd w:val="clear" w:color="auto" w:fill="CCEEFF"/>
          </w:tcPr>
          <w:p>
            <w:pPr>
              <w:spacing w:after="0"/>
              <w:rPr>
                <w:sz w:val="22"/>
                <w:szCs w:val="22"/>
                <w:color w:val="auto"/>
              </w:rPr>
            </w:pPr>
          </w:p>
        </w:tc>
        <w:tc>
          <w:tcPr>
            <w:tcW w:w="5260" w:type="dxa"/>
            <w:vAlign w:val="bottom"/>
            <w:shd w:val="clear" w:color="auto" w:fill="CCEEFF"/>
          </w:tcPr>
          <w:p>
            <w:pPr>
              <w:jc w:val="right"/>
              <w:ind w:right="132"/>
              <w:spacing w:after="0" w:line="256" w:lineRule="exact"/>
              <w:rPr>
                <w:sz w:val="20"/>
                <w:szCs w:val="20"/>
                <w:color w:val="auto"/>
              </w:rPr>
            </w:pPr>
            <w:r>
              <w:rPr>
                <w:rFonts w:ascii="Times New Roman" w:cs="Times New Roman" w:eastAsia="Times New Roman" w:hAnsi="Times New Roman"/>
                <w:sz w:val="18"/>
                <w:szCs w:val="18"/>
                <w:b w:val="1"/>
                <w:bCs w:val="1"/>
                <w:color w:val="auto"/>
              </w:rPr>
              <w:t>Associate Satisfaction</w:t>
            </w:r>
            <w:r>
              <w:rPr>
                <w:rFonts w:ascii="Times New Roman" w:cs="Times New Roman" w:eastAsia="Times New Roman" w:hAnsi="Times New Roman"/>
                <w:sz w:val="29"/>
                <w:szCs w:val="29"/>
                <w:b w:val="1"/>
                <w:bCs w:val="1"/>
                <w:color w:val="auto"/>
                <w:vertAlign w:val="superscript"/>
              </w:rPr>
              <w:t>3</w:t>
            </w:r>
          </w:p>
        </w:tc>
        <w:tc>
          <w:tcPr>
            <w:tcW w:w="1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25%</w:t>
            </w:r>
          </w:p>
        </w:tc>
        <w:tc>
          <w:tcPr>
            <w:tcW w:w="1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25%</w:t>
            </w: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375"/>
        </w:trPr>
        <w:tc>
          <w:tcPr>
            <w:tcW w:w="20" w:type="dxa"/>
            <w:vAlign w:val="bottom"/>
          </w:tcPr>
          <w:p>
            <w:pPr>
              <w:spacing w:after="0"/>
              <w:rPr>
                <w:sz w:val="24"/>
                <w:szCs w:val="24"/>
                <w:color w:val="auto"/>
              </w:rPr>
            </w:pPr>
          </w:p>
        </w:tc>
        <w:tc>
          <w:tcPr>
            <w:tcW w:w="1640" w:type="dxa"/>
            <w:vAlign w:val="bottom"/>
            <w:tcBorders>
              <w:bottom w:val="single" w:sz="8" w:color="808080"/>
            </w:tcBorders>
          </w:tcPr>
          <w:p>
            <w:pPr>
              <w:spacing w:after="0"/>
              <w:rPr>
                <w:sz w:val="24"/>
                <w:szCs w:val="24"/>
                <w:color w:val="auto"/>
              </w:rPr>
            </w:pPr>
          </w:p>
        </w:tc>
        <w:tc>
          <w:tcPr>
            <w:tcW w:w="5260" w:type="dxa"/>
            <w:vAlign w:val="bottom"/>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Individual Expectations</w:t>
            </w:r>
            <w:r>
              <w:rPr>
                <w:rFonts w:ascii="Times New Roman" w:cs="Times New Roman" w:eastAsia="Times New Roman" w:hAnsi="Times New Roman"/>
                <w:sz w:val="29"/>
                <w:szCs w:val="29"/>
                <w:b w:val="1"/>
                <w:bCs w:val="1"/>
                <w:color w:val="auto"/>
                <w:vertAlign w:val="superscript"/>
              </w:rPr>
              <w:t>4</w:t>
            </w: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0%</w:t>
            </w:r>
          </w:p>
        </w:tc>
        <w:tc>
          <w:tcPr>
            <w:tcW w:w="1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25%</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-1506220</wp:posOffset>
            </wp:positionV>
            <wp:extent cx="12700" cy="8890"/>
            <wp:wrapNone/>
            <wp:docPr id="1365" name="Picture 1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5"/>
                    <pic:cNvPicPr>
                      <a:picLocks noChangeAspect="1" noChangeArrowheads="1"/>
                    </pic:cNvPicPr>
                  </pic:nvPicPr>
                  <pic:blipFill>
                    <a:blip r:embed="rId13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4393565</wp:posOffset>
            </wp:positionH>
            <wp:positionV relativeFrom="paragraph">
              <wp:posOffset>-1506220</wp:posOffset>
            </wp:positionV>
            <wp:extent cx="12700" cy="8890"/>
            <wp:wrapNone/>
            <wp:docPr id="1366" name="Picture 1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6"/>
                    <pic:cNvPicPr>
                      <a:picLocks noChangeAspect="1" noChangeArrowheads="1"/>
                    </pic:cNvPicPr>
                  </pic:nvPicPr>
                  <pic:blipFill>
                    <a:blip r:embed="rId13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-1506220</wp:posOffset>
            </wp:positionV>
            <wp:extent cx="12700" cy="8890"/>
            <wp:wrapNone/>
            <wp:docPr id="1367" name="Picture 1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7"/>
                    <pic:cNvPicPr>
                      <a:picLocks noChangeAspect="1" noChangeArrowheads="1"/>
                    </pic:cNvPicPr>
                  </pic:nvPicPr>
                  <pic:blipFill>
                    <a:blip r:embed="rId13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-1506220</wp:posOffset>
            </wp:positionV>
            <wp:extent cx="12700" cy="8890"/>
            <wp:wrapNone/>
            <wp:docPr id="1368" name="Picture 1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8"/>
                    <pic:cNvPicPr>
                      <a:picLocks noChangeAspect="1" noChangeArrowheads="1"/>
                    </pic:cNvPicPr>
                  </pic:nvPicPr>
                  <pic:blipFill>
                    <a:blip r:embed="rId13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-1506220</wp:posOffset>
            </wp:positionV>
            <wp:extent cx="12700" cy="8890"/>
            <wp:wrapNone/>
            <wp:docPr id="1369" name="Picture 1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9"/>
                    <pic:cNvPicPr>
                      <a:picLocks noChangeAspect="1" noChangeArrowheads="1"/>
                    </pic:cNvPicPr>
                  </pic:nvPicPr>
                  <pic:blipFill>
                    <a:blip r:embed="rId13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-1506220</wp:posOffset>
            </wp:positionV>
            <wp:extent cx="12700" cy="8890"/>
            <wp:wrapNone/>
            <wp:docPr id="1370" name="Picture 1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0"/>
                    <pic:cNvPicPr>
                      <a:picLocks noChangeAspect="1" noChangeArrowheads="1"/>
                    </pic:cNvPicPr>
                  </pic:nvPicPr>
                  <pic:blipFill>
                    <a:blip r:embed="rId13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1371" name="Picture 1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1"/>
                    <pic:cNvPicPr>
                      <a:picLocks noChangeAspect="1" noChangeArrowheads="1"/>
                    </pic:cNvPicPr>
                  </pic:nvPicPr>
                  <pic:blipFill>
                    <a:blip r:embed="rId13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72" name="Picture 1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2"/>
                    <pic:cNvPicPr>
                      <a:picLocks noChangeAspect="1" noChangeArrowheads="1"/>
                    </pic:cNvPicPr>
                  </pic:nvPicPr>
                  <pic:blipFill>
                    <a:blip r:embed="rId137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78" w:lineRule="exact"/>
        <w:rPr>
          <w:sz w:val="20"/>
          <w:szCs w:val="20"/>
          <w:color w:val="auto"/>
        </w:rPr>
      </w:pPr>
    </w:p>
    <w:p>
      <w:pPr>
        <w:ind w:left="540" w:right="100" w:hanging="532"/>
        <w:spacing w:after="0" w:line="220" w:lineRule="auto"/>
        <w:tabs>
          <w:tab w:leader="none" w:pos="540" w:val="left"/>
        </w:tabs>
        <w:numPr>
          <w:ilvl w:val="0"/>
          <w:numId w:val="104"/>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The LOB/BSG executive has some flexibility to establish targets—by individual—that are important for the success of his or her respective area. The Individual Expectations weighting should not be used for SLT members unless it is used to drive financial performance. Any changes to the standard components, weightings or payout tables should be sent to Corporate Compensation for approval by the appropriate Executive Vice President, along with the Senior Vice President of Human Resources and Corporate Compensation.</w:t>
      </w:r>
    </w:p>
    <w:p>
      <w:pPr>
        <w:spacing w:after="0" w:line="219" w:lineRule="exact"/>
        <w:rPr>
          <w:sz w:val="20"/>
          <w:szCs w:val="20"/>
          <w:color w:val="auto"/>
        </w:rPr>
      </w:pPr>
    </w:p>
    <w:p>
      <w:pPr>
        <w:ind w:left="540" w:right="340" w:hanging="532"/>
        <w:spacing w:after="0" w:line="197" w:lineRule="auto"/>
        <w:tabs>
          <w:tab w:leader="none" w:pos="540" w:val="left"/>
        </w:tabs>
        <w:numPr>
          <w:ilvl w:val="0"/>
          <w:numId w:val="105"/>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The LOB/BSG has some flexibility in reassigning Revenue targets for those associates who fall into an all other eligible exempt category or in unique cases.</w:t>
      </w:r>
    </w:p>
    <w:p>
      <w:pPr>
        <w:spacing w:after="0" w:line="205" w:lineRule="exact"/>
        <w:rPr>
          <w:sz w:val="20"/>
          <w:szCs w:val="20"/>
          <w:color w:val="auto"/>
        </w:rPr>
      </w:pPr>
    </w:p>
    <w:p>
      <w:pPr>
        <w:ind w:left="540" w:right="760" w:hanging="532"/>
        <w:spacing w:after="0" w:line="197" w:lineRule="auto"/>
        <w:tabs>
          <w:tab w:leader="none" w:pos="540" w:val="left"/>
        </w:tabs>
        <w:numPr>
          <w:ilvl w:val="0"/>
          <w:numId w:val="106"/>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Some participants, such as National Account Managers ("NAMs"), may have more emphasis on client relationships than Associate Satisfaction. LOB/BSG executives can determine how they want to distribute the weightings for these positions.</w:t>
      </w:r>
    </w:p>
    <w:p>
      <w:pPr>
        <w:spacing w:after="0" w:line="205" w:lineRule="exact"/>
        <w:rPr>
          <w:sz w:val="20"/>
          <w:szCs w:val="20"/>
          <w:color w:val="auto"/>
        </w:rPr>
      </w:pPr>
    </w:p>
    <w:p>
      <w:pPr>
        <w:ind w:left="540" w:right="240" w:hanging="532"/>
        <w:spacing w:after="0" w:line="197" w:lineRule="auto"/>
        <w:tabs>
          <w:tab w:leader="none" w:pos="540" w:val="left"/>
        </w:tabs>
        <w:numPr>
          <w:ilvl w:val="0"/>
          <w:numId w:val="107"/>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Eligible exempt associates below the Director level should have Individual Expectations that support strategic imperatives ensuring the success of their LOB/BSG and the Company.</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73" name="Picture 1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3"/>
                    <pic:cNvPicPr>
                      <a:picLocks noChangeAspect="1" noChangeArrowheads="1"/>
                    </pic:cNvPicPr>
                  </pic:nvPicPr>
                  <pic:blipFill>
                    <a:blip r:embed="rId13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Determining Payment Calculations</w:t>
      </w:r>
    </w:p>
    <w:p>
      <w:pPr>
        <w:spacing w:after="0" w:line="227" w:lineRule="exact"/>
        <w:rPr>
          <w:sz w:val="20"/>
          <w:szCs w:val="20"/>
          <w:color w:val="auto"/>
        </w:rPr>
      </w:pPr>
    </w:p>
    <w:p>
      <w:pPr>
        <w:ind w:left="340"/>
        <w:spacing w:after="0"/>
        <w:tabs>
          <w:tab w:leader="none" w:pos="1620" w:val="left"/>
        </w:tabs>
        <w:rPr>
          <w:sz w:val="20"/>
          <w:szCs w:val="20"/>
          <w:color w:val="auto"/>
        </w:rPr>
      </w:pPr>
      <w:r>
        <w:rPr>
          <w:rFonts w:ascii="Times New Roman" w:cs="Times New Roman" w:eastAsia="Times New Roman" w:hAnsi="Times New Roman"/>
          <w:sz w:val="18"/>
          <w:szCs w:val="18"/>
          <w:b w:val="1"/>
          <w:bCs w:val="1"/>
          <w:color w:val="auto"/>
        </w:rPr>
        <w:t>Attachment A:</w:t>
      </w:r>
      <w:r>
        <w:rPr>
          <w:sz w:val="20"/>
          <w:szCs w:val="20"/>
          <w:color w:val="auto"/>
        </w:rPr>
        <w:tab/>
      </w:r>
      <w:r>
        <w:rPr>
          <w:rFonts w:ascii="Times New Roman" w:cs="Times New Roman" w:eastAsia="Times New Roman" w:hAnsi="Times New Roman"/>
          <w:sz w:val="16"/>
          <w:szCs w:val="16"/>
          <w:color w:val="auto"/>
        </w:rPr>
        <w:t>ASI Information</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Identifies the relationship between level of performance and the percentage to be paid for achievement of 2003 Associate Satisfaction Survey target results.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ASI component to be paid over 100%, both the applicable EBITDA and Revenue targets must be achieved at 100% or greater.</w:t>
      </w:r>
    </w:p>
    <w:p>
      <w:pPr>
        <w:spacing w:after="0" w:line="211" w:lineRule="exact"/>
        <w:rPr>
          <w:sz w:val="20"/>
          <w:szCs w:val="20"/>
          <w:color w:val="auto"/>
        </w:rPr>
      </w:pPr>
    </w:p>
    <w:p>
      <w:pPr>
        <w:ind w:left="340"/>
        <w:spacing w:after="0"/>
        <w:tabs>
          <w:tab w:leader="none" w:pos="1620" w:val="left"/>
        </w:tabs>
        <w:rPr>
          <w:sz w:val="20"/>
          <w:szCs w:val="20"/>
          <w:color w:val="auto"/>
        </w:rPr>
      </w:pPr>
      <w:r>
        <w:rPr>
          <w:rFonts w:ascii="Times New Roman" w:cs="Times New Roman" w:eastAsia="Times New Roman" w:hAnsi="Times New Roman"/>
          <w:sz w:val="18"/>
          <w:szCs w:val="18"/>
          <w:b w:val="1"/>
          <w:bCs w:val="1"/>
          <w:color w:val="auto"/>
        </w:rPr>
        <w:t>Attachment B:</w:t>
      </w:r>
      <w:r>
        <w:rPr>
          <w:sz w:val="20"/>
          <w:szCs w:val="20"/>
          <w:color w:val="auto"/>
        </w:rPr>
        <w:tab/>
      </w:r>
      <w:r>
        <w:rPr>
          <w:rFonts w:ascii="Times New Roman" w:cs="Times New Roman" w:eastAsia="Times New Roman" w:hAnsi="Times New Roman"/>
          <w:sz w:val="16"/>
          <w:szCs w:val="16"/>
          <w:color w:val="auto"/>
        </w:rPr>
        <w:t>Example Individual Expectations Worksheet</w:t>
      </w:r>
    </w:p>
    <w:p>
      <w:pPr>
        <w:spacing w:after="0" w:line="227" w:lineRule="exact"/>
        <w:rPr>
          <w:sz w:val="20"/>
          <w:szCs w:val="20"/>
          <w:color w:val="auto"/>
        </w:rPr>
      </w:pPr>
    </w:p>
    <w:p>
      <w:pPr>
        <w:ind w:right="180" w:firstLine="348"/>
        <w:spacing w:after="0" w:line="310" w:lineRule="auto"/>
        <w:rPr>
          <w:sz w:val="20"/>
          <w:szCs w:val="20"/>
          <w:color w:val="auto"/>
        </w:rPr>
      </w:pPr>
      <w:r>
        <w:rPr>
          <w:rFonts w:ascii="Times New Roman" w:cs="Times New Roman" w:eastAsia="Times New Roman" w:hAnsi="Times New Roman"/>
          <w:sz w:val="16"/>
          <w:szCs w:val="16"/>
          <w:color w:val="auto"/>
        </w:rPr>
        <w:t>The sample form is provided to facilitate the setting of the Individual Expectations. If a participant is being held accountable for a Company-level strategic imperative (or an action item to accomplish the strategic imperative for the LOB/BSG), that form may also be used. Regardless of the form used, an overall percentage of achievement of the Individual Expectations will be required at the end of 2003 in order to determine the dollar payment for this IC component.</w:t>
      </w:r>
    </w:p>
    <w:p>
      <w:pPr>
        <w:spacing w:after="0" w:line="149" w:lineRule="exact"/>
        <w:rPr>
          <w:sz w:val="20"/>
          <w:szCs w:val="20"/>
          <w:color w:val="auto"/>
        </w:rPr>
      </w:pPr>
    </w:p>
    <w:p>
      <w:pPr>
        <w:ind w:left="340"/>
        <w:spacing w:after="0"/>
        <w:tabs>
          <w:tab w:leader="none" w:pos="1620" w:val="left"/>
        </w:tabs>
        <w:rPr>
          <w:sz w:val="20"/>
          <w:szCs w:val="20"/>
          <w:color w:val="auto"/>
        </w:rPr>
      </w:pPr>
      <w:r>
        <w:rPr>
          <w:rFonts w:ascii="Times New Roman" w:cs="Times New Roman" w:eastAsia="Times New Roman" w:hAnsi="Times New Roman"/>
          <w:sz w:val="18"/>
          <w:szCs w:val="18"/>
          <w:b w:val="1"/>
          <w:bCs w:val="1"/>
          <w:color w:val="auto"/>
        </w:rPr>
        <w:t>Attachment C:</w:t>
      </w:r>
      <w:r>
        <w:rPr>
          <w:sz w:val="20"/>
          <w:szCs w:val="20"/>
          <w:color w:val="auto"/>
        </w:rPr>
        <w:tab/>
      </w:r>
      <w:r>
        <w:rPr>
          <w:rFonts w:ascii="Times New Roman" w:cs="Times New Roman" w:eastAsia="Times New Roman" w:hAnsi="Times New Roman"/>
          <w:sz w:val="16"/>
          <w:szCs w:val="16"/>
          <w:color w:val="auto"/>
        </w:rPr>
        <w:t>Performance/Payout Table for Revenue, EBITDA and Individual Expectations</w:t>
      </w:r>
    </w:p>
    <w:p>
      <w:pPr>
        <w:spacing w:after="0" w:line="227" w:lineRule="exact"/>
        <w:rPr>
          <w:sz w:val="20"/>
          <w:szCs w:val="20"/>
          <w:color w:val="auto"/>
        </w:rPr>
      </w:pPr>
    </w:p>
    <w:p>
      <w:pPr>
        <w:ind w:right="300" w:firstLine="351"/>
        <w:spacing w:after="0" w:line="262" w:lineRule="auto"/>
        <w:rPr>
          <w:sz w:val="20"/>
          <w:szCs w:val="20"/>
          <w:color w:val="auto"/>
        </w:rPr>
      </w:pPr>
      <w:r>
        <w:rPr>
          <w:rFonts w:ascii="Times New Roman" w:cs="Times New Roman" w:eastAsia="Times New Roman" w:hAnsi="Times New Roman"/>
          <w:sz w:val="18"/>
          <w:szCs w:val="18"/>
          <w:color w:val="auto"/>
        </w:rPr>
        <w:t>Identifies the relationship between level of performance and the percentage to be paid for the achievement of the Alliance Revenue &amp; Alliance EBITDA, LOB Revenue &amp; LOB EBITDA, and Individual Expectations targets. A minimum of 80% must be achieved for any payment to be received; performance of 120% or greater receives the maximum payment of 150%. Percentages are rounded to the nearer whole number.</w:t>
      </w:r>
    </w:p>
    <w:p>
      <w:pPr>
        <w:sectPr>
          <w:pgSz w:w="11900" w:h="16886" w:orient="portrait"/>
          <w:cols w:equalWidth="0" w:num="1">
            <w:col w:w="11420"/>
          </w:cols>
          <w:pgMar w:left="240" w:top="123" w:right="239" w:bottom="0" w:gutter="0" w:footer="0" w:header="0"/>
        </w:sectPr>
      </w:pPr>
    </w:p>
    <w:bookmarkStart w:id="79" w:name="page80"/>
    <w:bookmarkEnd w:id="79"/>
    <w:p>
      <w:pPr>
        <w:spacing w:after="0" w:line="62" w:lineRule="exact"/>
        <w:rPr>
          <w:sz w:val="20"/>
          <w:szCs w:val="20"/>
          <w:color w:val="auto"/>
        </w:rPr>
      </w:pPr>
    </w:p>
    <w:p>
      <w:pPr>
        <w:ind w:right="120" w:firstLine="351"/>
        <w:spacing w:after="0" w:line="262" w:lineRule="auto"/>
        <w:rPr>
          <w:sz w:val="20"/>
          <w:szCs w:val="20"/>
          <w:color w:val="auto"/>
        </w:rPr>
      </w:pPr>
      <w:r>
        <w:rPr>
          <w:rFonts w:ascii="Times New Roman" w:cs="Times New Roman" w:eastAsia="Times New Roman" w:hAnsi="Times New Roman"/>
          <w:sz w:val="18"/>
          <w:szCs w:val="18"/>
          <w:color w:val="auto"/>
        </w:rPr>
        <w:t>For BSGs, both the Alliance EBITDA and Alliance Revenue targets must be achieved at 100% or greater in order for Individual Expectations to be paid above 100% of target. For LOBs, both the LOB EBITDA and LOB Revenue targets must be achieved at 100% or greater in order for Individual Expectations to be paid above 100% of target.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Timing of Payment</w:t>
      </w:r>
    </w:p>
    <w:p>
      <w:pPr>
        <w:spacing w:after="0" w:line="229" w:lineRule="exact"/>
        <w:rPr>
          <w:sz w:val="20"/>
          <w:szCs w:val="20"/>
          <w:color w:val="auto"/>
        </w:rPr>
      </w:pPr>
    </w:p>
    <w:p>
      <w:pPr>
        <w:ind w:right="120" w:firstLine="351"/>
        <w:spacing w:after="0" w:line="262" w:lineRule="auto"/>
        <w:rPr>
          <w:sz w:val="20"/>
          <w:szCs w:val="20"/>
          <w:color w:val="auto"/>
        </w:rPr>
      </w:pPr>
      <w:r>
        <w:rPr>
          <w:rFonts w:ascii="Times New Roman" w:cs="Times New Roman" w:eastAsia="Times New Roman" w:hAnsi="Times New Roman"/>
          <w:sz w:val="18"/>
          <w:szCs w:val="18"/>
          <w:color w:val="auto"/>
        </w:rPr>
        <w:t>IC earned for the 2003 Plan year is paid in the first quarter of the following year. A participant must be actively employed on the date payment is made to receive his or her award. Any participant who is on an approved leave of absence or disability but still on active status will receive his or her payment even if he or she is not actively at work on the date payment is made.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Status Changes That May Affect IC Targets and Payout</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Status changes can affect the amount of incentive a participant receives. Status changes include:</w:t>
      </w:r>
    </w:p>
    <w:p>
      <w:pPr>
        <w:spacing w:after="0" w:line="239" w:lineRule="exact"/>
        <w:rPr>
          <w:sz w:val="20"/>
          <w:szCs w:val="20"/>
          <w:color w:val="auto"/>
        </w:rPr>
      </w:pPr>
    </w:p>
    <w:p>
      <w:pPr>
        <w:ind w:left="1080" w:hanging="532"/>
        <w:spacing w:after="0"/>
        <w:tabs>
          <w:tab w:leader="none" w:pos="108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Hires;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IC Target Changes;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Leaves of Absence; and</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Terminations.</w:t>
      </w:r>
    </w:p>
    <w:p>
      <w:pPr>
        <w:spacing w:after="0" w:line="223" w:lineRule="exact"/>
        <w:rPr>
          <w:sz w:val="20"/>
          <w:szCs w:val="20"/>
          <w:color w:val="auto"/>
        </w:rPr>
      </w:pPr>
    </w:p>
    <w:p>
      <w:pPr>
        <w:ind w:firstLine="3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Transfers: </w:t>
      </w:r>
      <w:r>
        <w:rPr>
          <w:rFonts w:ascii="Times New Roman" w:cs="Times New Roman" w:eastAsia="Times New Roman" w:hAnsi="Times New Roman"/>
          <w:sz w:val="18"/>
          <w:szCs w:val="18"/>
          <w:color w:val="auto"/>
        </w:rPr>
        <w:t>The LOB or BSG a participant is assigned to as of October 1, 2003 will be used to determine any payments dependent upon LOB/BSG level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performance (see Standard Weightings Chart). Year-end performance for the LOB/BSG will be used to calculate the incentive amount to be paid for this component. No prorating will be done for the amount of time spent in another LOB/BSG over the Plan year without prior approval of the appropriate Executive Vice President, along with the Senior Vice President of Human Resources and Corporate Compensation.</w:t>
      </w:r>
    </w:p>
    <w:p>
      <w:pPr>
        <w:spacing w:after="0" w:line="1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74" name="Picture 1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4"/>
                    <pic:cNvPicPr>
                      <a:picLocks noChangeAspect="1" noChangeArrowheads="1"/>
                    </pic:cNvPicPr>
                  </pic:nvPicPr>
                  <pic:blipFill>
                    <a:blip r:embed="rId13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440" w:firstLine="351"/>
        <w:spacing w:after="0" w:line="275" w:lineRule="auto"/>
        <w:rPr>
          <w:sz w:val="20"/>
          <w:szCs w:val="20"/>
          <w:color w:val="auto"/>
        </w:rPr>
      </w:pPr>
      <w:r>
        <w:rPr>
          <w:rFonts w:ascii="Times New Roman" w:cs="Times New Roman" w:eastAsia="Times New Roman" w:hAnsi="Times New Roman"/>
          <w:sz w:val="18"/>
          <w:szCs w:val="18"/>
          <w:color w:val="auto"/>
        </w:rPr>
        <w:t>For the ASI component, leaders who have moved or transferred during the course of the year, and who could therefore have their compensation tied to different reporting groups, will be reviewed as follows:</w:t>
      </w:r>
    </w:p>
    <w:p>
      <w:pPr>
        <w:spacing w:after="0" w:line="187" w:lineRule="exact"/>
        <w:rPr>
          <w:sz w:val="20"/>
          <w:szCs w:val="20"/>
          <w:color w:val="auto"/>
        </w:rPr>
      </w:pPr>
    </w:p>
    <w:p>
      <w:pPr>
        <w:ind w:left="1080" w:hanging="532"/>
        <w:spacing w:after="0"/>
        <w:tabs>
          <w:tab w:leader="none" w:pos="108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where the associate spent the most time during the action planning cycle;</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 where the associate had the greatest opportunity to influence Associate Satisfaction; and</w:t>
      </w:r>
    </w:p>
    <w:p>
      <w:pPr>
        <w:spacing w:after="0" w:line="252" w:lineRule="exact"/>
        <w:rPr>
          <w:rFonts w:ascii="Times New Roman" w:cs="Times New Roman" w:eastAsia="Times New Roman" w:hAnsi="Times New Roman"/>
          <w:sz w:val="18"/>
          <w:szCs w:val="18"/>
          <w:color w:val="auto"/>
        </w:rPr>
      </w:pPr>
    </w:p>
    <w:p>
      <w:pPr>
        <w:ind w:left="1080" w:right="240" w:hanging="532"/>
        <w:spacing w:after="0" w:line="275" w:lineRule="auto"/>
        <w:tabs>
          <w:tab w:leader="none" w:pos="108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the end of December, the appropriate HR Executive makes a report recommendation to Corporate Compensation, to be approved by the appropriate Executive Vice President, along with the Senior Vice President of Human Resources and Corporate Compensation.</w:t>
      </w:r>
    </w:p>
    <w:p>
      <w:pPr>
        <w:spacing w:after="0" w:line="172" w:lineRule="exact"/>
        <w:rPr>
          <w:sz w:val="20"/>
          <w:szCs w:val="20"/>
          <w:color w:val="auto"/>
        </w:rPr>
      </w:pPr>
    </w:p>
    <w:p>
      <w:pPr>
        <w:ind w:firstLine="351"/>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New Hires: </w:t>
      </w:r>
      <w:r>
        <w:rPr>
          <w:rFonts w:ascii="Times New Roman" w:cs="Times New Roman" w:eastAsia="Times New Roman" w:hAnsi="Times New Roman"/>
          <w:sz w:val="18"/>
          <w:szCs w:val="18"/>
          <w:color w:val="auto"/>
        </w:rPr>
        <w:t>For associates hired between January 1 and September 30, 2003 into an IC eligible position, the base salary as of October 1, 2003 will be used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calculate the IC dollar target. The dollar target will be prorated as follows:</w:t>
      </w:r>
    </w:p>
    <w:p>
      <w:pPr>
        <w:spacing w:after="0" w:line="170" w:lineRule="exact"/>
        <w:rPr>
          <w:sz w:val="20"/>
          <w:szCs w:val="20"/>
          <w:color w:val="auto"/>
        </w:rPr>
      </w:pPr>
    </w:p>
    <w:tbl>
      <w:tblPr>
        <w:tblLayout w:type="fixed"/>
        <w:tblInd w:w="1660" w:type="dxa"/>
        <w:tblCellMar>
          <w:top w:w="0" w:type="dxa"/>
          <w:left w:w="0" w:type="dxa"/>
          <w:bottom w:w="0" w:type="dxa"/>
          <w:right w:w="0" w:type="dxa"/>
        </w:tblCellMar>
      </w:tblPr>
      <w:tr>
        <w:trPr>
          <w:trHeight w:val="178"/>
        </w:trPr>
        <w:tc>
          <w:tcPr>
            <w:tcW w:w="65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Hired Between These Dates</w:t>
            </w:r>
          </w:p>
        </w:tc>
        <w:tc>
          <w:tcPr>
            <w:tcW w:w="220" w:type="dxa"/>
            <w:vAlign w:val="bottom"/>
          </w:tcPr>
          <w:p>
            <w:pPr>
              <w:spacing w:after="0"/>
              <w:rPr>
                <w:sz w:val="15"/>
                <w:szCs w:val="15"/>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Prorated Amount</w:t>
            </w:r>
          </w:p>
        </w:tc>
      </w:tr>
      <w:tr>
        <w:trPr>
          <w:trHeight w:val="105"/>
        </w:trPr>
        <w:tc>
          <w:tcPr>
            <w:tcW w:w="65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r>
      <w:tr>
        <w:trPr>
          <w:trHeight w:val="105"/>
        </w:trPr>
        <w:tc>
          <w:tcPr>
            <w:tcW w:w="6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40" w:type="dxa"/>
            <w:vAlign w:val="bottom"/>
          </w:tcPr>
          <w:p>
            <w:pPr>
              <w:spacing w:after="0"/>
              <w:rPr>
                <w:sz w:val="9"/>
                <w:szCs w:val="9"/>
                <w:color w:val="auto"/>
              </w:rPr>
            </w:pPr>
          </w:p>
        </w:tc>
      </w:tr>
      <w:tr>
        <w:trPr>
          <w:trHeight w:val="21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1 - March 31</w:t>
            </w:r>
          </w:p>
        </w:tc>
        <w:tc>
          <w:tcPr>
            <w:tcW w:w="1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April 1 - June 30</w:t>
            </w: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1 - September 30</w:t>
            </w:r>
          </w:p>
        </w:tc>
        <w:tc>
          <w:tcPr>
            <w:tcW w:w="1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28"/>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October 1 - December 31</w:t>
            </w:r>
          </w:p>
        </w:tc>
        <w:tc>
          <w:tcPr>
            <w:tcW w:w="220" w:type="dxa"/>
            <w:vAlign w:val="bottom"/>
          </w:tcPr>
          <w:p>
            <w:pPr>
              <w:spacing w:after="0"/>
              <w:rPr>
                <w:sz w:val="19"/>
                <w:szCs w:val="19"/>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No IC</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5182870</wp:posOffset>
            </wp:positionH>
            <wp:positionV relativeFrom="paragraph">
              <wp:posOffset>-637540</wp:posOffset>
            </wp:positionV>
            <wp:extent cx="12700" cy="8890"/>
            <wp:wrapNone/>
            <wp:docPr id="1375" name="Picture 1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5"/>
                    <pic:cNvPicPr>
                      <a:picLocks noChangeAspect="1" noChangeArrowheads="1"/>
                    </pic:cNvPicPr>
                  </pic:nvPicPr>
                  <pic:blipFill>
                    <a:blip r:embed="rId13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1057910</wp:posOffset>
            </wp:positionH>
            <wp:positionV relativeFrom="paragraph">
              <wp:posOffset>-637540</wp:posOffset>
            </wp:positionV>
            <wp:extent cx="12700" cy="8890"/>
            <wp:wrapNone/>
            <wp:docPr id="1376" name="Picture 1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6"/>
                    <pic:cNvPicPr>
                      <a:picLocks noChangeAspect="1" noChangeArrowheads="1"/>
                    </pic:cNvPicPr>
                  </pic:nvPicPr>
                  <pic:blipFill>
                    <a:blip r:embed="rId13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-637540</wp:posOffset>
            </wp:positionV>
            <wp:extent cx="12700" cy="8890"/>
            <wp:wrapNone/>
            <wp:docPr id="1377" name="Picture 1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7"/>
                    <pic:cNvPicPr>
                      <a:picLocks noChangeAspect="1" noChangeArrowheads="1"/>
                    </pic:cNvPicPr>
                  </pic:nvPicPr>
                  <pic:blipFill>
                    <a:blip r:embed="rId13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-637540</wp:posOffset>
            </wp:positionV>
            <wp:extent cx="12700" cy="8890"/>
            <wp:wrapNone/>
            <wp:docPr id="1378" name="Picture 1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8"/>
                    <pic:cNvPicPr>
                      <a:picLocks noChangeAspect="1" noChangeArrowheads="1"/>
                    </pic:cNvPicPr>
                  </pic:nvPicPr>
                  <pic:blipFill>
                    <a:blip r:embed="rId138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69" w:lineRule="exact"/>
        <w:rPr>
          <w:sz w:val="20"/>
          <w:szCs w:val="20"/>
          <w:color w:val="auto"/>
        </w:rPr>
      </w:pPr>
    </w:p>
    <w:p>
      <w:pPr>
        <w:ind w:right="80" w:firstLine="351"/>
        <w:spacing w:after="0" w:line="275" w:lineRule="auto"/>
        <w:rPr>
          <w:sz w:val="20"/>
          <w:szCs w:val="20"/>
          <w:color w:val="auto"/>
        </w:rPr>
      </w:pPr>
      <w:r>
        <w:rPr>
          <w:rFonts w:ascii="Times New Roman" w:cs="Times New Roman" w:eastAsia="Times New Roman" w:hAnsi="Times New Roman"/>
          <w:sz w:val="18"/>
          <w:szCs w:val="18"/>
          <w:color w:val="auto"/>
        </w:rPr>
        <w:t>For example, if an associate is hired on March 12, the IC dollar target will not be prorated. If an associate is hired on July 4, then the IC dollar target will be prorated by 50%.</w:t>
      </w:r>
    </w:p>
    <w:p>
      <w:pPr>
        <w:spacing w:after="0" w:line="172" w:lineRule="exact"/>
        <w:rPr>
          <w:sz w:val="20"/>
          <w:szCs w:val="20"/>
          <w:color w:val="auto"/>
        </w:rPr>
      </w:pPr>
    </w:p>
    <w:p>
      <w:pPr>
        <w:ind w:right="100" w:firstLine="351"/>
        <w:spacing w:after="0" w:line="264" w:lineRule="auto"/>
        <w:rPr>
          <w:sz w:val="20"/>
          <w:szCs w:val="20"/>
          <w:color w:val="auto"/>
        </w:rPr>
      </w:pPr>
      <w:r>
        <w:rPr>
          <w:rFonts w:ascii="Times New Roman" w:cs="Times New Roman" w:eastAsia="Times New Roman" w:hAnsi="Times New Roman"/>
          <w:sz w:val="18"/>
          <w:szCs w:val="18"/>
          <w:b w:val="1"/>
          <w:bCs w:val="1"/>
          <w:color w:val="auto"/>
        </w:rPr>
        <w:t xml:space="preserve">IC Target Changes: </w:t>
      </w:r>
      <w:r>
        <w:rPr>
          <w:rFonts w:ascii="Times New Roman" w:cs="Times New Roman" w:eastAsia="Times New Roman" w:hAnsi="Times New Roman"/>
          <w:sz w:val="18"/>
          <w:szCs w:val="18"/>
          <w:color w:val="auto"/>
        </w:rPr>
        <w:t>For current Alliance associates, if there is a promotion or a grade level change during the Plan year but before October 1, and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causes a change in IC target, the IC target will be prorated according to the chart below depending on the associate's </w:t>
      </w:r>
      <w:r>
        <w:rPr>
          <w:rFonts w:ascii="Times New Roman" w:cs="Times New Roman" w:eastAsia="Times New Roman" w:hAnsi="Times New Roman"/>
          <w:sz w:val="18"/>
          <w:szCs w:val="18"/>
          <w:b w:val="1"/>
          <w:bCs w:val="1"/>
          <w:color w:val="auto"/>
        </w:rPr>
        <w:t>IC eligible effective date</w:t>
      </w:r>
      <w:r>
        <w:rPr>
          <w:rFonts w:ascii="Times New Roman" w:cs="Times New Roman" w:eastAsia="Times New Roman" w:hAnsi="Times New Roman"/>
          <w:sz w:val="18"/>
          <w:szCs w:val="18"/>
          <w:color w:val="auto"/>
        </w:rPr>
        <w:t xml:space="preserve">. Note: changes in IC targets </w:t>
      </w:r>
      <w:r>
        <w:rPr>
          <w:rFonts w:ascii="Times New Roman" w:cs="Times New Roman" w:eastAsia="Times New Roman" w:hAnsi="Times New Roman"/>
          <w:sz w:val="18"/>
          <w:szCs w:val="18"/>
          <w:i w:val="1"/>
          <w:iCs w:val="1"/>
          <w:color w:val="auto"/>
        </w:rPr>
        <w:t>after October 1, 2003</w:t>
      </w:r>
      <w:r>
        <w:rPr>
          <w:rFonts w:ascii="Times New Roman" w:cs="Times New Roman" w:eastAsia="Times New Roman" w:hAnsi="Times New Roman"/>
          <w:sz w:val="18"/>
          <w:szCs w:val="18"/>
          <w:color w:val="auto"/>
        </w:rPr>
        <w:t xml:space="preserve"> will not be used to calculate IC payout for the 2003 Plan year.</w:t>
      </w:r>
    </w:p>
    <w:p>
      <w:pPr>
        <w:spacing w:after="0" w:line="16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Prorated Amount For</w:t>
            </w:r>
          </w:p>
        </w:tc>
        <w:tc>
          <w:tcPr>
            <w:tcW w:w="0" w:type="dxa"/>
            <w:vAlign w:val="bottom"/>
          </w:tcPr>
          <w:p>
            <w:pPr>
              <w:spacing w:after="0"/>
              <w:rPr>
                <w:sz w:val="1"/>
                <w:szCs w:val="1"/>
                <w:color w:val="auto"/>
              </w:rPr>
            </w:pPr>
          </w:p>
        </w:tc>
      </w:tr>
      <w:tr>
        <w:trPr>
          <w:trHeight w:val="178"/>
        </w:trPr>
        <w:tc>
          <w:tcPr>
            <w:tcW w:w="6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IC Eligible Effective Date Between These Dates</w:t>
            </w:r>
          </w:p>
        </w:tc>
        <w:tc>
          <w:tcPr>
            <w:tcW w:w="240" w:type="dxa"/>
            <w:vAlign w:val="bottom"/>
          </w:tcPr>
          <w:p>
            <w:pPr>
              <w:spacing w:after="0"/>
              <w:rPr>
                <w:sz w:val="15"/>
                <w:szCs w:val="15"/>
                <w:color w:val="auto"/>
              </w:rPr>
            </w:pPr>
          </w:p>
        </w:tc>
        <w:tc>
          <w:tcPr>
            <w:tcW w:w="14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Old/New IC % Target</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3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4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1 - March 31</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 / 100%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April 1 - June 30</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 / 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1 - September 30</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 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October 1 - December 31</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 / 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5088255</wp:posOffset>
            </wp:positionH>
            <wp:positionV relativeFrom="paragraph">
              <wp:posOffset>-637540</wp:posOffset>
            </wp:positionV>
            <wp:extent cx="12700" cy="8890"/>
            <wp:wrapNone/>
            <wp:docPr id="1379" name="Picture 1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9"/>
                    <pic:cNvPicPr>
                      <a:picLocks noChangeAspect="1" noChangeArrowheads="1"/>
                    </pic:cNvPicPr>
                  </pic:nvPicPr>
                  <pic:blipFill>
                    <a:blip r:embed="rId13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1092200</wp:posOffset>
            </wp:positionH>
            <wp:positionV relativeFrom="paragraph">
              <wp:posOffset>-637540</wp:posOffset>
            </wp:positionV>
            <wp:extent cx="12700" cy="8890"/>
            <wp:wrapNone/>
            <wp:docPr id="1380" name="Picture 1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0"/>
                    <pic:cNvPicPr>
                      <a:picLocks noChangeAspect="1" noChangeArrowheads="1"/>
                    </pic:cNvPicPr>
                  </pic:nvPicPr>
                  <pic:blipFill>
                    <a:blip r:embed="rId13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-637540</wp:posOffset>
            </wp:positionV>
            <wp:extent cx="12700" cy="8890"/>
            <wp:wrapNone/>
            <wp:docPr id="1381" name="Picture 1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1"/>
                    <pic:cNvPicPr>
                      <a:picLocks noChangeAspect="1" noChangeArrowheads="1"/>
                    </pic:cNvPicPr>
                  </pic:nvPicPr>
                  <pic:blipFill>
                    <a:blip r:embed="rId13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-637540</wp:posOffset>
            </wp:positionV>
            <wp:extent cx="12700" cy="8890"/>
            <wp:wrapNone/>
            <wp:docPr id="1382" name="Picture 1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2"/>
                    <pic:cNvPicPr>
                      <a:picLocks noChangeAspect="1" noChangeArrowheads="1"/>
                    </pic:cNvPicPr>
                  </pic:nvPicPr>
                  <pic:blipFill>
                    <a:blip r:embed="rId138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69" w:lineRule="exact"/>
        <w:rPr>
          <w:sz w:val="20"/>
          <w:szCs w:val="20"/>
          <w:color w:val="auto"/>
        </w:rPr>
      </w:pPr>
    </w:p>
    <w:p>
      <w:pPr>
        <w:jc w:val="both"/>
        <w:ind w:right="20" w:firstLine="348"/>
        <w:spacing w:after="0" w:line="310" w:lineRule="auto"/>
        <w:rPr>
          <w:sz w:val="20"/>
          <w:szCs w:val="20"/>
          <w:color w:val="auto"/>
        </w:rPr>
      </w:pPr>
      <w:r>
        <w:rPr>
          <w:rFonts w:ascii="Times New Roman" w:cs="Times New Roman" w:eastAsia="Times New Roman" w:hAnsi="Times New Roman"/>
          <w:sz w:val="16"/>
          <w:szCs w:val="16"/>
          <w:color w:val="auto"/>
        </w:rPr>
        <w:t>The base salary as of October 1 will be used to calculate the dollar target, even if there is a corresponding change in base salary at the time of the promotion or IC target change. For example, a grade level change in April results in an IC target change from 5% to 10% and a base salary change from $35,000 to $40,000. The base salary on October 1 is $40,000, so that is the salary used in the calculation. The IC dollar target is then calculated using the following formula:</w:t>
      </w:r>
    </w:p>
    <w:p>
      <w:pPr>
        <w:spacing w:after="0" w:line="149" w:lineRule="exact"/>
        <w:rPr>
          <w:sz w:val="20"/>
          <w:szCs w:val="20"/>
          <w:color w:val="auto"/>
        </w:rPr>
      </w:pPr>
    </w:p>
    <w:tbl>
      <w:tblPr>
        <w:tblLayout w:type="fixed"/>
        <w:tblInd w:w="104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10/01 Base</w:t>
            </w:r>
          </w:p>
        </w:tc>
        <w:tc>
          <w:tcPr>
            <w:tcW w:w="180" w:type="dxa"/>
            <w:vAlign w:val="bottom"/>
          </w:tcPr>
          <w:p>
            <w:pPr>
              <w:spacing w:after="0"/>
              <w:rPr>
                <w:sz w:val="15"/>
                <w:szCs w:val="15"/>
                <w:color w:val="auto"/>
              </w:rPr>
            </w:pPr>
          </w:p>
        </w:tc>
        <w:tc>
          <w:tcPr>
            <w:tcW w:w="5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IC</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Target</w:t>
            </w:r>
          </w:p>
        </w:tc>
        <w:tc>
          <w:tcPr>
            <w:tcW w:w="160" w:type="dxa"/>
            <w:vAlign w:val="bottom"/>
          </w:tcPr>
          <w:p>
            <w:pPr>
              <w:spacing w:after="0"/>
              <w:rPr>
                <w:sz w:val="15"/>
                <w:szCs w:val="15"/>
                <w:color w:val="auto"/>
              </w:rPr>
            </w:pPr>
          </w:p>
        </w:tc>
        <w:tc>
          <w:tcPr>
            <w:tcW w:w="1040" w:type="dxa"/>
            <w:vAlign w:val="bottom"/>
            <w:gridSpan w:val="3"/>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Prorate</w:t>
            </w:r>
          </w:p>
        </w:tc>
        <w:tc>
          <w:tcPr>
            <w:tcW w:w="840" w:type="dxa"/>
            <w:vAlign w:val="bottom"/>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Subtotal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480" w:type="dxa"/>
            <w:vAlign w:val="bottom"/>
          </w:tcPr>
          <w:p>
            <w:pPr>
              <w:spacing w:after="0"/>
              <w:rPr>
                <w:sz w:val="9"/>
                <w:szCs w:val="9"/>
                <w:color w:val="auto"/>
              </w:rPr>
            </w:pPr>
          </w:p>
        </w:tc>
        <w:tc>
          <w:tcPr>
            <w:tcW w:w="216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480" w:type="dxa"/>
            <w:vAlign w:val="bottom"/>
          </w:tcPr>
          <w:p>
            <w:pPr>
              <w:spacing w:after="0"/>
              <w:rPr>
                <w:sz w:val="9"/>
                <w:szCs w:val="9"/>
                <w:color w:val="auto"/>
              </w:rPr>
            </w:pPr>
          </w:p>
        </w:tc>
        <w:tc>
          <w:tcPr>
            <w:tcW w:w="2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Old</w:t>
            </w:r>
          </w:p>
        </w:tc>
        <w:tc>
          <w:tcPr>
            <w:tcW w:w="2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20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 $</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16"/>
        </w:trPr>
        <w:tc>
          <w:tcPr>
            <w:tcW w:w="20" w:type="dxa"/>
            <w:vAlign w:val="bottom"/>
            <w:tcBorders>
              <w:bottom w:val="single" w:sz="8" w:color="CCEEFF"/>
            </w:tcBorders>
          </w:tcPr>
          <w:p>
            <w:pPr>
              <w:spacing w:after="0"/>
              <w:rPr>
                <w:sz w:val="18"/>
                <w:szCs w:val="18"/>
                <w:color w:val="auto"/>
              </w:rPr>
            </w:pPr>
          </w:p>
        </w:tc>
        <w:tc>
          <w:tcPr>
            <w:tcW w:w="2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New</w:t>
            </w:r>
          </w:p>
        </w:tc>
        <w:tc>
          <w:tcPr>
            <w:tcW w:w="2320" w:type="dxa"/>
            <w:vAlign w:val="bottom"/>
            <w:tcBorders>
              <w:bottom w:val="single" w:sz="8" w:color="CCEEFF"/>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700" w:type="dxa"/>
            <w:vAlign w:val="bottom"/>
            <w:tcBorders>
              <w:bottom w:val="single" w:sz="8" w:color="CCEEFF"/>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tcBorders>
              <w:bottom w:val="single" w:sz="8" w:color="CCEEFF"/>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200" w:type="dxa"/>
            <w:vAlign w:val="bottom"/>
            <w:tcBorders>
              <w:bottom w:val="single" w:sz="8" w:color="CCEEFF"/>
            </w:tcBorders>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75% $</w:t>
            </w:r>
          </w:p>
        </w:tc>
        <w:tc>
          <w:tcPr>
            <w:tcW w:w="8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-365760</wp:posOffset>
            </wp:positionV>
            <wp:extent cx="12700" cy="8890"/>
            <wp:wrapNone/>
            <wp:docPr id="1383" name="Picture 1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3"/>
                    <pic:cNvPicPr>
                      <a:picLocks noChangeAspect="1" noChangeArrowheads="1"/>
                    </pic:cNvPicPr>
                  </pic:nvPicPr>
                  <pic:blipFill>
                    <a:blip r:embed="rId13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3622040</wp:posOffset>
            </wp:positionH>
            <wp:positionV relativeFrom="paragraph">
              <wp:posOffset>-365760</wp:posOffset>
            </wp:positionV>
            <wp:extent cx="12700" cy="8890"/>
            <wp:wrapNone/>
            <wp:docPr id="1384" name="Picture 1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4"/>
                    <pic:cNvPicPr>
                      <a:picLocks noChangeAspect="1" noChangeArrowheads="1"/>
                    </pic:cNvPicPr>
                  </pic:nvPicPr>
                  <pic:blipFill>
                    <a:blip r:embed="rId13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-365760</wp:posOffset>
            </wp:positionV>
            <wp:extent cx="12700" cy="8890"/>
            <wp:wrapNone/>
            <wp:docPr id="1385" name="Picture 1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5"/>
                    <pic:cNvPicPr>
                      <a:picLocks noChangeAspect="1" noChangeArrowheads="1"/>
                    </pic:cNvPicPr>
                  </pic:nvPicPr>
                  <pic:blipFill>
                    <a:blip r:embed="rId13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-365760</wp:posOffset>
            </wp:positionV>
            <wp:extent cx="12700" cy="8890"/>
            <wp:wrapNone/>
            <wp:docPr id="1386" name="Picture 1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6"/>
                    <pic:cNvPicPr>
                      <a:picLocks noChangeAspect="1" noChangeArrowheads="1"/>
                    </pic:cNvPicPr>
                  </pic:nvPicPr>
                  <pic:blipFill>
                    <a:blip r:embed="rId13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-365760</wp:posOffset>
            </wp:positionV>
            <wp:extent cx="12700" cy="8890"/>
            <wp:wrapNone/>
            <wp:docPr id="1387" name="Picture 1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7"/>
                    <pic:cNvPicPr>
                      <a:picLocks noChangeAspect="1" noChangeArrowheads="1"/>
                    </pic:cNvPicPr>
                  </pic:nvPicPr>
                  <pic:blipFill>
                    <a:blip r:embed="rId13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-365760</wp:posOffset>
            </wp:positionV>
            <wp:extent cx="12700" cy="8890"/>
            <wp:wrapNone/>
            <wp:docPr id="1388" name="Picture 1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8"/>
                    <pic:cNvPicPr>
                      <a:picLocks noChangeAspect="1" noChangeArrowheads="1"/>
                    </pic:cNvPicPr>
                  </pic:nvPicPr>
                  <pic:blipFill>
                    <a:blip r:embed="rId13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-365760</wp:posOffset>
            </wp:positionV>
            <wp:extent cx="12700" cy="8890"/>
            <wp:wrapNone/>
            <wp:docPr id="1389" name="Picture 1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9"/>
                    <pic:cNvPicPr>
                      <a:picLocks noChangeAspect="1" noChangeArrowheads="1"/>
                    </pic:cNvPicPr>
                  </pic:nvPicPr>
                  <pic:blipFill>
                    <a:blip r:embed="rId13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-365760</wp:posOffset>
            </wp:positionV>
            <wp:extent cx="12700" cy="8890"/>
            <wp:wrapNone/>
            <wp:docPr id="1390" name="Picture 1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0"/>
                    <pic:cNvPicPr>
                      <a:picLocks noChangeAspect="1" noChangeArrowheads="1"/>
                    </pic:cNvPicPr>
                  </pic:nvPicPr>
                  <pic:blipFill>
                    <a:blip r:embed="rId13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-365760</wp:posOffset>
            </wp:positionV>
            <wp:extent cx="12700" cy="8890"/>
            <wp:wrapNone/>
            <wp:docPr id="1391" name="Picture 1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1"/>
                    <pic:cNvPicPr>
                      <a:picLocks noChangeAspect="1" noChangeArrowheads="1"/>
                    </pic:cNvPicPr>
                  </pic:nvPicPr>
                  <pic:blipFill>
                    <a:blip r:embed="rId13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-365760</wp:posOffset>
            </wp:positionV>
            <wp:extent cx="12700" cy="8890"/>
            <wp:wrapNone/>
            <wp:docPr id="1392" name="Picture 1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2"/>
                    <pic:cNvPicPr>
                      <a:picLocks noChangeAspect="1" noChangeArrowheads="1"/>
                    </pic:cNvPicPr>
                  </pic:nvPicPr>
                  <pic:blipFill>
                    <a:blip r:embed="rId139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00" w:orient="portrait"/>
          <w:cols w:equalWidth="0" w:num="1">
            <w:col w:w="11380"/>
          </w:cols>
          <w:pgMar w:left="240" w:top="125" w:right="279" w:bottom="0" w:gutter="0" w:footer="0" w:header="0"/>
        </w:sectPr>
      </w:pPr>
    </w:p>
    <w:bookmarkStart w:id="80" w:name="page81"/>
    <w:bookmarkEnd w:id="80"/>
    <w:p>
      <w:pPr>
        <w:ind w:left="1040"/>
        <w:spacing w:after="0"/>
        <w:tabs>
          <w:tab w:leader="none" w:pos="9380" w:val="left"/>
          <w:tab w:leader="none" w:pos="9980" w:val="left"/>
        </w:tabs>
        <w:rPr>
          <w:sz w:val="20"/>
          <w:szCs w:val="20"/>
          <w:color w:val="auto"/>
        </w:rPr>
      </w:pPr>
      <w:r>
        <w:rPr>
          <w:rFonts w:ascii="Times New Roman" w:cs="Times New Roman" w:eastAsia="Times New Roman" w:hAnsi="Times New Roman"/>
          <w:sz w:val="18"/>
          <w:szCs w:val="18"/>
          <w:b w:val="1"/>
          <w:bCs w:val="1"/>
          <w:color w:val="auto"/>
        </w:rPr>
        <w:t>TOTAL</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6"/>
          <w:szCs w:val="16"/>
          <w:color w:val="auto"/>
        </w:rPr>
        <w:t>3,500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-120650</wp:posOffset>
            </wp:positionV>
            <wp:extent cx="5934710" cy="137160"/>
            <wp:wrapNone/>
            <wp:docPr id="1393" name="Picture 1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3"/>
                    <pic:cNvPicPr>
                      <a:picLocks noChangeAspect="1" noChangeArrowheads="1"/>
                    </pic:cNvPicPr>
                  </pic:nvPicPr>
                  <pic:blipFill>
                    <a:blip r:embed="rId1400">
                      <a:extLst>
                        <a:ext uri="{28A0092B-C50C-407E-A947-70E740481C1C}"/>
                      </a:extLst>
                    </a:blip>
                    <a:srcRect/>
                    <a:stretch>
                      <a:fillRect/>
                    </a:stretch>
                  </pic:blipFill>
                  <pic:spPr bwMode="auto">
                    <a:xfrm>
                      <a:off x="0" y="0"/>
                      <a:ext cx="5934710" cy="137160"/>
                    </a:xfrm>
                    <a:prstGeom prst="rect">
                      <a:avLst/>
                    </a:prstGeom>
                    <a:noFill/>
                  </pic:spPr>
                </pic:pic>
              </a:graphicData>
            </a:graphic>
          </wp:anchor>
        </w:drawing>
      </w:r>
    </w:p>
    <w:p>
      <w:pPr>
        <w:spacing w:after="0" w:line="20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participant's manager should communicate to the participant the new weightings of financial and Individual Expectations (if applicable).</w:t>
      </w:r>
    </w:p>
    <w:p>
      <w:pPr>
        <w:spacing w:after="0" w:line="223" w:lineRule="exact"/>
        <w:rPr>
          <w:sz w:val="20"/>
          <w:szCs w:val="20"/>
          <w:color w:val="auto"/>
        </w:rPr>
      </w:pPr>
    </w:p>
    <w:p>
      <w:pPr>
        <w:ind w:right="40" w:firstLine="351"/>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Leaves of Absence: </w:t>
      </w:r>
      <w:r>
        <w:rPr>
          <w:rFonts w:ascii="Times New Roman" w:cs="Times New Roman" w:eastAsia="Times New Roman" w:hAnsi="Times New Roman"/>
          <w:sz w:val="18"/>
          <w:szCs w:val="18"/>
          <w:color w:val="auto"/>
        </w:rPr>
        <w:t>If a participant takes a leave of absence in excess of 30 consecutive days, either paid or unpaid, during the Plan year, he or she may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eligible for a prorated award at the</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94" name="Picture 1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4"/>
                    <pic:cNvPicPr>
                      <a:picLocks noChangeAspect="1" noChangeArrowheads="1"/>
                    </pic:cNvPicPr>
                  </pic:nvPicPr>
                  <pic:blipFill>
                    <a:blip r:embed="rId14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discretion of the appropriate Executive Vice President, along with the Senior Vice President of Human Resources and Corporate Compensation.</w:t>
      </w:r>
    </w:p>
    <w:p>
      <w:pPr>
        <w:spacing w:after="0" w:line="223" w:lineRule="exact"/>
        <w:rPr>
          <w:sz w:val="20"/>
          <w:szCs w:val="20"/>
          <w:color w:val="auto"/>
        </w:rPr>
      </w:pPr>
    </w:p>
    <w:p>
      <w:pPr>
        <w:ind w:right="120" w:firstLine="3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Terminations: </w:t>
      </w:r>
      <w:r>
        <w:rPr>
          <w:rFonts w:ascii="Times New Roman" w:cs="Times New Roman" w:eastAsia="Times New Roman" w:hAnsi="Times New Roman"/>
          <w:sz w:val="18"/>
          <w:szCs w:val="18"/>
          <w:color w:val="auto"/>
        </w:rPr>
        <w:t>If a participant terminates his or her position voluntarily or involuntarily during the Plan year, he or she will</w:t>
      </w:r>
      <w:r>
        <w:rPr>
          <w:rFonts w:ascii="Times New Roman" w:cs="Times New Roman" w:eastAsia="Times New Roman" w:hAnsi="Times New Roman"/>
          <w:sz w:val="18"/>
          <w:szCs w:val="18"/>
          <w:b w:val="1"/>
          <w:bCs w:val="1"/>
          <w:color w:val="auto"/>
        </w:rPr>
        <w:t xml:space="preserve"> not </w:t>
      </w:r>
      <w:r>
        <w:rPr>
          <w:rFonts w:ascii="Times New Roman" w:cs="Times New Roman" w:eastAsia="Times New Roman" w:hAnsi="Times New Roman"/>
          <w:sz w:val="18"/>
          <w:szCs w:val="18"/>
          <w:color w:val="auto"/>
        </w:rPr>
        <w:t>be eligible for an 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payment because he or she would not be on active status on the date of the award distribution. If a participant retires, becomes disabled or dies during the Plan year, he or she may be eligible for a prorated award at the discretion of the appropriate Executive Vice President, along with the Senior Vice President of Human Resources and Corporate Compensation. In the event of death, any incentive award is made to the beneficiary named in the Company-paid life insurance program.</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Terms and Conditions</w:t>
      </w:r>
    </w:p>
    <w:p>
      <w:pPr>
        <w:spacing w:after="0" w:line="243" w:lineRule="exact"/>
        <w:rPr>
          <w:sz w:val="20"/>
          <w:szCs w:val="20"/>
          <w:color w:val="auto"/>
        </w:rPr>
      </w:pPr>
    </w:p>
    <w:p>
      <w:pPr>
        <w:ind w:left="1080" w:hanging="532"/>
        <w:spacing w:after="0" w:line="275" w:lineRule="auto"/>
        <w:tabs>
          <w:tab w:leader="none" w:pos="10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decisions by the Company will be final in the interpretation and administration of the Plan and shall lie within the Company's sole and absolute discretion. Decisions shall be final, conclusive and binding on all parties concerned.</w:t>
      </w:r>
    </w:p>
    <w:p>
      <w:pPr>
        <w:spacing w:after="0" w:line="18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Participant's rights under the Plan may not be assigned or transferred in any way.</w:t>
      </w:r>
    </w:p>
    <w:p>
      <w:pPr>
        <w:spacing w:after="0" w:line="252" w:lineRule="exact"/>
        <w:rPr>
          <w:rFonts w:ascii="Times New Roman" w:cs="Times New Roman" w:eastAsia="Times New Roman" w:hAnsi="Times New Roman"/>
          <w:sz w:val="18"/>
          <w:szCs w:val="18"/>
          <w:color w:val="auto"/>
        </w:rPr>
      </w:pPr>
    </w:p>
    <w:p>
      <w:pPr>
        <w:jc w:val="both"/>
        <w:ind w:left="1080" w:right="80" w:hanging="532"/>
        <w:spacing w:after="0" w:line="262" w:lineRule="auto"/>
        <w:tabs>
          <w:tab w:leader="none" w:pos="10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Alliance Data Systems 2003 IC Plan may be amended, modified, suspended or terminated by the Company at any time, without prior consent by or prior notice to associates. The Compensation Committee at its sole discretion may change objectives at any time without prior consent by or prior notice to associates.</w:t>
      </w:r>
    </w:p>
    <w:p>
      <w:pPr>
        <w:spacing w:after="0" w:line="199" w:lineRule="exact"/>
        <w:rPr>
          <w:rFonts w:ascii="Times New Roman" w:cs="Times New Roman" w:eastAsia="Times New Roman" w:hAnsi="Times New Roman"/>
          <w:sz w:val="18"/>
          <w:szCs w:val="18"/>
          <w:color w:val="auto"/>
        </w:rPr>
      </w:pPr>
    </w:p>
    <w:p>
      <w:pPr>
        <w:ind w:left="1080" w:right="120" w:hanging="532"/>
        <w:spacing w:after="0" w:line="262" w:lineRule="auto"/>
        <w:tabs>
          <w:tab w:leader="none" w:pos="10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 shall be unfunded. The Company shall not be required to establish any special or separate fund or to make other segregation of assets to assure the payment of the amounts under the Plan. Rights to the payment of amounts under the Plan shall be no greater than the rights of the Company's general creditors.</w:t>
      </w:r>
    </w:p>
    <w:p>
      <w:pPr>
        <w:spacing w:after="0" w:line="199" w:lineRule="exact"/>
        <w:rPr>
          <w:rFonts w:ascii="Times New Roman" w:cs="Times New Roman" w:eastAsia="Times New Roman" w:hAnsi="Times New Roman"/>
          <w:sz w:val="18"/>
          <w:szCs w:val="18"/>
          <w:color w:val="auto"/>
        </w:rPr>
      </w:pPr>
    </w:p>
    <w:p>
      <w:pPr>
        <w:ind w:left="1080" w:right="100" w:hanging="532"/>
        <w:spacing w:after="0" w:line="275" w:lineRule="auto"/>
        <w:tabs>
          <w:tab w:leader="none" w:pos="10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Texas state law governs the validity, construction, interpretation, administration and effect of the Plan and the substantive laws, but not the choice of law rules of the State of Texas, shall govern rights relating to the Plan.</w:t>
      </w:r>
    </w:p>
    <w:p>
      <w:pPr>
        <w:spacing w:after="0" w:line="20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Generally, all applicable employment and tax deductions plus 401(k) contribution deferrals will be withheld from the IC payout.</w:t>
      </w:r>
    </w:p>
    <w:p>
      <w:pPr>
        <w:spacing w:after="0" w:line="238" w:lineRule="exact"/>
        <w:rPr>
          <w:rFonts w:ascii="Times New Roman" w:cs="Times New Roman" w:eastAsia="Times New Roman" w:hAnsi="Times New Roman"/>
          <w:sz w:val="18"/>
          <w:szCs w:val="18"/>
          <w:color w:val="auto"/>
        </w:rPr>
      </w:pPr>
    </w:p>
    <w:p>
      <w:pPr>
        <w:ind w:left="1080" w:right="80" w:hanging="532"/>
        <w:spacing w:after="0" w:line="310" w:lineRule="auto"/>
        <w:tabs>
          <w:tab w:leader="none" w:pos="1080" w:val="left"/>
        </w:tabs>
        <w:numPr>
          <w:ilvl w:val="0"/>
          <w:numId w:val="1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associate has the right nor is guaranteed the right to participate in the Plan by virtue of being an associate or fulfilling any specific position with the Company. Selection for participation in the Plan is solely within the discretion of the Compensation Committee. The Company may offer participation in the Plan to additional associates or terminate the participation of any participant in the Plan at any time during the Plan Year.</w:t>
      </w:r>
    </w:p>
    <w:p>
      <w:pPr>
        <w:spacing w:after="0" w:line="178" w:lineRule="exact"/>
        <w:rPr>
          <w:rFonts w:ascii="Times New Roman" w:cs="Times New Roman" w:eastAsia="Times New Roman" w:hAnsi="Times New Roman"/>
          <w:sz w:val="16"/>
          <w:szCs w:val="16"/>
          <w:color w:val="auto"/>
        </w:rPr>
      </w:pPr>
    </w:p>
    <w:p>
      <w:pPr>
        <w:ind w:left="1080" w:right="660" w:hanging="532"/>
        <w:spacing w:after="0" w:line="275" w:lineRule="auto"/>
        <w:tabs>
          <w:tab w:leader="none" w:pos="10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and earnings classified as "windfalls" or business losses may or may not be excluded in whole or in part from the calculation of Revenue and EBITDA at the discretion of the Compensation Committee.</w:t>
      </w:r>
    </w:p>
    <w:p>
      <w:pPr>
        <w:spacing w:after="0" w:line="187" w:lineRule="exact"/>
        <w:rPr>
          <w:rFonts w:ascii="Times New Roman" w:cs="Times New Roman" w:eastAsia="Times New Roman" w:hAnsi="Times New Roman"/>
          <w:sz w:val="18"/>
          <w:szCs w:val="18"/>
          <w:color w:val="auto"/>
        </w:rPr>
      </w:pPr>
    </w:p>
    <w:p>
      <w:pPr>
        <w:jc w:val="both"/>
        <w:ind w:left="1080" w:right="180" w:hanging="532"/>
        <w:spacing w:after="0" w:line="262" w:lineRule="auto"/>
        <w:tabs>
          <w:tab w:leader="none" w:pos="10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 to participate in the Plan shall not impair or limit the Company's rights to transfer, promote or demote Plan participants to other jobs or to terminate their employment, nor shall it create any claim or right to receive any payment under the Plan or any right to be retained in the employ of the Company.</w:t>
      </w:r>
    </w:p>
    <w:p>
      <w:pPr>
        <w:spacing w:after="0" w:line="199" w:lineRule="exact"/>
        <w:rPr>
          <w:rFonts w:ascii="Times New Roman" w:cs="Times New Roman" w:eastAsia="Times New Roman" w:hAnsi="Times New Roman"/>
          <w:sz w:val="18"/>
          <w:szCs w:val="18"/>
          <w:color w:val="auto"/>
        </w:rPr>
      </w:pPr>
    </w:p>
    <w:p>
      <w:pPr>
        <w:ind w:left="1080" w:right="400" w:hanging="532"/>
        <w:spacing w:after="0" w:line="275" w:lineRule="auto"/>
        <w:tabs>
          <w:tab w:leader="none" w:pos="10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 is established for the current fiscal year. There shall be no obligation on the part of the Company to continue the Plan in the same or modified form for any future years.</w:t>
      </w:r>
    </w:p>
    <w:p>
      <w:pPr>
        <w:spacing w:after="0" w:line="200" w:lineRule="exact"/>
        <w:rPr>
          <w:rFonts w:ascii="Times New Roman" w:cs="Times New Roman" w:eastAsia="Times New Roman" w:hAnsi="Times New Roman"/>
          <w:sz w:val="18"/>
          <w:szCs w:val="18"/>
          <w:color w:val="auto"/>
        </w:rPr>
      </w:pPr>
    </w:p>
    <w:p>
      <w:pPr>
        <w:ind w:left="1080" w:right="20" w:hanging="532"/>
        <w:spacing w:after="0" w:line="275" w:lineRule="auto"/>
        <w:tabs>
          <w:tab w:leader="none" w:pos="10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 participant has a dispute concerning the administration of this Plan, it shall first be submitted in writing to the Senior Director of Compensation. In the event that the Senior Director of Compensation does not provide a response satisfactory to the participant</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95" name="Picture 1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5"/>
                    <pic:cNvPicPr>
                      <a:picLocks noChangeAspect="1" noChangeArrowheads="1"/>
                    </pic:cNvPicPr>
                  </pic:nvPicPr>
                  <pic:blipFill>
                    <a:blip r:embed="rId14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80" w:right="420"/>
        <w:spacing w:after="0" w:line="339" w:lineRule="auto"/>
        <w:rPr>
          <w:sz w:val="20"/>
          <w:szCs w:val="20"/>
          <w:color w:val="auto"/>
        </w:rPr>
      </w:pPr>
      <w:r>
        <w:rPr>
          <w:rFonts w:ascii="Times New Roman" w:cs="Times New Roman" w:eastAsia="Times New Roman" w:hAnsi="Times New Roman"/>
          <w:sz w:val="16"/>
          <w:szCs w:val="16"/>
          <w:color w:val="auto"/>
        </w:rPr>
        <w:t>within 30 business days, the participant may submit the dispute in writing within five business days thereafter to the Senior Vice President of Human Resources, whose decision regarding the dispute shall be final and binding on each participant or person claiming under the Plan.</w:t>
      </w:r>
    </w:p>
    <w:p>
      <w:pPr>
        <w:spacing w:after="0" w:line="142" w:lineRule="exact"/>
        <w:rPr>
          <w:sz w:val="20"/>
          <w:szCs w:val="20"/>
          <w:color w:val="auto"/>
        </w:rPr>
      </w:pPr>
    </w:p>
    <w:p>
      <w:pPr>
        <w:ind w:left="1080" w:right="300" w:hanging="532"/>
        <w:spacing w:after="0" w:line="262" w:lineRule="auto"/>
        <w:tabs>
          <w:tab w:leader="none" w:pos="10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 is effective January 1, 2003, and supersedes and replaces all previous IC Plans. All such previous plans, unless earlier terminated, are terminated at midnight, December 31, 2002. If not renewed by the Compensation Committee or their designated representative, this Plan will automatically terminate on December 31, 2003.</w:t>
      </w:r>
    </w:p>
    <w:p>
      <w:pPr>
        <w:spacing w:after="0" w:line="199" w:lineRule="exact"/>
        <w:rPr>
          <w:rFonts w:ascii="Times New Roman" w:cs="Times New Roman" w:eastAsia="Times New Roman" w:hAnsi="Times New Roman"/>
          <w:sz w:val="18"/>
          <w:szCs w:val="18"/>
          <w:color w:val="auto"/>
        </w:rPr>
      </w:pPr>
    </w:p>
    <w:p>
      <w:pPr>
        <w:ind w:left="1080" w:right="280" w:hanging="532"/>
        <w:spacing w:after="0" w:line="339" w:lineRule="auto"/>
        <w:tabs>
          <w:tab w:leader="none" w:pos="1080" w:val="left"/>
        </w:tabs>
        <w:numPr>
          <w:ilvl w:val="0"/>
          <w:numId w:val="1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event an eligible associate's performance falls below satisfactory standards during the Plan year, the associate may receive a reduced IC payment, at the discretion of the Company, regardless of the performance results of the Company, LOB, BSG or the ASI results (if applicable).</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96" name="Picture 1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6"/>
                    <pic:cNvPicPr>
                      <a:picLocks noChangeAspect="1" noChangeArrowheads="1"/>
                    </pic:cNvPicPr>
                  </pic:nvPicPr>
                  <pic:blipFill>
                    <a:blip r:embed="rId14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3" w:right="239" w:bottom="0" w:gutter="0" w:footer="0" w:header="0"/>
        </w:sect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Attachment A</w:t>
      </w:r>
    </w:p>
    <w:p>
      <w:pPr>
        <w:sectPr>
          <w:pgSz w:w="11900" w:h="16838" w:orient="portrait"/>
          <w:cols w:equalWidth="0" w:num="1">
            <w:col w:w="11420"/>
          </w:cols>
          <w:pgMar w:left="240" w:top="123" w:right="239" w:bottom="0" w:gutter="0" w:footer="0" w:header="0"/>
          <w:type w:val="continuous"/>
        </w:sectPr>
      </w:pPr>
    </w:p>
    <w:bookmarkStart w:id="81" w:name="page82"/>
    <w:bookmarkEnd w:id="81"/>
    <w:p>
      <w:pPr>
        <w:spacing w:after="0" w:line="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ASSOCIATE SATISFACTION INDEX (ASI) INFORMATION</w:t>
      </w:r>
    </w:p>
    <w:p>
      <w:pPr>
        <w:spacing w:after="0" w:line="227" w:lineRule="exact"/>
        <w:rPr>
          <w:sz w:val="20"/>
          <w:szCs w:val="20"/>
          <w:color w:val="auto"/>
        </w:rPr>
      </w:pPr>
    </w:p>
    <w:p>
      <w:pPr>
        <w:ind w:right="40" w:firstLine="348"/>
        <w:spacing w:after="0" w:line="256" w:lineRule="auto"/>
        <w:rPr>
          <w:sz w:val="20"/>
          <w:szCs w:val="20"/>
          <w:color w:val="auto"/>
        </w:rPr>
      </w:pPr>
      <w:r>
        <w:rPr>
          <w:rFonts w:ascii="Times New Roman" w:cs="Times New Roman" w:eastAsia="Times New Roman" w:hAnsi="Times New Roman"/>
          <w:sz w:val="18"/>
          <w:szCs w:val="18"/>
          <w:color w:val="auto"/>
        </w:rPr>
        <w:t>The Alliance Scorecard views associates as one of three key constituencies (along with clients and stockholders). Research has demonstrated, and Alliance believes, that satisfied associates provide higher levels of service quality and value creation/delivery, cultivating client retention and loyalty, and in turn providing greater profitability and growth. The degree to which associates feel valued/satisfied has been shown to be a primary determinant of long-term financial performance. The Associate Satisfaction survey and the resulting ASI represent an accountability mechanism that puts value on people and "walking the talk" when it comes to Alliance's company values, as well as financials and EBIDTA.</w:t>
      </w:r>
    </w:p>
    <w:p>
      <w:pPr>
        <w:spacing w:after="0" w:line="193" w:lineRule="exact"/>
        <w:rPr>
          <w:sz w:val="20"/>
          <w:szCs w:val="20"/>
          <w:color w:val="auto"/>
        </w:rPr>
      </w:pPr>
    </w:p>
    <w:p>
      <w:pPr>
        <w:ind w:right="320" w:firstLine="348"/>
        <w:spacing w:after="0" w:line="275" w:lineRule="auto"/>
        <w:rPr>
          <w:sz w:val="20"/>
          <w:szCs w:val="20"/>
          <w:color w:val="auto"/>
        </w:rPr>
      </w:pPr>
      <w:r>
        <w:rPr>
          <w:rFonts w:ascii="Times New Roman" w:cs="Times New Roman" w:eastAsia="Times New Roman" w:hAnsi="Times New Roman"/>
          <w:sz w:val="18"/>
          <w:szCs w:val="18"/>
          <w:color w:val="auto"/>
        </w:rPr>
        <w:t>The ASI is intended to drive the Company towards Employer of Choice levels of performance and to reward progress towards these levels and recognize actual scores. Launched in 2001, the ASI is made up of 18 "core" items, asked and tracked on each annual Associate Survey.</w:t>
      </w:r>
    </w:p>
    <w:p>
      <w:pPr>
        <w:spacing w:after="0" w:line="174" w:lineRule="exact"/>
        <w:rPr>
          <w:sz w:val="20"/>
          <w:szCs w:val="20"/>
          <w:color w:val="auto"/>
        </w:rPr>
      </w:pPr>
    </w:p>
    <w:p>
      <w:pPr>
        <w:ind w:right="180" w:firstLine="348"/>
        <w:spacing w:after="0" w:line="262" w:lineRule="auto"/>
        <w:rPr>
          <w:sz w:val="20"/>
          <w:szCs w:val="20"/>
          <w:color w:val="auto"/>
        </w:rPr>
      </w:pPr>
      <w:r>
        <w:rPr>
          <w:rFonts w:ascii="Times New Roman" w:cs="Times New Roman" w:eastAsia="Times New Roman" w:hAnsi="Times New Roman"/>
          <w:sz w:val="18"/>
          <w:szCs w:val="18"/>
          <w:color w:val="auto"/>
        </w:rPr>
        <w:t>The ASI consists of two main components: a progress calculation and actual scores (current year mean percent favorable score on the 18 items). Scores are evaluated against both progress made since the previous year (as measured by "potential change") and current year scores. The final payout is determined by equally weighing the two measures (see "Payout Table for Associate Satisfaction Results").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Key elements of the ASI calculation:</w:t>
      </w:r>
    </w:p>
    <w:p>
      <w:pPr>
        <w:spacing w:after="0" w:line="225" w:lineRule="exact"/>
        <w:rPr>
          <w:sz w:val="20"/>
          <w:szCs w:val="20"/>
          <w:color w:val="auto"/>
        </w:rPr>
      </w:pPr>
    </w:p>
    <w:p>
      <w:pPr>
        <w:ind w:right="240" w:firstLine="351"/>
        <w:spacing w:after="0" w:line="312" w:lineRule="auto"/>
        <w:rPr>
          <w:sz w:val="20"/>
          <w:szCs w:val="20"/>
          <w:color w:val="auto"/>
        </w:rPr>
      </w:pPr>
      <w:r>
        <w:rPr>
          <w:rFonts w:ascii="Times New Roman" w:cs="Times New Roman" w:eastAsia="Times New Roman" w:hAnsi="Times New Roman"/>
          <w:sz w:val="16"/>
          <w:szCs w:val="16"/>
          <w:b w:val="1"/>
          <w:bCs w:val="1"/>
          <w:color w:val="auto"/>
        </w:rPr>
        <w:t>Progress Calculation—</w:t>
      </w:r>
      <w:r>
        <w:rPr>
          <w:rFonts w:ascii="Times New Roman" w:cs="Times New Roman" w:eastAsia="Times New Roman" w:hAnsi="Times New Roman"/>
          <w:sz w:val="16"/>
          <w:szCs w:val="16"/>
          <w:color w:val="auto"/>
        </w:rPr>
        <w:t>The progress target scores at the Company-wide level and for all subgroups is set at 16% of potential change. Alliance has set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maximum target score for any group at 75. In the ASI computation, change is based on </w:t>
      </w:r>
      <w:r>
        <w:rPr>
          <w:rFonts w:ascii="Times New Roman" w:cs="Times New Roman" w:eastAsia="Times New Roman" w:hAnsi="Times New Roman"/>
          <w:sz w:val="16"/>
          <w:szCs w:val="16"/>
          <w:i w:val="1"/>
          <w:iCs w:val="1"/>
          <w:color w:val="auto"/>
        </w:rPr>
        <w:t>potential change</w:t>
      </w:r>
      <w:r>
        <w:rPr>
          <w:rFonts w:ascii="Times New Roman" w:cs="Times New Roman" w:eastAsia="Times New Roman" w:hAnsi="Times New Roman"/>
          <w:sz w:val="16"/>
          <w:szCs w:val="16"/>
          <w:color w:val="auto"/>
        </w:rPr>
        <w:t>, not absolute change. Computing scores based on potential change recognizes the increased difficulty of making continued progress as scores get higher. Regressions will be calculated in a similar manner.</w:t>
      </w:r>
    </w:p>
    <w:p>
      <w:pPr>
        <w:spacing w:after="0" w:line="147" w:lineRule="exact"/>
        <w:rPr>
          <w:sz w:val="20"/>
          <w:szCs w:val="20"/>
          <w:color w:val="auto"/>
        </w:rPr>
      </w:pPr>
    </w:p>
    <w:p>
      <w:pPr>
        <w:ind w:right="180" w:firstLine="351"/>
        <w:spacing w:after="0" w:line="277" w:lineRule="auto"/>
        <w:rPr>
          <w:sz w:val="20"/>
          <w:szCs w:val="20"/>
          <w:color w:val="auto"/>
        </w:rPr>
      </w:pPr>
      <w:r>
        <w:rPr>
          <w:rFonts w:ascii="Times New Roman" w:cs="Times New Roman" w:eastAsia="Times New Roman" w:hAnsi="Times New Roman"/>
          <w:sz w:val="18"/>
          <w:szCs w:val="18"/>
          <w:b w:val="1"/>
          <w:bCs w:val="1"/>
          <w:color w:val="auto"/>
        </w:rPr>
        <w:t>Actual Score—</w:t>
      </w:r>
      <w:r>
        <w:rPr>
          <w:rFonts w:ascii="Times New Roman" w:cs="Times New Roman" w:eastAsia="Times New Roman" w:hAnsi="Times New Roman"/>
          <w:sz w:val="18"/>
          <w:szCs w:val="18"/>
          <w:color w:val="auto"/>
        </w:rPr>
        <w:t>For 2003, the goal at the Company-wide level is to achieve an actual score of 71. Each subgroup's actual score will be measured relative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Company-wide goal of 71.</w:t>
      </w:r>
    </w:p>
    <w:p>
      <w:pPr>
        <w:spacing w:after="0" w:line="170" w:lineRule="exact"/>
        <w:rPr>
          <w:sz w:val="20"/>
          <w:szCs w:val="20"/>
          <w:color w:val="auto"/>
        </w:rPr>
      </w:pPr>
    </w:p>
    <w:p>
      <w:pPr>
        <w:ind w:right="140" w:firstLine="351"/>
        <w:spacing w:after="0" w:line="277" w:lineRule="auto"/>
        <w:rPr>
          <w:sz w:val="20"/>
          <w:szCs w:val="20"/>
          <w:color w:val="auto"/>
        </w:rPr>
      </w:pPr>
      <w:r>
        <w:rPr>
          <w:rFonts w:ascii="Times New Roman" w:cs="Times New Roman" w:eastAsia="Times New Roman" w:hAnsi="Times New Roman"/>
          <w:sz w:val="18"/>
          <w:szCs w:val="18"/>
          <w:b w:val="1"/>
          <w:bCs w:val="1"/>
          <w:color w:val="auto"/>
        </w:rPr>
        <w:t>Final Payout—</w:t>
      </w:r>
      <w:r>
        <w:rPr>
          <w:rFonts w:ascii="Times New Roman" w:cs="Times New Roman" w:eastAsia="Times New Roman" w:hAnsi="Times New Roman"/>
          <w:sz w:val="18"/>
          <w:szCs w:val="18"/>
          <w:color w:val="auto"/>
        </w:rPr>
        <w:t>Alliance recognizes the importance of both progress and actual score relative to the Company-wide goals. The final payout is calculated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equally weighing the payout achieved for a group's progress score and its actual score.</w:t>
      </w:r>
    </w:p>
    <w:p>
      <w:pPr>
        <w:spacing w:after="0" w:line="17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In addition, the payout calculation for 2003 is based on the following:</w:t>
      </w:r>
    </w:p>
    <w:p>
      <w:pPr>
        <w:spacing w:after="0" w:line="239" w:lineRule="exact"/>
        <w:rPr>
          <w:sz w:val="20"/>
          <w:szCs w:val="20"/>
          <w:color w:val="auto"/>
        </w:rPr>
      </w:pPr>
    </w:p>
    <w:p>
      <w:pPr>
        <w:ind w:left="1080" w:hanging="532"/>
        <w:spacing w:after="0"/>
        <w:tabs>
          <w:tab w:leader="none" w:pos="108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Scores will be rounded to the nearer whole number.</w:t>
      </w:r>
    </w:p>
    <w:p>
      <w:pPr>
        <w:spacing w:after="0" w:line="252" w:lineRule="exact"/>
        <w:rPr>
          <w:rFonts w:ascii="Times New Roman" w:cs="Times New Roman" w:eastAsia="Times New Roman" w:hAnsi="Times New Roman"/>
          <w:sz w:val="18"/>
          <w:szCs w:val="18"/>
          <w:color w:val="auto"/>
        </w:rPr>
      </w:pPr>
    </w:p>
    <w:p>
      <w:pPr>
        <w:ind w:left="1080" w:right="20" w:hanging="532"/>
        <w:spacing w:after="0" w:line="254" w:lineRule="auto"/>
        <w:tabs>
          <w:tab w:leader="none" w:pos="108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2003, the ASI reports reflect leaders' direct areas of influence and accountability. In consultation with the appropriate LOB/BSG HR executive, an individual leader's ASI component has been linked to reporting groups, as defined in the 2003 Associate Survey report plan. The goal of these assignments is to reflect both influence and accountability, and to enhance alignment between the survey process and the ASI design. Prior to the administration of Associate Survey 2003 (by end of July 2003), these assignments will again be reviewed as part of the report planning process led by the appropriate HR Executive. This final review will provide an opportunity to examine any special cases (e.g., organizational changes) as needed. In any case of significant organizational change that requires a redefinition of a reporting group, process targets may change and will be re-communicated to leaders prior to survey administration.</w:t>
      </w:r>
    </w:p>
    <w:p>
      <w:pPr>
        <w:spacing w:after="0" w:line="208" w:lineRule="exact"/>
        <w:rPr>
          <w:rFonts w:ascii="Times New Roman" w:cs="Times New Roman" w:eastAsia="Times New Roman" w:hAnsi="Times New Roman"/>
          <w:sz w:val="18"/>
          <w:szCs w:val="18"/>
          <w:color w:val="auto"/>
        </w:rPr>
      </w:pPr>
    </w:p>
    <w:p>
      <w:pPr>
        <w:ind w:left="1080" w:right="560" w:hanging="532"/>
        <w:spacing w:after="0" w:line="275" w:lineRule="auto"/>
        <w:tabs>
          <w:tab w:leader="none" w:pos="108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progress targets have not been set by using a flat percentage increase over the average score of the same 18 items from the Associate Survey, but as a percentage of the "potential for</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97" name="Picture 1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7"/>
                    <pic:cNvPicPr>
                      <a:picLocks noChangeAspect="1" noChangeArrowheads="1"/>
                    </pic:cNvPicPr>
                  </pic:nvPicPr>
                  <pic:blipFill>
                    <a:blip r:embed="rId14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both"/>
        <w:ind w:left="1080" w:right="160"/>
        <w:spacing w:after="0" w:line="262" w:lineRule="auto"/>
        <w:rPr>
          <w:sz w:val="20"/>
          <w:szCs w:val="20"/>
          <w:color w:val="auto"/>
        </w:rPr>
      </w:pPr>
      <w:r>
        <w:rPr>
          <w:rFonts w:ascii="Times New Roman" w:cs="Times New Roman" w:eastAsia="Times New Roman" w:hAnsi="Times New Roman"/>
          <w:sz w:val="18"/>
          <w:szCs w:val="18"/>
          <w:color w:val="auto"/>
        </w:rPr>
        <w:t>change." We have set a goal for Alliance to increase our associate satisfaction by 16% of potential change each year. Each of the progress targets in this attachment was calculated using this same growth percentage. As an example, the formula used to determine the 2003 progress target for the Alliance consolidated score of 71 is:</w:t>
      </w:r>
    </w:p>
    <w:p>
      <w:pPr>
        <w:spacing w:after="0" w:line="184"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b w:val="1"/>
          <w:bCs w:val="1"/>
          <w:color w:val="auto"/>
        </w:rPr>
        <w:t>2002 Base Score* = 65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100 - 65 = 35</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(100 - 2002 Base Score* = Potential for Change)</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35 × 16% = 5.60</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(Potential for Change × Alliance Organizational Improvement = Increase Needed)</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65 + 6 = 71</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(2002 Base Score* + Increase Needed = Target Percent Favorable Score for 2003 Survey)</w:t>
      </w:r>
    </w:p>
    <w:p>
      <w:pPr>
        <w:spacing w:after="0" w:line="224" w:lineRule="exact"/>
        <w:rPr>
          <w:sz w:val="20"/>
          <w:szCs w:val="20"/>
          <w:color w:val="auto"/>
        </w:rPr>
      </w:pPr>
    </w:p>
    <w:p>
      <w:pPr>
        <w:ind w:left="540" w:hanging="532"/>
        <w:spacing w:after="0"/>
        <w:tabs>
          <w:tab w:leader="none" w:pos="54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Average of 18 items selected to compute Associate Satisfaction Index.</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98" name="Picture 1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8"/>
                    <pic:cNvPicPr>
                      <a:picLocks noChangeAspect="1" noChangeArrowheads="1"/>
                    </pic:cNvPicPr>
                  </pic:nvPicPr>
                  <pic:blipFill>
                    <a:blip r:embed="rId14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TARGET SCORES (PERCENT FAVORABLE MEAN) FOR 2003 ASSOCIATE SATISFACTION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8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Report Name</w:t>
            </w:r>
          </w:p>
        </w:tc>
        <w:tc>
          <w:tcPr>
            <w:tcW w:w="320" w:type="dxa"/>
            <w:vAlign w:val="bottom"/>
          </w:tcPr>
          <w:p>
            <w:pPr>
              <w:spacing w:after="0"/>
              <w:rPr>
                <w:sz w:val="15"/>
                <w:szCs w:val="15"/>
                <w:color w:val="auto"/>
              </w:rPr>
            </w:pPr>
          </w:p>
        </w:tc>
        <w:tc>
          <w:tcPr>
            <w:tcW w:w="242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2003 Progress Target Score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68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4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6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Alliance Data Systems Consolidated (Without FMI, NZ)</w:t>
            </w:r>
          </w:p>
        </w:tc>
        <w:tc>
          <w:tcPr>
            <w:tcW w:w="2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Transaction Services</w:t>
            </w:r>
          </w:p>
        </w:tc>
        <w:tc>
          <w:tcPr>
            <w:tcW w:w="3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680" w:type="dxa"/>
            <w:vAlign w:val="bottom"/>
            <w:tcBorders>
              <w:bottom w:val="single" w:sz="8" w:color="808080"/>
            </w:tcBorders>
          </w:tcPr>
          <w:p>
            <w:pPr>
              <w:spacing w:after="0"/>
              <w:rPr>
                <w:sz w:val="7"/>
                <w:szCs w:val="7"/>
                <w:color w:val="auto"/>
              </w:rPr>
            </w:pPr>
          </w:p>
        </w:tc>
        <w:tc>
          <w:tcPr>
            <w:tcW w:w="320" w:type="dxa"/>
            <w:vAlign w:val="bottom"/>
          </w:tcPr>
          <w:p>
            <w:pPr>
              <w:spacing w:after="0"/>
              <w:rPr>
                <w:sz w:val="7"/>
                <w:szCs w:val="7"/>
                <w:color w:val="auto"/>
              </w:rPr>
            </w:pPr>
          </w:p>
        </w:tc>
        <w:tc>
          <w:tcPr>
            <w:tcW w:w="24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6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Transaction Services Consolidated (Without MB, FMI, NZ, Marketing)</w:t>
            </w:r>
          </w:p>
        </w:tc>
        <w:tc>
          <w:tcPr>
            <w:tcW w:w="2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Network Services Consolidated</w:t>
            </w:r>
          </w:p>
        </w:tc>
        <w:tc>
          <w:tcPr>
            <w:tcW w:w="2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Network Services (Lenexa &amp; Johnson City)</w:t>
            </w:r>
          </w:p>
        </w:tc>
        <w:tc>
          <w:tcPr>
            <w:tcW w:w="2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Network Services (Lenexa)</w:t>
            </w:r>
          </w:p>
        </w:tc>
        <w:tc>
          <w:tcPr>
            <w:tcW w:w="2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7"/>
        </w:trPr>
        <w:tc>
          <w:tcPr>
            <w:tcW w:w="20" w:type="dxa"/>
            <w:vAlign w:val="bottom"/>
            <w:shd w:val="clear" w:color="auto" w:fill="CCEEFF"/>
          </w:tcPr>
          <w:p>
            <w:pPr>
              <w:spacing w:after="0"/>
              <w:rPr>
                <w:sz w:val="8"/>
                <w:szCs w:val="8"/>
                <w:color w:val="auto"/>
              </w:rPr>
            </w:pPr>
          </w:p>
        </w:tc>
        <w:tc>
          <w:tcPr>
            <w:tcW w:w="86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24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-1077595</wp:posOffset>
            </wp:positionV>
            <wp:extent cx="12700" cy="8890"/>
            <wp:wrapNone/>
            <wp:docPr id="1399" name="Picture 1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9"/>
                    <pic:cNvPicPr>
                      <a:picLocks noChangeAspect="1" noChangeArrowheads="1"/>
                    </pic:cNvPicPr>
                  </pic:nvPicPr>
                  <pic:blipFill>
                    <a:blip r:embed="rId14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-1077595</wp:posOffset>
            </wp:positionV>
            <wp:extent cx="12700" cy="8890"/>
            <wp:wrapNone/>
            <wp:docPr id="1400" name="Picture 1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0"/>
                    <pic:cNvPicPr>
                      <a:picLocks noChangeAspect="1" noChangeArrowheads="1"/>
                    </pic:cNvPicPr>
                  </pic:nvPicPr>
                  <pic:blipFill>
                    <a:blip r:embed="rId14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-1077595</wp:posOffset>
            </wp:positionV>
            <wp:extent cx="12700" cy="8890"/>
            <wp:wrapNone/>
            <wp:docPr id="1401" name="Picture 1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1"/>
                    <pic:cNvPicPr>
                      <a:picLocks noChangeAspect="1" noChangeArrowheads="1"/>
                    </pic:cNvPicPr>
                  </pic:nvPicPr>
                  <pic:blipFill>
                    <a:blip r:embed="rId14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-1077595</wp:posOffset>
            </wp:positionV>
            <wp:extent cx="12700" cy="8890"/>
            <wp:wrapNone/>
            <wp:docPr id="1402" name="Picture 1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2"/>
                    <pic:cNvPicPr>
                      <a:picLocks noChangeAspect="1" noChangeArrowheads="1"/>
                    </pic:cNvPicPr>
                  </pic:nvPicPr>
                  <pic:blipFill>
                    <a:blip r:embed="rId14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-691515</wp:posOffset>
            </wp:positionV>
            <wp:extent cx="12700" cy="8890"/>
            <wp:wrapNone/>
            <wp:docPr id="1403" name="Picture 1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3"/>
                    <pic:cNvPicPr>
                      <a:picLocks noChangeAspect="1" noChangeArrowheads="1"/>
                    </pic:cNvPicPr>
                  </pic:nvPicPr>
                  <pic:blipFill>
                    <a:blip r:embed="rId14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-691515</wp:posOffset>
            </wp:positionV>
            <wp:extent cx="12700" cy="8890"/>
            <wp:wrapNone/>
            <wp:docPr id="1404" name="Picture 1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4"/>
                    <pic:cNvPicPr>
                      <a:picLocks noChangeAspect="1" noChangeArrowheads="1"/>
                    </pic:cNvPicPr>
                  </pic:nvPicPr>
                  <pic:blipFill>
                    <a:blip r:embed="rId14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00" w:orient="portrait"/>
          <w:cols w:equalWidth="0" w:num="1">
            <w:col w:w="11420"/>
          </w:cols>
          <w:pgMar w:left="240" w:top="123" w:right="239" w:bottom="0" w:gutter="0" w:footer="0" w:header="0"/>
        </w:sectPr>
      </w:pPr>
    </w:p>
    <w:bookmarkStart w:id="82" w:name="page83"/>
    <w:bookmarkEnd w:id="82"/>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8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Network Services (Johnson City)</w:t>
            </w: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3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Network Services (Buffalo Grove)</w:t>
            </w: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3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w w:val="96"/>
              </w:rPr>
              <w:t>Network Services (excluding Johnson City &amp; Lenexa)</w:t>
            </w: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3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Utility Services Consolidated</w:t>
            </w: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3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Call Center Operations (Atlanta &amp; Walnut St.)</w:t>
            </w: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3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Call Center Operations (Atlanta)</w:t>
            </w: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3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Call Center Operations &amp; Human Resources—(Walnut St.)</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3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5"/>
          </w:tcPr>
          <w:p>
            <w:pPr>
              <w:spacing w:after="0"/>
              <w:rPr>
                <w:sz w:val="20"/>
                <w:szCs w:val="20"/>
                <w:color w:val="auto"/>
              </w:rPr>
            </w:pPr>
            <w:r>
              <w:rPr>
                <w:rFonts w:ascii="Times New Roman" w:cs="Times New Roman" w:eastAsia="Times New Roman" w:hAnsi="Times New Roman"/>
                <w:sz w:val="18"/>
                <w:szCs w:val="18"/>
                <w:color w:val="auto"/>
                <w:w w:val="96"/>
              </w:rPr>
              <w:t>Systems Development Consolidated (includes Seattle)</w:t>
            </w: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3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Systems Development (Atlanta)</w:t>
            </w: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3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Systems Development (HQ2)</w:t>
            </w: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3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Systems Development (Seattle)</w:t>
            </w: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3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Frequency Marketing</w:t>
            </w: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3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Mail Box Corp</w:t>
            </w: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3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306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Information Technology Solutions</w:t>
            </w:r>
          </w:p>
        </w:tc>
        <w:tc>
          <w:tcPr>
            <w:tcW w:w="2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140" w:type="dxa"/>
            <w:vAlign w:val="bottom"/>
            <w:tcBorders>
              <w:bottom w:val="single" w:sz="8" w:color="808080"/>
            </w:tcBorders>
            <w:gridSpan w:val="2"/>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1380" w:type="dxa"/>
            <w:vAlign w:val="bottom"/>
            <w:tcBorders>
              <w:bottom w:val="single" w:sz="8" w:color="808080"/>
            </w:tcBorders>
          </w:tcPr>
          <w:p>
            <w:pPr>
              <w:spacing w:after="0"/>
              <w:rPr>
                <w:sz w:val="7"/>
                <w:szCs w:val="7"/>
                <w:color w:val="auto"/>
              </w:rPr>
            </w:pPr>
          </w:p>
        </w:tc>
        <w:tc>
          <w:tcPr>
            <w:tcW w:w="100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580" w:type="dxa"/>
            <w:vAlign w:val="bottom"/>
            <w:tcBorders>
              <w:bottom w:val="single" w:sz="8" w:color="808080"/>
            </w:tcBorders>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102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1620" w:type="dxa"/>
            <w:vAlign w:val="bottom"/>
            <w:tcBorders>
              <w:bottom w:val="single" w:sz="8" w:color="808080"/>
            </w:tcBorders>
          </w:tcPr>
          <w:p>
            <w:pPr>
              <w:spacing w:after="0"/>
              <w:rPr>
                <w:sz w:val="7"/>
                <w:szCs w:val="7"/>
                <w:color w:val="auto"/>
              </w:rPr>
            </w:pPr>
          </w:p>
        </w:tc>
        <w:tc>
          <w:tcPr>
            <w:tcW w:w="600" w:type="dxa"/>
            <w:vAlign w:val="bottom"/>
            <w:tcBorders>
              <w:bottom w:val="single" w:sz="8" w:color="808080"/>
            </w:tcBorders>
          </w:tcPr>
          <w:p>
            <w:pPr>
              <w:spacing w:after="0"/>
              <w:rPr>
                <w:sz w:val="7"/>
                <w:szCs w:val="7"/>
                <w:color w:val="auto"/>
              </w:rPr>
            </w:pPr>
          </w:p>
        </w:tc>
        <w:tc>
          <w:tcPr>
            <w:tcW w:w="320" w:type="dxa"/>
            <w:vAlign w:val="bottom"/>
            <w:tcBorders>
              <w:bottom w:val="single" w:sz="8" w:color="808080"/>
            </w:tcBorders>
          </w:tcPr>
          <w:p>
            <w:pPr>
              <w:spacing w:after="0"/>
              <w:rPr>
                <w:sz w:val="7"/>
                <w:szCs w:val="7"/>
                <w:color w:val="auto"/>
              </w:rPr>
            </w:pPr>
          </w:p>
        </w:tc>
        <w:tc>
          <w:tcPr>
            <w:tcW w:w="3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600" w:type="dxa"/>
            <w:vAlign w:val="bottom"/>
          </w:tcPr>
          <w:p>
            <w:pPr>
              <w:spacing w:after="0"/>
              <w:rPr>
                <w:sz w:val="9"/>
                <w:szCs w:val="9"/>
                <w:color w:val="auto"/>
              </w:rPr>
            </w:pPr>
          </w:p>
        </w:tc>
        <w:tc>
          <w:tcPr>
            <w:tcW w:w="320" w:type="dxa"/>
            <w:vAlign w:val="bottom"/>
          </w:tcPr>
          <w:p>
            <w:pPr>
              <w:spacing w:after="0"/>
              <w:rPr>
                <w:sz w:val="9"/>
                <w:szCs w:val="9"/>
                <w:color w:val="auto"/>
              </w:rPr>
            </w:pPr>
          </w:p>
        </w:tc>
        <w:tc>
          <w:tcPr>
            <w:tcW w:w="3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Information Technology Solutions Consolidated</w:t>
            </w: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3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Information Technology Solutions (San Antonio)</w:t>
            </w: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3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Information Technology Solutions (Reynoldsburg)</w:t>
            </w: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3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860" w:type="dxa"/>
            <w:vAlign w:val="bottom"/>
            <w:gridSpan w:val="9"/>
          </w:tcPr>
          <w:p>
            <w:pPr>
              <w:spacing w:after="0" w:line="200" w:lineRule="exact"/>
              <w:rPr>
                <w:sz w:val="20"/>
                <w:szCs w:val="20"/>
                <w:color w:val="auto"/>
              </w:rPr>
            </w:pPr>
            <w:r>
              <w:rPr>
                <w:rFonts w:ascii="Times New Roman" w:cs="Times New Roman" w:eastAsia="Times New Roman" w:hAnsi="Times New Roman"/>
                <w:sz w:val="18"/>
                <w:szCs w:val="18"/>
                <w:color w:val="auto"/>
              </w:rPr>
              <w:t>Information Technology Solutions (excluding San Antonio &amp; Reynoldsburg)</w:t>
            </w:r>
          </w:p>
        </w:tc>
        <w:tc>
          <w:tcPr>
            <w:tcW w:w="2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360" w:type="dxa"/>
            <w:vAlign w:val="bottom"/>
            <w:gridSpan w:val="4"/>
          </w:tcPr>
          <w:p>
            <w:pPr>
              <w:jc w:val="right"/>
              <w:spacing w:after="0" w:line="200" w:lineRule="exact"/>
              <w:rPr>
                <w:sz w:val="20"/>
                <w:szCs w:val="20"/>
                <w:color w:val="auto"/>
              </w:rPr>
            </w:pPr>
            <w:r>
              <w:rPr>
                <w:rFonts w:ascii="Times New Roman" w:cs="Times New Roman" w:eastAsia="Times New Roman" w:hAnsi="Times New Roman"/>
                <w:sz w:val="18"/>
                <w:szCs w:val="18"/>
                <w:color w:val="auto"/>
              </w:rPr>
              <w:t>71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60" w:type="dxa"/>
            <w:vAlign w:val="bottom"/>
            <w:gridSpan w:val="4"/>
          </w:tcPr>
          <w:p>
            <w:pPr>
              <w:jc w:val="center"/>
              <w:ind w:right="912"/>
              <w:spacing w:after="0"/>
              <w:rPr>
                <w:sz w:val="20"/>
                <w:szCs w:val="20"/>
                <w:color w:val="auto"/>
              </w:rPr>
            </w:pPr>
            <w:r>
              <w:rPr>
                <w:rFonts w:ascii="Times New Roman" w:cs="Times New Roman" w:eastAsia="Times New Roman" w:hAnsi="Times New Roman"/>
                <w:sz w:val="14"/>
                <w:szCs w:val="14"/>
                <w:b w:val="1"/>
                <w:bCs w:val="1"/>
                <w:color w:val="auto"/>
                <w:w w:val="97"/>
              </w:rPr>
              <w:t>Retail Services</w:t>
            </w:r>
          </w:p>
        </w:tc>
        <w:tc>
          <w:tcPr>
            <w:tcW w:w="2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140" w:type="dxa"/>
            <w:vAlign w:val="bottom"/>
            <w:tcBorders>
              <w:bottom w:val="single" w:sz="8" w:color="808080"/>
            </w:tcBorders>
            <w:gridSpan w:val="2"/>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62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600" w:type="dxa"/>
            <w:vAlign w:val="bottom"/>
          </w:tcPr>
          <w:p>
            <w:pPr>
              <w:spacing w:after="0"/>
              <w:rPr>
                <w:sz w:val="9"/>
                <w:szCs w:val="9"/>
                <w:color w:val="auto"/>
              </w:rPr>
            </w:pPr>
          </w:p>
        </w:tc>
        <w:tc>
          <w:tcPr>
            <w:tcW w:w="320" w:type="dxa"/>
            <w:vAlign w:val="bottom"/>
          </w:tcPr>
          <w:p>
            <w:pPr>
              <w:spacing w:after="0"/>
              <w:rPr>
                <w:sz w:val="9"/>
                <w:szCs w:val="9"/>
                <w:color w:val="auto"/>
              </w:rPr>
            </w:pPr>
          </w:p>
        </w:tc>
        <w:tc>
          <w:tcPr>
            <w:tcW w:w="3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Retail Services Consolidated (With Marketing &amp; Voorhees)</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3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Marketing Services</w:t>
            </w: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3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 Operations Consolidated</w:t>
            </w: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3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Other Operations Consolidated</w:t>
            </w: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3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Retail Information Technology</w:t>
            </w: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3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Retail Services (Voorhees)</w:t>
            </w: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3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Retail Services (Broad St.)</w:t>
            </w: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3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Retail Services (Westerville Call Center)</w:t>
            </w: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3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Retail Services (Westminster)</w:t>
            </w: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3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Retail Services (Lenexa)</w:t>
            </w: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3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Retail Services (Reno)</w:t>
            </w: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3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800" w:type="dxa"/>
            <w:vAlign w:val="bottom"/>
            <w:gridSpan w:val="5"/>
          </w:tcPr>
          <w:p>
            <w:pPr>
              <w:spacing w:after="0" w:line="200" w:lineRule="exact"/>
              <w:rPr>
                <w:sz w:val="20"/>
                <w:szCs w:val="20"/>
                <w:color w:val="auto"/>
              </w:rPr>
            </w:pPr>
            <w:r>
              <w:rPr>
                <w:rFonts w:ascii="Times New Roman" w:cs="Times New Roman" w:eastAsia="Times New Roman" w:hAnsi="Times New Roman"/>
                <w:sz w:val="18"/>
                <w:szCs w:val="18"/>
                <w:color w:val="auto"/>
              </w:rPr>
              <w:t>Retail Services (Other)</w:t>
            </w: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360" w:type="dxa"/>
            <w:vAlign w:val="bottom"/>
            <w:gridSpan w:val="4"/>
          </w:tcPr>
          <w:p>
            <w:pPr>
              <w:jc w:val="right"/>
              <w:spacing w:after="0" w:line="200" w:lineRule="exact"/>
              <w:rPr>
                <w:sz w:val="20"/>
                <w:szCs w:val="20"/>
                <w:color w:val="auto"/>
              </w:rPr>
            </w:pPr>
            <w:r>
              <w:rPr>
                <w:rFonts w:ascii="Times New Roman" w:cs="Times New Roman" w:eastAsia="Times New Roman" w:hAnsi="Times New Roman"/>
                <w:sz w:val="18"/>
                <w:szCs w:val="18"/>
                <w:color w:val="auto"/>
              </w:rPr>
              <w:t>75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306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Corporate Support Services, CFO and LCAS</w:t>
            </w:r>
          </w:p>
        </w:tc>
        <w:tc>
          <w:tcPr>
            <w:tcW w:w="2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140" w:type="dxa"/>
            <w:vAlign w:val="bottom"/>
            <w:tcBorders>
              <w:bottom w:val="single" w:sz="8" w:color="808080"/>
            </w:tcBorders>
            <w:gridSpan w:val="2"/>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62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600" w:type="dxa"/>
            <w:vAlign w:val="bottom"/>
          </w:tcPr>
          <w:p>
            <w:pPr>
              <w:spacing w:after="0"/>
              <w:rPr>
                <w:sz w:val="9"/>
                <w:szCs w:val="9"/>
                <w:color w:val="auto"/>
              </w:rPr>
            </w:pPr>
          </w:p>
        </w:tc>
        <w:tc>
          <w:tcPr>
            <w:tcW w:w="320" w:type="dxa"/>
            <w:vAlign w:val="bottom"/>
          </w:tcPr>
          <w:p>
            <w:pPr>
              <w:spacing w:after="0"/>
              <w:rPr>
                <w:sz w:val="9"/>
                <w:szCs w:val="9"/>
                <w:color w:val="auto"/>
              </w:rPr>
            </w:pPr>
          </w:p>
        </w:tc>
        <w:tc>
          <w:tcPr>
            <w:tcW w:w="3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Support Services, CFO, LCAS</w:t>
            </w: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3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A-3</w:t>
            </w:r>
          </w:p>
        </w:tc>
        <w:tc>
          <w:tcPr>
            <w:tcW w:w="2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380" w:type="dxa"/>
            <w:vAlign w:val="bottom"/>
            <w:tcBorders>
              <w:bottom w:val="single" w:sz="8" w:color="808080"/>
            </w:tcBorders>
          </w:tcPr>
          <w:p>
            <w:pPr>
              <w:spacing w:after="0"/>
              <w:rPr>
                <w:sz w:val="19"/>
                <w:szCs w:val="19"/>
                <w:color w:val="auto"/>
              </w:rPr>
            </w:pPr>
          </w:p>
        </w:tc>
        <w:tc>
          <w:tcPr>
            <w:tcW w:w="1280" w:type="dxa"/>
            <w:vAlign w:val="bottom"/>
            <w:tcBorders>
              <w:bottom w:val="single" w:sz="8" w:color="808080"/>
            </w:tcBorders>
            <w:gridSpan w:val="2"/>
          </w:tcPr>
          <w:p>
            <w:pPr>
              <w:spacing w:after="0"/>
              <w:rPr>
                <w:sz w:val="19"/>
                <w:szCs w:val="19"/>
                <w:color w:val="auto"/>
              </w:rPr>
            </w:pPr>
          </w:p>
        </w:tc>
        <w:tc>
          <w:tcPr>
            <w:tcW w:w="760" w:type="dxa"/>
            <w:vAlign w:val="bottom"/>
            <w:tcBorders>
              <w:bottom w:val="single" w:sz="8" w:color="808080"/>
            </w:tcBorders>
            <w:gridSpan w:val="2"/>
          </w:tcPr>
          <w:p>
            <w:pPr>
              <w:spacing w:after="0"/>
              <w:rPr>
                <w:sz w:val="19"/>
                <w:szCs w:val="19"/>
                <w:color w:val="auto"/>
              </w:rPr>
            </w:pPr>
          </w:p>
        </w:tc>
        <w:tc>
          <w:tcPr>
            <w:tcW w:w="1300" w:type="dxa"/>
            <w:vAlign w:val="bottom"/>
            <w:tcBorders>
              <w:bottom w:val="single" w:sz="8" w:color="808080"/>
            </w:tcBorders>
            <w:gridSpan w:val="2"/>
          </w:tcPr>
          <w:p>
            <w:pPr>
              <w:spacing w:after="0"/>
              <w:rPr>
                <w:sz w:val="19"/>
                <w:szCs w:val="19"/>
                <w:color w:val="auto"/>
              </w:rPr>
            </w:pPr>
          </w:p>
        </w:tc>
        <w:tc>
          <w:tcPr>
            <w:tcW w:w="162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7"/>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560" w:type="dxa"/>
            <w:vAlign w:val="bottom"/>
            <w:gridSpan w:val="8"/>
          </w:tcPr>
          <w:p>
            <w:pPr>
              <w:ind w:left="420"/>
              <w:spacing w:after="0"/>
              <w:rPr>
                <w:sz w:val="20"/>
                <w:szCs w:val="20"/>
                <w:color w:val="auto"/>
              </w:rPr>
            </w:pPr>
            <w:r>
              <w:rPr>
                <w:rFonts w:ascii="Times New Roman" w:cs="Times New Roman" w:eastAsia="Times New Roman" w:hAnsi="Times New Roman"/>
                <w:sz w:val="18"/>
                <w:szCs w:val="18"/>
                <w:b w:val="1"/>
                <w:bCs w:val="1"/>
                <w:color w:val="auto"/>
                <w:w w:val="98"/>
              </w:rPr>
              <w:t>PAYOUT TABLE FOR ASSOCIATE SATISFACTION RESULTS</w:t>
            </w: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140" w:type="dxa"/>
            <w:vAlign w:val="bottom"/>
            <w:gridSpan w:val="11"/>
          </w:tcPr>
          <w:p>
            <w:pPr>
              <w:ind w:left="120"/>
              <w:spacing w:after="0"/>
              <w:rPr>
                <w:sz w:val="20"/>
                <w:szCs w:val="20"/>
                <w:color w:val="auto"/>
              </w:rPr>
            </w:pPr>
            <w:r>
              <w:rPr>
                <w:rFonts w:ascii="Times New Roman" w:cs="Times New Roman" w:eastAsia="Times New Roman" w:hAnsi="Times New Roman"/>
                <w:sz w:val="18"/>
                <w:szCs w:val="18"/>
                <w:color w:val="auto"/>
              </w:rPr>
              <w:t>Payout for the ASI Component is a combination of Actual Score and the Percent of Target Achieved.</w:t>
            </w: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w:t>
            </w:r>
          </w:p>
        </w:tc>
        <w:tc>
          <w:tcPr>
            <w:tcW w:w="5640" w:type="dxa"/>
            <w:vAlign w:val="bottom"/>
            <w:gridSpan w:val="8"/>
          </w:tcPr>
          <w:p>
            <w:pPr>
              <w:ind w:left="300"/>
              <w:spacing w:after="0"/>
              <w:rPr>
                <w:sz w:val="20"/>
                <w:szCs w:val="20"/>
                <w:color w:val="auto"/>
              </w:rPr>
            </w:pPr>
            <w:r>
              <w:rPr>
                <w:rFonts w:ascii="Times New Roman" w:cs="Times New Roman" w:eastAsia="Times New Roman" w:hAnsi="Times New Roman"/>
                <w:sz w:val="18"/>
                <w:szCs w:val="18"/>
                <w:color w:val="auto"/>
              </w:rPr>
              <w:t>Look up the Actual Score first and determine the payout percentage.</w:t>
            </w:r>
          </w:p>
        </w:tc>
        <w:tc>
          <w:tcPr>
            <w:tcW w:w="2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w:t>
            </w:r>
          </w:p>
        </w:tc>
        <w:tc>
          <w:tcPr>
            <w:tcW w:w="8140" w:type="dxa"/>
            <w:vAlign w:val="bottom"/>
            <w:gridSpan w:val="11"/>
          </w:tcPr>
          <w:p>
            <w:pPr>
              <w:ind w:left="300"/>
              <w:spacing w:after="0"/>
              <w:rPr>
                <w:sz w:val="20"/>
                <w:szCs w:val="20"/>
                <w:color w:val="auto"/>
              </w:rPr>
            </w:pPr>
            <w:r>
              <w:rPr>
                <w:rFonts w:ascii="Times New Roman" w:cs="Times New Roman" w:eastAsia="Times New Roman" w:hAnsi="Times New Roman"/>
                <w:sz w:val="18"/>
                <w:szCs w:val="18"/>
                <w:color w:val="auto"/>
              </w:rPr>
              <w:t>Then, look up Percent of Target Achieved and determine the payout percentage.</w:t>
            </w: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w:t>
            </w:r>
          </w:p>
        </w:tc>
        <w:tc>
          <w:tcPr>
            <w:tcW w:w="5640" w:type="dxa"/>
            <w:vAlign w:val="bottom"/>
            <w:gridSpan w:val="8"/>
          </w:tcPr>
          <w:p>
            <w:pPr>
              <w:ind w:left="300"/>
              <w:spacing w:after="0"/>
              <w:rPr>
                <w:sz w:val="20"/>
                <w:szCs w:val="20"/>
                <w:color w:val="auto"/>
              </w:rPr>
            </w:pPr>
            <w:r>
              <w:rPr>
                <w:rFonts w:ascii="Times New Roman" w:cs="Times New Roman" w:eastAsia="Times New Roman" w:hAnsi="Times New Roman"/>
                <w:sz w:val="18"/>
                <w:szCs w:val="18"/>
                <w:color w:val="auto"/>
                <w:w w:val="97"/>
              </w:rPr>
              <w:t>These two percentages are averaged to get the final ASI payout percentage.</w:t>
            </w:r>
          </w:p>
        </w:tc>
        <w:tc>
          <w:tcPr>
            <w:tcW w:w="2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8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Examples:</w:t>
            </w: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vMerge w:val="restart"/>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gridSpan w:val="2"/>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26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2002 Base Score:</w:t>
            </w: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66</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50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2002 Base Score:</w:t>
            </w:r>
          </w:p>
        </w:tc>
        <w:tc>
          <w:tcPr>
            <w:tcW w:w="6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73</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2003 Target:</w:t>
            </w: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71</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5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2003 Target:</w:t>
            </w: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75</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40" w:type="dxa"/>
            <w:vAlign w:val="bottom"/>
            <w:gridSpan w:val="4"/>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w w:val="98"/>
              </w:rPr>
              <w:t>2003 Results and Possible Payment</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120" w:type="dxa"/>
            <w:vAlign w:val="bottom"/>
            <w:gridSpan w:val="7"/>
            <w:shd w:val="clear" w:color="auto" w:fill="CCEEFF"/>
          </w:tcPr>
          <w:p>
            <w:pPr>
              <w:jc w:val="center"/>
              <w:ind w:right="260"/>
              <w:spacing w:after="0"/>
              <w:rPr>
                <w:sz w:val="20"/>
                <w:szCs w:val="20"/>
                <w:color w:val="auto"/>
              </w:rPr>
            </w:pPr>
            <w:r>
              <w:rPr>
                <w:rFonts w:ascii="Times New Roman" w:cs="Times New Roman" w:eastAsia="Times New Roman" w:hAnsi="Times New Roman"/>
                <w:sz w:val="18"/>
                <w:szCs w:val="18"/>
                <w:color w:val="auto"/>
                <w:w w:val="97"/>
              </w:rPr>
              <w:t>2003 Results and Possible Payment</w:t>
            </w:r>
          </w:p>
        </w:tc>
        <w:tc>
          <w:tcPr>
            <w:tcW w:w="11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Actual Score:</w:t>
            </w: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69</w:t>
            </w:r>
          </w:p>
        </w:tc>
        <w:tc>
          <w:tcPr>
            <w:tcW w:w="580" w:type="dxa"/>
            <w:vAlign w:val="bottom"/>
          </w:tcPr>
          <w:p>
            <w:pPr>
              <w:spacing w:after="0"/>
              <w:rPr>
                <w:sz w:val="18"/>
                <w:szCs w:val="18"/>
                <w:color w:val="auto"/>
              </w:rPr>
            </w:pPr>
          </w:p>
        </w:tc>
        <w:tc>
          <w:tcPr>
            <w:tcW w:w="1200" w:type="dxa"/>
            <w:vAlign w:val="bottom"/>
            <w:gridSpan w:val="2"/>
          </w:tcPr>
          <w:p>
            <w:pPr>
              <w:jc w:val="right"/>
              <w:ind w:right="152"/>
              <w:spacing w:after="0"/>
              <w:rPr>
                <w:sz w:val="20"/>
                <w:szCs w:val="20"/>
                <w:color w:val="auto"/>
              </w:rPr>
            </w:pPr>
            <w:r>
              <w:rPr>
                <w:rFonts w:ascii="Times New Roman" w:cs="Times New Roman" w:eastAsia="Times New Roman" w:hAnsi="Times New Roman"/>
                <w:sz w:val="18"/>
                <w:szCs w:val="18"/>
                <w:color w:val="auto"/>
              </w:rPr>
              <w:t>90% payout</w:t>
            </w:r>
          </w:p>
        </w:tc>
        <w:tc>
          <w:tcPr>
            <w:tcW w:w="25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Actual Score:</w:t>
            </w: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75</w:t>
            </w:r>
          </w:p>
        </w:tc>
        <w:tc>
          <w:tcPr>
            <w:tcW w:w="12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w w:val="96"/>
              </w:rPr>
              <w:t>140% payout</w:t>
            </w:r>
          </w:p>
        </w:tc>
        <w:tc>
          <w:tcPr>
            <w:tcW w:w="11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Percent of Target Achieved:</w:t>
            </w:r>
          </w:p>
        </w:tc>
        <w:tc>
          <w:tcPr>
            <w:tcW w:w="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97%</w:t>
            </w:r>
          </w:p>
        </w:tc>
        <w:tc>
          <w:tcPr>
            <w:tcW w:w="1200" w:type="dxa"/>
            <w:vAlign w:val="bottom"/>
            <w:gridSpan w:val="2"/>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70% payout</w:t>
            </w:r>
          </w:p>
        </w:tc>
        <w:tc>
          <w:tcPr>
            <w:tcW w:w="250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Percent of Target Achieved:</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c>
          <w:tcPr>
            <w:tcW w:w="122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96"/>
              </w:rPr>
              <w:t>100% payout</w:t>
            </w:r>
          </w:p>
        </w:tc>
        <w:tc>
          <w:tcPr>
            <w:tcW w:w="11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40" w:type="dxa"/>
            <w:vAlign w:val="bottom"/>
            <w:gridSpan w:val="6"/>
          </w:tcPr>
          <w:p>
            <w:pPr>
              <w:jc w:val="right"/>
              <w:ind w:right="692"/>
              <w:spacing w:after="0" w:line="200" w:lineRule="exact"/>
              <w:rPr>
                <w:sz w:val="20"/>
                <w:szCs w:val="20"/>
                <w:color w:val="auto"/>
              </w:rPr>
            </w:pPr>
            <w:r>
              <w:rPr>
                <w:rFonts w:ascii="Times New Roman" w:cs="Times New Roman" w:eastAsia="Times New Roman" w:hAnsi="Times New Roman"/>
                <w:sz w:val="18"/>
                <w:szCs w:val="18"/>
                <w:color w:val="auto"/>
              </w:rPr>
              <w:t>Payment would be the average of the two = 80%</w:t>
            </w:r>
          </w:p>
        </w:tc>
        <w:tc>
          <w:tcPr>
            <w:tcW w:w="280" w:type="dxa"/>
            <w:vAlign w:val="bottom"/>
          </w:tcPr>
          <w:p>
            <w:pPr>
              <w:spacing w:after="0"/>
              <w:rPr>
                <w:sz w:val="17"/>
                <w:szCs w:val="17"/>
                <w:color w:val="auto"/>
              </w:rPr>
            </w:pPr>
          </w:p>
        </w:tc>
        <w:tc>
          <w:tcPr>
            <w:tcW w:w="4120" w:type="dxa"/>
            <w:vAlign w:val="bottom"/>
            <w:gridSpan w:val="7"/>
          </w:tcPr>
          <w:p>
            <w:pPr>
              <w:jc w:val="center"/>
              <w:ind w:right="240"/>
              <w:spacing w:after="0" w:line="200" w:lineRule="exact"/>
              <w:rPr>
                <w:sz w:val="20"/>
                <w:szCs w:val="20"/>
                <w:color w:val="auto"/>
              </w:rPr>
            </w:pPr>
            <w:r>
              <w:rPr>
                <w:rFonts w:ascii="Times New Roman" w:cs="Times New Roman" w:eastAsia="Times New Roman" w:hAnsi="Times New Roman"/>
                <w:sz w:val="18"/>
                <w:szCs w:val="18"/>
                <w:color w:val="auto"/>
                <w:w w:val="97"/>
              </w:rPr>
              <w:t>Payment would be the average of the two = 120%*</w:t>
            </w:r>
          </w:p>
        </w:tc>
        <w:tc>
          <w:tcPr>
            <w:tcW w:w="11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380" w:type="dxa"/>
            <w:vAlign w:val="bottom"/>
            <w:gridSpan w:val="2"/>
          </w:tcPr>
          <w:p>
            <w:pPr>
              <w:jc w:val="center"/>
              <w:ind w:right="926"/>
              <w:spacing w:after="0" w:line="149" w:lineRule="exact"/>
              <w:rPr>
                <w:sz w:val="20"/>
                <w:szCs w:val="20"/>
                <w:color w:val="auto"/>
              </w:rPr>
            </w:pPr>
            <w:r>
              <w:rPr>
                <w:rFonts w:ascii="Times New Roman" w:cs="Times New Roman" w:eastAsia="Times New Roman" w:hAnsi="Times New Roman"/>
                <w:sz w:val="14"/>
                <w:szCs w:val="14"/>
                <w:b w:val="1"/>
                <w:bCs w:val="1"/>
                <w:color w:val="auto"/>
                <w:w w:val="96"/>
              </w:rPr>
              <w:t>Actual Score</w:t>
            </w: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20" w:type="dxa"/>
            <w:vAlign w:val="bottom"/>
            <w:gridSpan w:val="2"/>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color w:val="auto"/>
                <w:w w:val="93"/>
              </w:rPr>
              <w:t>Percent of Target</w:t>
            </w: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380" w:type="dxa"/>
            <w:vAlign w:val="bottom"/>
            <w:gridSpan w:val="2"/>
          </w:tcPr>
          <w:p>
            <w:pPr>
              <w:jc w:val="center"/>
              <w:ind w:right="926"/>
              <w:spacing w:after="0"/>
              <w:rPr>
                <w:sz w:val="20"/>
                <w:szCs w:val="20"/>
                <w:color w:val="auto"/>
              </w:rPr>
            </w:pPr>
            <w:r>
              <w:rPr>
                <w:rFonts w:ascii="Times New Roman" w:cs="Times New Roman" w:eastAsia="Times New Roman" w:hAnsi="Times New Roman"/>
                <w:sz w:val="14"/>
                <w:szCs w:val="14"/>
                <w:b w:val="1"/>
                <w:bCs w:val="1"/>
                <w:color w:val="auto"/>
                <w:w w:val="97"/>
              </w:rPr>
              <w:t>(% Favorable Mean)</w:t>
            </w:r>
          </w:p>
        </w:tc>
        <w:tc>
          <w:tcPr>
            <w:tcW w:w="280" w:type="dxa"/>
            <w:vAlign w:val="bottom"/>
          </w:tcPr>
          <w:p>
            <w:pPr>
              <w:spacing w:after="0"/>
              <w:rPr>
                <w:sz w:val="15"/>
                <w:szCs w:val="15"/>
                <w:color w:val="auto"/>
              </w:rPr>
            </w:pPr>
          </w:p>
        </w:tc>
        <w:tc>
          <w:tcPr>
            <w:tcW w:w="1780" w:type="dxa"/>
            <w:vAlign w:val="bottom"/>
            <w:gridSpan w:val="3"/>
          </w:tcPr>
          <w:p>
            <w:pPr>
              <w:jc w:val="right"/>
              <w:ind w:right="952"/>
              <w:spacing w:after="0"/>
              <w:rPr>
                <w:sz w:val="20"/>
                <w:szCs w:val="20"/>
                <w:color w:val="auto"/>
              </w:rPr>
            </w:pPr>
            <w:r>
              <w:rPr>
                <w:rFonts w:ascii="Times New Roman" w:cs="Times New Roman" w:eastAsia="Times New Roman" w:hAnsi="Times New Roman"/>
                <w:sz w:val="14"/>
                <w:szCs w:val="14"/>
                <w:b w:val="1"/>
                <w:bCs w:val="1"/>
                <w:color w:val="auto"/>
                <w:w w:val="97"/>
              </w:rPr>
              <w:t>2003 Payout</w:t>
            </w:r>
          </w:p>
        </w:tc>
        <w:tc>
          <w:tcPr>
            <w:tcW w:w="280" w:type="dxa"/>
            <w:vAlign w:val="bottom"/>
          </w:tcPr>
          <w:p>
            <w:pPr>
              <w:spacing w:after="0"/>
              <w:rPr>
                <w:sz w:val="15"/>
                <w:szCs w:val="15"/>
                <w:color w:val="auto"/>
              </w:rPr>
            </w:pPr>
          </w:p>
        </w:tc>
        <w:tc>
          <w:tcPr>
            <w:tcW w:w="222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w w:val="97"/>
              </w:rPr>
              <w:t>Achieved</w:t>
            </w: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38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2003 Payout</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100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2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320" w:type="dxa"/>
            <w:vAlign w:val="bottom"/>
          </w:tcPr>
          <w:p>
            <w:pPr>
              <w:spacing w:after="0"/>
              <w:rPr>
                <w:sz w:val="9"/>
                <w:szCs w:val="9"/>
                <w:color w:val="auto"/>
              </w:rPr>
            </w:pPr>
          </w:p>
        </w:tc>
        <w:tc>
          <w:tcPr>
            <w:tcW w:w="360" w:type="dxa"/>
            <w:vAlign w:val="bottom"/>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600" w:type="dxa"/>
            <w:vAlign w:val="bottom"/>
          </w:tcPr>
          <w:p>
            <w:pPr>
              <w:spacing w:after="0"/>
              <w:rPr>
                <w:sz w:val="9"/>
                <w:szCs w:val="9"/>
                <w:color w:val="auto"/>
              </w:rPr>
            </w:pPr>
          </w:p>
        </w:tc>
        <w:tc>
          <w:tcPr>
            <w:tcW w:w="320" w:type="dxa"/>
            <w:vAlign w:val="bottom"/>
          </w:tcPr>
          <w:p>
            <w:pPr>
              <w:spacing w:after="0"/>
              <w:rPr>
                <w:sz w:val="9"/>
                <w:szCs w:val="9"/>
                <w:color w:val="auto"/>
              </w:rPr>
            </w:pPr>
          </w:p>
        </w:tc>
        <w:tc>
          <w:tcPr>
            <w:tcW w:w="3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80" w:type="dxa"/>
            <w:vAlign w:val="bottom"/>
            <w:gridSpan w:val="2"/>
            <w:shd w:val="clear" w:color="auto" w:fill="CCEEFF"/>
          </w:tcPr>
          <w:p>
            <w:pPr>
              <w:jc w:val="center"/>
              <w:ind w:right="926"/>
              <w:spacing w:after="0"/>
              <w:rPr>
                <w:sz w:val="20"/>
                <w:szCs w:val="20"/>
                <w:color w:val="auto"/>
              </w:rPr>
            </w:pPr>
            <w:r>
              <w:rPr>
                <w:rFonts w:ascii="Times New Roman" w:cs="Times New Roman" w:eastAsia="Times New Roman" w:hAnsi="Times New Roman"/>
                <w:sz w:val="18"/>
                <w:szCs w:val="18"/>
                <w:color w:val="auto"/>
                <w:w w:val="98"/>
              </w:rPr>
              <w:t>52 or Less</w:t>
            </w: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752"/>
              <w:spacing w:after="0"/>
              <w:rPr>
                <w:sz w:val="20"/>
                <w:szCs w:val="20"/>
                <w:color w:val="auto"/>
              </w:rPr>
            </w:pPr>
            <w:r>
              <w:rPr>
                <w:rFonts w:ascii="Times New Roman" w:cs="Times New Roman" w:eastAsia="Times New Roman" w:hAnsi="Times New Roman"/>
                <w:sz w:val="18"/>
                <w:szCs w:val="18"/>
                <w:b w:val="1"/>
                <w:bCs w:val="1"/>
                <w:color w:val="auto"/>
              </w:rPr>
              <w:t>0%</w:t>
            </w:r>
          </w:p>
        </w:tc>
        <w:tc>
          <w:tcPr>
            <w:tcW w:w="280" w:type="dxa"/>
            <w:vAlign w:val="bottom"/>
            <w:shd w:val="clear" w:color="auto" w:fill="CCEEFF"/>
          </w:tcPr>
          <w:p>
            <w:pPr>
              <w:spacing w:after="0"/>
              <w:rPr>
                <w:sz w:val="18"/>
                <w:szCs w:val="18"/>
                <w:color w:val="auto"/>
              </w:rPr>
            </w:pPr>
          </w:p>
        </w:tc>
        <w:tc>
          <w:tcPr>
            <w:tcW w:w="2220" w:type="dxa"/>
            <w:vAlign w:val="bottom"/>
            <w:gridSpan w:val="2"/>
            <w:shd w:val="clear" w:color="auto" w:fill="CCEEFF"/>
          </w:tcPr>
          <w:p>
            <w:pPr>
              <w:jc w:val="center"/>
              <w:ind w:right="600"/>
              <w:spacing w:after="0"/>
              <w:rPr>
                <w:sz w:val="20"/>
                <w:szCs w:val="20"/>
                <w:color w:val="auto"/>
              </w:rPr>
            </w:pPr>
            <w:r>
              <w:rPr>
                <w:rFonts w:ascii="Times New Roman" w:cs="Times New Roman" w:eastAsia="Times New Roman" w:hAnsi="Times New Roman"/>
                <w:sz w:val="18"/>
                <w:szCs w:val="18"/>
                <w:color w:val="auto"/>
                <w:w w:val="95"/>
              </w:rPr>
              <w:t>89% or Less</w:t>
            </w: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w:t>
            </w: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53</w:t>
            </w: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0" w:type="dxa"/>
            <w:vAlign w:val="bottom"/>
            <w:gridSpan w:val="2"/>
          </w:tcPr>
          <w:p>
            <w:pPr>
              <w:jc w:val="right"/>
              <w:ind w:right="752"/>
              <w:spacing w:after="0"/>
              <w:rPr>
                <w:sz w:val="20"/>
                <w:szCs w:val="20"/>
                <w:color w:val="auto"/>
              </w:rPr>
            </w:pPr>
            <w:r>
              <w:rPr>
                <w:rFonts w:ascii="Times New Roman" w:cs="Times New Roman" w:eastAsia="Times New Roman" w:hAnsi="Times New Roman"/>
                <w:sz w:val="18"/>
                <w:szCs w:val="18"/>
                <w:b w:val="1"/>
                <w:bCs w:val="1"/>
                <w:color w:val="auto"/>
                <w:w w:val="94"/>
              </w:rPr>
              <w:t>10%</w:t>
            </w:r>
          </w:p>
        </w:tc>
        <w:tc>
          <w:tcPr>
            <w:tcW w:w="1900" w:type="dxa"/>
            <w:vAlign w:val="bottom"/>
            <w:gridSpan w:val="2"/>
          </w:tcPr>
          <w:p>
            <w:pPr>
              <w:jc w:val="center"/>
              <w:ind w:left="192"/>
              <w:spacing w:after="0"/>
              <w:rPr>
                <w:sz w:val="20"/>
                <w:szCs w:val="20"/>
                <w:color w:val="auto"/>
              </w:rPr>
            </w:pPr>
            <w:r>
              <w:rPr>
                <w:rFonts w:ascii="Times New Roman" w:cs="Times New Roman" w:eastAsia="Times New Roman" w:hAnsi="Times New Roman"/>
                <w:sz w:val="18"/>
                <w:szCs w:val="18"/>
                <w:color w:val="auto"/>
              </w:rPr>
              <w:t>90%</w:t>
            </w: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54</w:t>
            </w: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752"/>
              <w:spacing w:after="0"/>
              <w:rPr>
                <w:sz w:val="20"/>
                <w:szCs w:val="20"/>
                <w:color w:val="auto"/>
              </w:rPr>
            </w:pPr>
            <w:r>
              <w:rPr>
                <w:rFonts w:ascii="Times New Roman" w:cs="Times New Roman" w:eastAsia="Times New Roman" w:hAnsi="Times New Roman"/>
                <w:sz w:val="18"/>
                <w:szCs w:val="18"/>
                <w:b w:val="1"/>
                <w:bCs w:val="1"/>
                <w:color w:val="auto"/>
                <w:w w:val="94"/>
              </w:rPr>
              <w:t>15%</w:t>
            </w:r>
          </w:p>
        </w:tc>
        <w:tc>
          <w:tcPr>
            <w:tcW w:w="1900" w:type="dxa"/>
            <w:vAlign w:val="bottom"/>
            <w:gridSpan w:val="2"/>
            <w:shd w:val="clear" w:color="auto" w:fill="CCEEFF"/>
          </w:tcPr>
          <w:p>
            <w:pPr>
              <w:jc w:val="center"/>
              <w:ind w:left="192"/>
              <w:spacing w:after="0"/>
              <w:rPr>
                <w:sz w:val="20"/>
                <w:szCs w:val="20"/>
                <w:color w:val="auto"/>
              </w:rPr>
            </w:pPr>
            <w:r>
              <w:rPr>
                <w:rFonts w:ascii="Times New Roman" w:cs="Times New Roman" w:eastAsia="Times New Roman" w:hAnsi="Times New Roman"/>
                <w:sz w:val="18"/>
                <w:szCs w:val="18"/>
                <w:color w:val="auto"/>
              </w:rPr>
              <w:t>91%</w:t>
            </w: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55</w:t>
            </w: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0" w:type="dxa"/>
            <w:vAlign w:val="bottom"/>
            <w:gridSpan w:val="2"/>
          </w:tcPr>
          <w:p>
            <w:pPr>
              <w:jc w:val="right"/>
              <w:ind w:right="752"/>
              <w:spacing w:after="0"/>
              <w:rPr>
                <w:sz w:val="20"/>
                <w:szCs w:val="20"/>
                <w:color w:val="auto"/>
              </w:rPr>
            </w:pPr>
            <w:r>
              <w:rPr>
                <w:rFonts w:ascii="Times New Roman" w:cs="Times New Roman" w:eastAsia="Times New Roman" w:hAnsi="Times New Roman"/>
                <w:sz w:val="18"/>
                <w:szCs w:val="18"/>
                <w:b w:val="1"/>
                <w:bCs w:val="1"/>
                <w:color w:val="auto"/>
                <w:w w:val="94"/>
              </w:rPr>
              <w:t>20%</w:t>
            </w:r>
          </w:p>
        </w:tc>
        <w:tc>
          <w:tcPr>
            <w:tcW w:w="1900" w:type="dxa"/>
            <w:vAlign w:val="bottom"/>
            <w:gridSpan w:val="2"/>
          </w:tcPr>
          <w:p>
            <w:pPr>
              <w:jc w:val="center"/>
              <w:ind w:left="192"/>
              <w:spacing w:after="0"/>
              <w:rPr>
                <w:sz w:val="20"/>
                <w:szCs w:val="20"/>
                <w:color w:val="auto"/>
              </w:rPr>
            </w:pPr>
            <w:r>
              <w:rPr>
                <w:rFonts w:ascii="Times New Roman" w:cs="Times New Roman" w:eastAsia="Times New Roman" w:hAnsi="Times New Roman"/>
                <w:sz w:val="18"/>
                <w:szCs w:val="18"/>
                <w:color w:val="auto"/>
              </w:rPr>
              <w:t>92%</w:t>
            </w: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56</w:t>
            </w: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752"/>
              <w:spacing w:after="0"/>
              <w:rPr>
                <w:sz w:val="20"/>
                <w:szCs w:val="20"/>
                <w:color w:val="auto"/>
              </w:rPr>
            </w:pPr>
            <w:r>
              <w:rPr>
                <w:rFonts w:ascii="Times New Roman" w:cs="Times New Roman" w:eastAsia="Times New Roman" w:hAnsi="Times New Roman"/>
                <w:sz w:val="18"/>
                <w:szCs w:val="18"/>
                <w:b w:val="1"/>
                <w:bCs w:val="1"/>
                <w:color w:val="auto"/>
                <w:w w:val="94"/>
              </w:rPr>
              <w:t>25%</w:t>
            </w:r>
          </w:p>
        </w:tc>
        <w:tc>
          <w:tcPr>
            <w:tcW w:w="1900" w:type="dxa"/>
            <w:vAlign w:val="bottom"/>
            <w:gridSpan w:val="2"/>
            <w:shd w:val="clear" w:color="auto" w:fill="CCEEFF"/>
          </w:tcPr>
          <w:p>
            <w:pPr>
              <w:jc w:val="center"/>
              <w:ind w:left="192"/>
              <w:spacing w:after="0"/>
              <w:rPr>
                <w:sz w:val="20"/>
                <w:szCs w:val="20"/>
                <w:color w:val="auto"/>
              </w:rPr>
            </w:pPr>
            <w:r>
              <w:rPr>
                <w:rFonts w:ascii="Times New Roman" w:cs="Times New Roman" w:eastAsia="Times New Roman" w:hAnsi="Times New Roman"/>
                <w:sz w:val="18"/>
                <w:szCs w:val="18"/>
                <w:color w:val="auto"/>
              </w:rPr>
              <w:t>93%</w:t>
            </w: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w:t>
            </w: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57</w:t>
            </w: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0" w:type="dxa"/>
            <w:vAlign w:val="bottom"/>
            <w:gridSpan w:val="2"/>
          </w:tcPr>
          <w:p>
            <w:pPr>
              <w:jc w:val="right"/>
              <w:ind w:right="752"/>
              <w:spacing w:after="0"/>
              <w:rPr>
                <w:sz w:val="20"/>
                <w:szCs w:val="20"/>
                <w:color w:val="auto"/>
              </w:rPr>
            </w:pPr>
            <w:r>
              <w:rPr>
                <w:rFonts w:ascii="Times New Roman" w:cs="Times New Roman" w:eastAsia="Times New Roman" w:hAnsi="Times New Roman"/>
                <w:sz w:val="18"/>
                <w:szCs w:val="18"/>
                <w:b w:val="1"/>
                <w:bCs w:val="1"/>
                <w:color w:val="auto"/>
                <w:w w:val="94"/>
              </w:rPr>
              <w:t>30%</w:t>
            </w:r>
          </w:p>
        </w:tc>
        <w:tc>
          <w:tcPr>
            <w:tcW w:w="1900" w:type="dxa"/>
            <w:vAlign w:val="bottom"/>
            <w:gridSpan w:val="2"/>
          </w:tcPr>
          <w:p>
            <w:pPr>
              <w:jc w:val="center"/>
              <w:ind w:left="192"/>
              <w:spacing w:after="0"/>
              <w:rPr>
                <w:sz w:val="20"/>
                <w:szCs w:val="20"/>
                <w:color w:val="auto"/>
              </w:rPr>
            </w:pPr>
            <w:r>
              <w:rPr>
                <w:rFonts w:ascii="Times New Roman" w:cs="Times New Roman" w:eastAsia="Times New Roman" w:hAnsi="Times New Roman"/>
                <w:sz w:val="18"/>
                <w:szCs w:val="18"/>
                <w:color w:val="auto"/>
              </w:rPr>
              <w:t>94%</w:t>
            </w: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40%</w:t>
            </w: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58</w:t>
            </w: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752"/>
              <w:spacing w:after="0"/>
              <w:rPr>
                <w:sz w:val="20"/>
                <w:szCs w:val="20"/>
                <w:color w:val="auto"/>
              </w:rPr>
            </w:pPr>
            <w:r>
              <w:rPr>
                <w:rFonts w:ascii="Times New Roman" w:cs="Times New Roman" w:eastAsia="Times New Roman" w:hAnsi="Times New Roman"/>
                <w:sz w:val="18"/>
                <w:szCs w:val="18"/>
                <w:b w:val="1"/>
                <w:bCs w:val="1"/>
                <w:color w:val="auto"/>
                <w:w w:val="94"/>
              </w:rPr>
              <w:t>35%</w:t>
            </w:r>
          </w:p>
        </w:tc>
        <w:tc>
          <w:tcPr>
            <w:tcW w:w="1900" w:type="dxa"/>
            <w:vAlign w:val="bottom"/>
            <w:gridSpan w:val="2"/>
            <w:shd w:val="clear" w:color="auto" w:fill="CCEEFF"/>
          </w:tcPr>
          <w:p>
            <w:pPr>
              <w:jc w:val="center"/>
              <w:ind w:left="192"/>
              <w:spacing w:after="0"/>
              <w:rPr>
                <w:sz w:val="20"/>
                <w:szCs w:val="20"/>
                <w:color w:val="auto"/>
              </w:rPr>
            </w:pPr>
            <w:r>
              <w:rPr>
                <w:rFonts w:ascii="Times New Roman" w:cs="Times New Roman" w:eastAsia="Times New Roman" w:hAnsi="Times New Roman"/>
                <w:sz w:val="18"/>
                <w:szCs w:val="18"/>
                <w:color w:val="auto"/>
              </w:rPr>
              <w:t>95%</w:t>
            </w: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w:t>
            </w: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59</w:t>
            </w: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0" w:type="dxa"/>
            <w:vAlign w:val="bottom"/>
            <w:gridSpan w:val="2"/>
          </w:tcPr>
          <w:p>
            <w:pPr>
              <w:jc w:val="right"/>
              <w:ind w:right="752"/>
              <w:spacing w:after="0"/>
              <w:rPr>
                <w:sz w:val="20"/>
                <w:szCs w:val="20"/>
                <w:color w:val="auto"/>
              </w:rPr>
            </w:pPr>
            <w:r>
              <w:rPr>
                <w:rFonts w:ascii="Times New Roman" w:cs="Times New Roman" w:eastAsia="Times New Roman" w:hAnsi="Times New Roman"/>
                <w:sz w:val="18"/>
                <w:szCs w:val="18"/>
                <w:b w:val="1"/>
                <w:bCs w:val="1"/>
                <w:color w:val="auto"/>
                <w:w w:val="94"/>
              </w:rPr>
              <w:t>40%</w:t>
            </w:r>
          </w:p>
        </w:tc>
        <w:tc>
          <w:tcPr>
            <w:tcW w:w="1900" w:type="dxa"/>
            <w:vAlign w:val="bottom"/>
            <w:gridSpan w:val="2"/>
          </w:tcPr>
          <w:p>
            <w:pPr>
              <w:jc w:val="center"/>
              <w:ind w:left="192"/>
              <w:spacing w:after="0"/>
              <w:rPr>
                <w:sz w:val="20"/>
                <w:szCs w:val="20"/>
                <w:color w:val="auto"/>
              </w:rPr>
            </w:pPr>
            <w:r>
              <w:rPr>
                <w:rFonts w:ascii="Times New Roman" w:cs="Times New Roman" w:eastAsia="Times New Roman" w:hAnsi="Times New Roman"/>
                <w:sz w:val="18"/>
                <w:szCs w:val="18"/>
                <w:color w:val="auto"/>
              </w:rPr>
              <w:t>96%</w:t>
            </w: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60%</w:t>
            </w: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752"/>
              <w:spacing w:after="0"/>
              <w:rPr>
                <w:sz w:val="20"/>
                <w:szCs w:val="20"/>
                <w:color w:val="auto"/>
              </w:rPr>
            </w:pPr>
            <w:r>
              <w:rPr>
                <w:rFonts w:ascii="Times New Roman" w:cs="Times New Roman" w:eastAsia="Times New Roman" w:hAnsi="Times New Roman"/>
                <w:sz w:val="18"/>
                <w:szCs w:val="18"/>
                <w:b w:val="1"/>
                <w:bCs w:val="1"/>
                <w:color w:val="auto"/>
                <w:w w:val="94"/>
              </w:rPr>
              <w:t>45%</w:t>
            </w:r>
          </w:p>
        </w:tc>
        <w:tc>
          <w:tcPr>
            <w:tcW w:w="1900" w:type="dxa"/>
            <w:vAlign w:val="bottom"/>
            <w:gridSpan w:val="2"/>
            <w:shd w:val="clear" w:color="auto" w:fill="CCEEFF"/>
          </w:tcPr>
          <w:p>
            <w:pPr>
              <w:jc w:val="center"/>
              <w:ind w:left="192"/>
              <w:spacing w:after="0"/>
              <w:rPr>
                <w:sz w:val="20"/>
                <w:szCs w:val="20"/>
                <w:color w:val="auto"/>
              </w:rPr>
            </w:pPr>
            <w:r>
              <w:rPr>
                <w:rFonts w:ascii="Times New Roman" w:cs="Times New Roman" w:eastAsia="Times New Roman" w:hAnsi="Times New Roman"/>
                <w:sz w:val="18"/>
                <w:szCs w:val="18"/>
                <w:color w:val="auto"/>
              </w:rPr>
              <w:t>97%</w:t>
            </w: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w:t>
            </w: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61</w:t>
            </w: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0" w:type="dxa"/>
            <w:vAlign w:val="bottom"/>
            <w:gridSpan w:val="2"/>
          </w:tcPr>
          <w:p>
            <w:pPr>
              <w:jc w:val="right"/>
              <w:ind w:right="752"/>
              <w:spacing w:after="0"/>
              <w:rPr>
                <w:sz w:val="20"/>
                <w:szCs w:val="20"/>
                <w:color w:val="auto"/>
              </w:rPr>
            </w:pPr>
            <w:r>
              <w:rPr>
                <w:rFonts w:ascii="Times New Roman" w:cs="Times New Roman" w:eastAsia="Times New Roman" w:hAnsi="Times New Roman"/>
                <w:sz w:val="18"/>
                <w:szCs w:val="18"/>
                <w:b w:val="1"/>
                <w:bCs w:val="1"/>
                <w:color w:val="auto"/>
                <w:w w:val="94"/>
              </w:rPr>
              <w:t>50%</w:t>
            </w:r>
          </w:p>
        </w:tc>
        <w:tc>
          <w:tcPr>
            <w:tcW w:w="1900" w:type="dxa"/>
            <w:vAlign w:val="bottom"/>
            <w:gridSpan w:val="2"/>
          </w:tcPr>
          <w:p>
            <w:pPr>
              <w:jc w:val="center"/>
              <w:ind w:left="192"/>
              <w:spacing w:after="0"/>
              <w:rPr>
                <w:sz w:val="20"/>
                <w:szCs w:val="20"/>
                <w:color w:val="auto"/>
              </w:rPr>
            </w:pPr>
            <w:r>
              <w:rPr>
                <w:rFonts w:ascii="Times New Roman" w:cs="Times New Roman" w:eastAsia="Times New Roman" w:hAnsi="Times New Roman"/>
                <w:sz w:val="18"/>
                <w:szCs w:val="18"/>
                <w:color w:val="auto"/>
              </w:rPr>
              <w:t>98%</w:t>
            </w: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80%</w:t>
            </w: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62</w:t>
            </w: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752"/>
              <w:spacing w:after="0"/>
              <w:rPr>
                <w:sz w:val="20"/>
                <w:szCs w:val="20"/>
                <w:color w:val="auto"/>
              </w:rPr>
            </w:pPr>
            <w:r>
              <w:rPr>
                <w:rFonts w:ascii="Times New Roman" w:cs="Times New Roman" w:eastAsia="Times New Roman" w:hAnsi="Times New Roman"/>
                <w:sz w:val="18"/>
                <w:szCs w:val="18"/>
                <w:b w:val="1"/>
                <w:bCs w:val="1"/>
                <w:color w:val="auto"/>
                <w:w w:val="94"/>
              </w:rPr>
              <w:t>55%</w:t>
            </w:r>
          </w:p>
        </w:tc>
        <w:tc>
          <w:tcPr>
            <w:tcW w:w="1900" w:type="dxa"/>
            <w:vAlign w:val="bottom"/>
            <w:gridSpan w:val="2"/>
            <w:shd w:val="clear" w:color="auto" w:fill="CCEEFF"/>
          </w:tcPr>
          <w:p>
            <w:pPr>
              <w:jc w:val="center"/>
              <w:ind w:left="192"/>
              <w:spacing w:after="0"/>
              <w:rPr>
                <w:sz w:val="20"/>
                <w:szCs w:val="20"/>
                <w:color w:val="auto"/>
              </w:rPr>
            </w:pPr>
            <w:r>
              <w:rPr>
                <w:rFonts w:ascii="Times New Roman" w:cs="Times New Roman" w:eastAsia="Times New Roman" w:hAnsi="Times New Roman"/>
                <w:sz w:val="18"/>
                <w:szCs w:val="18"/>
                <w:color w:val="auto"/>
              </w:rPr>
              <w:t>99%</w:t>
            </w: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90%</w:t>
            </w: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63</w:t>
            </w: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0" w:type="dxa"/>
            <w:vAlign w:val="bottom"/>
            <w:gridSpan w:val="2"/>
          </w:tcPr>
          <w:p>
            <w:pPr>
              <w:jc w:val="right"/>
              <w:ind w:right="752"/>
              <w:spacing w:after="0"/>
              <w:rPr>
                <w:sz w:val="20"/>
                <w:szCs w:val="20"/>
                <w:color w:val="auto"/>
              </w:rPr>
            </w:pPr>
            <w:r>
              <w:rPr>
                <w:rFonts w:ascii="Times New Roman" w:cs="Times New Roman" w:eastAsia="Times New Roman" w:hAnsi="Times New Roman"/>
                <w:sz w:val="18"/>
                <w:szCs w:val="18"/>
                <w:b w:val="1"/>
                <w:bCs w:val="1"/>
                <w:color w:val="auto"/>
                <w:w w:val="94"/>
              </w:rPr>
              <w:t>60%</w:t>
            </w:r>
          </w:p>
        </w:tc>
        <w:tc>
          <w:tcPr>
            <w:tcW w:w="1900" w:type="dxa"/>
            <w:vAlign w:val="bottom"/>
            <w:gridSpan w:val="2"/>
          </w:tcPr>
          <w:p>
            <w:pPr>
              <w:jc w:val="center"/>
              <w:ind w:left="192"/>
              <w:spacing w:after="0"/>
              <w:rPr>
                <w:sz w:val="20"/>
                <w:szCs w:val="20"/>
                <w:color w:val="auto"/>
              </w:rPr>
            </w:pPr>
            <w:r>
              <w:rPr>
                <w:rFonts w:ascii="Times New Roman" w:cs="Times New Roman" w:eastAsia="Times New Roman" w:hAnsi="Times New Roman"/>
                <w:sz w:val="18"/>
                <w:szCs w:val="18"/>
                <w:b w:val="1"/>
                <w:bCs w:val="1"/>
                <w:color w:val="auto"/>
                <w:w w:val="93"/>
              </w:rPr>
              <w:t>100%</w:t>
            </w: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100%</w:t>
            </w: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64</w:t>
            </w: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752"/>
              <w:spacing w:after="0"/>
              <w:rPr>
                <w:sz w:val="20"/>
                <w:szCs w:val="20"/>
                <w:color w:val="auto"/>
              </w:rPr>
            </w:pPr>
            <w:r>
              <w:rPr>
                <w:rFonts w:ascii="Times New Roman" w:cs="Times New Roman" w:eastAsia="Times New Roman" w:hAnsi="Times New Roman"/>
                <w:sz w:val="18"/>
                <w:szCs w:val="18"/>
                <w:b w:val="1"/>
                <w:bCs w:val="1"/>
                <w:color w:val="auto"/>
                <w:w w:val="94"/>
              </w:rPr>
              <w:t>65%</w:t>
            </w:r>
          </w:p>
        </w:tc>
        <w:tc>
          <w:tcPr>
            <w:tcW w:w="1900" w:type="dxa"/>
            <w:vAlign w:val="bottom"/>
            <w:gridSpan w:val="2"/>
            <w:shd w:val="clear" w:color="auto" w:fill="CCEEFF"/>
          </w:tcPr>
          <w:p>
            <w:pPr>
              <w:jc w:val="center"/>
              <w:ind w:left="192"/>
              <w:spacing w:after="0"/>
              <w:rPr>
                <w:sz w:val="20"/>
                <w:szCs w:val="20"/>
                <w:color w:val="auto"/>
              </w:rPr>
            </w:pPr>
            <w:r>
              <w:rPr>
                <w:rFonts w:ascii="Times New Roman" w:cs="Times New Roman" w:eastAsia="Times New Roman" w:hAnsi="Times New Roman"/>
                <w:sz w:val="18"/>
                <w:szCs w:val="18"/>
                <w:color w:val="auto"/>
                <w:w w:val="99"/>
              </w:rPr>
              <w:t>101%</w:t>
            </w: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105%</w:t>
            </w: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65</w:t>
            </w: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0" w:type="dxa"/>
            <w:vAlign w:val="bottom"/>
            <w:gridSpan w:val="2"/>
          </w:tcPr>
          <w:p>
            <w:pPr>
              <w:jc w:val="right"/>
              <w:ind w:right="752"/>
              <w:spacing w:after="0"/>
              <w:rPr>
                <w:sz w:val="20"/>
                <w:szCs w:val="20"/>
                <w:color w:val="auto"/>
              </w:rPr>
            </w:pPr>
            <w:r>
              <w:rPr>
                <w:rFonts w:ascii="Times New Roman" w:cs="Times New Roman" w:eastAsia="Times New Roman" w:hAnsi="Times New Roman"/>
                <w:sz w:val="18"/>
                <w:szCs w:val="18"/>
                <w:b w:val="1"/>
                <w:bCs w:val="1"/>
                <w:color w:val="auto"/>
                <w:w w:val="94"/>
              </w:rPr>
              <w:t>70%</w:t>
            </w:r>
          </w:p>
        </w:tc>
        <w:tc>
          <w:tcPr>
            <w:tcW w:w="1900" w:type="dxa"/>
            <w:vAlign w:val="bottom"/>
            <w:gridSpan w:val="2"/>
          </w:tcPr>
          <w:p>
            <w:pPr>
              <w:jc w:val="center"/>
              <w:ind w:left="192"/>
              <w:spacing w:after="0"/>
              <w:rPr>
                <w:sz w:val="20"/>
                <w:szCs w:val="20"/>
                <w:color w:val="auto"/>
              </w:rPr>
            </w:pPr>
            <w:r>
              <w:rPr>
                <w:rFonts w:ascii="Times New Roman" w:cs="Times New Roman" w:eastAsia="Times New Roman" w:hAnsi="Times New Roman"/>
                <w:sz w:val="18"/>
                <w:szCs w:val="18"/>
                <w:color w:val="auto"/>
                <w:w w:val="99"/>
              </w:rPr>
              <w:t>102%</w:t>
            </w: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110%</w:t>
            </w: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66</w:t>
            </w: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752"/>
              <w:spacing w:after="0"/>
              <w:rPr>
                <w:sz w:val="20"/>
                <w:szCs w:val="20"/>
                <w:color w:val="auto"/>
              </w:rPr>
            </w:pPr>
            <w:r>
              <w:rPr>
                <w:rFonts w:ascii="Times New Roman" w:cs="Times New Roman" w:eastAsia="Times New Roman" w:hAnsi="Times New Roman"/>
                <w:sz w:val="18"/>
                <w:szCs w:val="18"/>
                <w:b w:val="1"/>
                <w:bCs w:val="1"/>
                <w:color w:val="auto"/>
                <w:w w:val="94"/>
              </w:rPr>
              <w:t>75%</w:t>
            </w:r>
          </w:p>
        </w:tc>
        <w:tc>
          <w:tcPr>
            <w:tcW w:w="1900" w:type="dxa"/>
            <w:vAlign w:val="bottom"/>
            <w:gridSpan w:val="2"/>
            <w:shd w:val="clear" w:color="auto" w:fill="CCEEFF"/>
          </w:tcPr>
          <w:p>
            <w:pPr>
              <w:jc w:val="center"/>
              <w:ind w:left="192"/>
              <w:spacing w:after="0"/>
              <w:rPr>
                <w:sz w:val="20"/>
                <w:szCs w:val="20"/>
                <w:color w:val="auto"/>
              </w:rPr>
            </w:pPr>
            <w:r>
              <w:rPr>
                <w:rFonts w:ascii="Times New Roman" w:cs="Times New Roman" w:eastAsia="Times New Roman" w:hAnsi="Times New Roman"/>
                <w:sz w:val="18"/>
                <w:szCs w:val="18"/>
                <w:color w:val="auto"/>
                <w:w w:val="99"/>
              </w:rPr>
              <w:t>103%</w:t>
            </w: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115%</w:t>
            </w: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67</w:t>
            </w: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0" w:type="dxa"/>
            <w:vAlign w:val="bottom"/>
            <w:gridSpan w:val="2"/>
          </w:tcPr>
          <w:p>
            <w:pPr>
              <w:jc w:val="right"/>
              <w:ind w:right="752"/>
              <w:spacing w:after="0"/>
              <w:rPr>
                <w:sz w:val="20"/>
                <w:szCs w:val="20"/>
                <w:color w:val="auto"/>
              </w:rPr>
            </w:pPr>
            <w:r>
              <w:rPr>
                <w:rFonts w:ascii="Times New Roman" w:cs="Times New Roman" w:eastAsia="Times New Roman" w:hAnsi="Times New Roman"/>
                <w:sz w:val="18"/>
                <w:szCs w:val="18"/>
                <w:b w:val="1"/>
                <w:bCs w:val="1"/>
                <w:color w:val="auto"/>
                <w:w w:val="94"/>
              </w:rPr>
              <w:t>80%</w:t>
            </w:r>
          </w:p>
        </w:tc>
        <w:tc>
          <w:tcPr>
            <w:tcW w:w="1900" w:type="dxa"/>
            <w:vAlign w:val="bottom"/>
            <w:gridSpan w:val="2"/>
          </w:tcPr>
          <w:p>
            <w:pPr>
              <w:jc w:val="center"/>
              <w:ind w:left="192"/>
              <w:spacing w:after="0"/>
              <w:rPr>
                <w:sz w:val="20"/>
                <w:szCs w:val="20"/>
                <w:color w:val="auto"/>
              </w:rPr>
            </w:pPr>
            <w:r>
              <w:rPr>
                <w:rFonts w:ascii="Times New Roman" w:cs="Times New Roman" w:eastAsia="Times New Roman" w:hAnsi="Times New Roman"/>
                <w:sz w:val="18"/>
                <w:szCs w:val="18"/>
                <w:color w:val="auto"/>
                <w:w w:val="99"/>
              </w:rPr>
              <w:t>104%</w:t>
            </w: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120%</w:t>
            </w: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9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38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62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3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-8564245</wp:posOffset>
            </wp:positionV>
            <wp:extent cx="12700" cy="8890"/>
            <wp:wrapNone/>
            <wp:docPr id="1405" name="Picture 1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5"/>
                    <pic:cNvPicPr>
                      <a:picLocks noChangeAspect="1" noChangeArrowheads="1"/>
                    </pic:cNvPicPr>
                  </pic:nvPicPr>
                  <pic:blipFill>
                    <a:blip r:embed="rId14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-8564245</wp:posOffset>
            </wp:positionV>
            <wp:extent cx="12700" cy="8890"/>
            <wp:wrapNone/>
            <wp:docPr id="1406" name="Picture 1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6"/>
                    <pic:cNvPicPr>
                      <a:picLocks noChangeAspect="1" noChangeArrowheads="1"/>
                    </pic:cNvPicPr>
                  </pic:nvPicPr>
                  <pic:blipFill>
                    <a:blip r:embed="rId14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-7766685</wp:posOffset>
            </wp:positionV>
            <wp:extent cx="12700" cy="8890"/>
            <wp:wrapNone/>
            <wp:docPr id="1407" name="Picture 1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7"/>
                    <pic:cNvPicPr>
                      <a:picLocks noChangeAspect="1" noChangeArrowheads="1"/>
                    </pic:cNvPicPr>
                  </pic:nvPicPr>
                  <pic:blipFill>
                    <a:blip r:embed="rId14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-7766685</wp:posOffset>
            </wp:positionV>
            <wp:extent cx="12700" cy="8890"/>
            <wp:wrapNone/>
            <wp:docPr id="1408" name="Picture 1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8"/>
                    <pic:cNvPicPr>
                      <a:picLocks noChangeAspect="1" noChangeArrowheads="1"/>
                    </pic:cNvPicPr>
                  </pic:nvPicPr>
                  <pic:blipFill>
                    <a:blip r:embed="rId14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-5871210</wp:posOffset>
            </wp:positionV>
            <wp:extent cx="12700" cy="8890"/>
            <wp:wrapNone/>
            <wp:docPr id="1409" name="Picture 1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9"/>
                    <pic:cNvPicPr>
                      <a:picLocks noChangeAspect="1" noChangeArrowheads="1"/>
                    </pic:cNvPicPr>
                  </pic:nvPicPr>
                  <pic:blipFill>
                    <a:blip r:embed="rId14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-5871210</wp:posOffset>
            </wp:positionV>
            <wp:extent cx="12700" cy="8890"/>
            <wp:wrapNone/>
            <wp:docPr id="1410" name="Picture 1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0"/>
                    <pic:cNvPicPr>
                      <a:picLocks noChangeAspect="1" noChangeArrowheads="1"/>
                    </pic:cNvPicPr>
                  </pic:nvPicPr>
                  <pic:blipFill>
                    <a:blip r:embed="rId14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-5236845</wp:posOffset>
            </wp:positionV>
            <wp:extent cx="12700" cy="8890"/>
            <wp:wrapNone/>
            <wp:docPr id="1411" name="Picture 1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1"/>
                    <pic:cNvPicPr>
                      <a:picLocks noChangeAspect="1" noChangeArrowheads="1"/>
                    </pic:cNvPicPr>
                  </pic:nvPicPr>
                  <pic:blipFill>
                    <a:blip r:embed="rId14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-5236845</wp:posOffset>
            </wp:positionV>
            <wp:extent cx="12700" cy="8890"/>
            <wp:wrapNone/>
            <wp:docPr id="1412" name="Picture 1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2"/>
                    <pic:cNvPicPr>
                      <a:picLocks noChangeAspect="1" noChangeArrowheads="1"/>
                    </pic:cNvPicPr>
                  </pic:nvPicPr>
                  <pic:blipFill>
                    <a:blip r:embed="rId14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1778000</wp:posOffset>
            </wp:positionH>
            <wp:positionV relativeFrom="paragraph">
              <wp:posOffset>-2320925</wp:posOffset>
            </wp:positionV>
            <wp:extent cx="12700" cy="8890"/>
            <wp:wrapNone/>
            <wp:docPr id="1413" name="Picture 1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3"/>
                    <pic:cNvPicPr>
                      <a:picLocks noChangeAspect="1" noChangeArrowheads="1"/>
                    </pic:cNvPicPr>
                  </pic:nvPicPr>
                  <pic:blipFill>
                    <a:blip r:embed="rId14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911860</wp:posOffset>
            </wp:positionH>
            <wp:positionV relativeFrom="paragraph">
              <wp:posOffset>-2320925</wp:posOffset>
            </wp:positionV>
            <wp:extent cx="12700" cy="8890"/>
            <wp:wrapNone/>
            <wp:docPr id="1414" name="Picture 1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4"/>
                    <pic:cNvPicPr>
                      <a:picLocks noChangeAspect="1" noChangeArrowheads="1"/>
                    </pic:cNvPicPr>
                  </pic:nvPicPr>
                  <pic:blipFill>
                    <a:blip r:embed="rId14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3081655</wp:posOffset>
            </wp:positionH>
            <wp:positionV relativeFrom="paragraph">
              <wp:posOffset>-2320925</wp:posOffset>
            </wp:positionV>
            <wp:extent cx="12700" cy="8890"/>
            <wp:wrapNone/>
            <wp:docPr id="1415" name="Picture 1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5"/>
                    <pic:cNvPicPr>
                      <a:picLocks noChangeAspect="1" noChangeArrowheads="1"/>
                    </pic:cNvPicPr>
                  </pic:nvPicPr>
                  <pic:blipFill>
                    <a:blip r:embed="rId14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2601595</wp:posOffset>
            </wp:positionH>
            <wp:positionV relativeFrom="paragraph">
              <wp:posOffset>-2320925</wp:posOffset>
            </wp:positionV>
            <wp:extent cx="12700" cy="8890"/>
            <wp:wrapNone/>
            <wp:docPr id="1416" name="Picture 1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6"/>
                    <pic:cNvPicPr>
                      <a:picLocks noChangeAspect="1" noChangeArrowheads="1"/>
                    </pic:cNvPicPr>
                  </pic:nvPicPr>
                  <pic:blipFill>
                    <a:blip r:embed="rId14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-2320925</wp:posOffset>
            </wp:positionV>
            <wp:extent cx="12700" cy="8890"/>
            <wp:wrapNone/>
            <wp:docPr id="1417" name="Picture 1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7"/>
                    <pic:cNvPicPr>
                      <a:picLocks noChangeAspect="1" noChangeArrowheads="1"/>
                    </pic:cNvPicPr>
                  </pic:nvPicPr>
                  <pic:blipFill>
                    <a:blip r:embed="rId14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-2320925</wp:posOffset>
            </wp:positionV>
            <wp:extent cx="12700" cy="8890"/>
            <wp:wrapNone/>
            <wp:docPr id="1418" name="Picture 1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8"/>
                    <pic:cNvPicPr>
                      <a:picLocks noChangeAspect="1" noChangeArrowheads="1"/>
                    </pic:cNvPicPr>
                  </pic:nvPicPr>
                  <pic:blipFill>
                    <a:blip r:embed="rId14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-2320925</wp:posOffset>
            </wp:positionV>
            <wp:extent cx="12700" cy="8890"/>
            <wp:wrapNone/>
            <wp:docPr id="1419" name="Picture 1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9"/>
                    <pic:cNvPicPr>
                      <a:picLocks noChangeAspect="1" noChangeArrowheads="1"/>
                    </pic:cNvPicPr>
                  </pic:nvPicPr>
                  <pic:blipFill>
                    <a:blip r:embed="rId14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-2320925</wp:posOffset>
            </wp:positionV>
            <wp:extent cx="12700" cy="8890"/>
            <wp:wrapNone/>
            <wp:docPr id="1420" name="Picture 1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0"/>
                    <pic:cNvPicPr>
                      <a:picLocks noChangeAspect="1" noChangeArrowheads="1"/>
                    </pic:cNvPicPr>
                  </pic:nvPicPr>
                  <pic:blipFill>
                    <a:blip r:embed="rId14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00" w:orient="portrait"/>
          <w:cols w:equalWidth="0" w:num="1">
            <w:col w:w="11420"/>
          </w:cols>
          <w:pgMar w:left="240" w:top="140" w:right="239" w:bottom="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216"/>
        </w:trPr>
        <w:tc>
          <w:tcPr>
            <w:tcW w:w="1440" w:type="dxa"/>
            <w:vAlign w:val="bottom"/>
          </w:tcPr>
          <w:p>
            <w:pPr>
              <w:spacing w:after="0"/>
              <w:rPr>
                <w:sz w:val="18"/>
                <w:szCs w:val="18"/>
                <w:color w:val="auto"/>
              </w:rPr>
            </w:pPr>
          </w:p>
        </w:tc>
        <w:tc>
          <w:tcPr>
            <w:tcW w:w="2120" w:type="dxa"/>
            <w:vAlign w:val="bottom"/>
            <w:gridSpan w:val="2"/>
            <w:shd w:val="clear" w:color="auto" w:fill="CCEEFF"/>
          </w:tcPr>
          <w:p>
            <w:pPr>
              <w:jc w:val="center"/>
              <w:ind w:right="652"/>
              <w:spacing w:after="0"/>
              <w:rPr>
                <w:sz w:val="20"/>
                <w:szCs w:val="20"/>
                <w:color w:val="auto"/>
              </w:rPr>
            </w:pPr>
            <w:r>
              <w:rPr>
                <w:rFonts w:ascii="Times New Roman" w:cs="Times New Roman" w:eastAsia="Times New Roman" w:hAnsi="Times New Roman"/>
                <w:sz w:val="18"/>
                <w:szCs w:val="18"/>
                <w:color w:val="auto"/>
                <w:w w:val="99"/>
              </w:rPr>
              <w:t>68</w:t>
            </w:r>
          </w:p>
        </w:tc>
        <w:tc>
          <w:tcPr>
            <w:tcW w:w="2200" w:type="dxa"/>
            <w:vAlign w:val="bottom"/>
            <w:shd w:val="clear" w:color="auto" w:fill="CCEEFF"/>
          </w:tcPr>
          <w:p>
            <w:pPr>
              <w:jc w:val="right"/>
              <w:ind w:right="632"/>
              <w:spacing w:after="0"/>
              <w:rPr>
                <w:sz w:val="20"/>
                <w:szCs w:val="20"/>
                <w:color w:val="auto"/>
              </w:rPr>
            </w:pPr>
            <w:r>
              <w:rPr>
                <w:rFonts w:ascii="Times New Roman" w:cs="Times New Roman" w:eastAsia="Times New Roman" w:hAnsi="Times New Roman"/>
                <w:sz w:val="18"/>
                <w:szCs w:val="18"/>
                <w:b w:val="1"/>
                <w:bCs w:val="1"/>
                <w:color w:val="auto"/>
              </w:rPr>
              <w:t>85%</w:t>
            </w:r>
          </w:p>
        </w:tc>
        <w:tc>
          <w:tcPr>
            <w:tcW w:w="2740" w:type="dxa"/>
            <w:vAlign w:val="bottom"/>
            <w:shd w:val="clear" w:color="auto" w:fill="CCEEFF"/>
          </w:tcPr>
          <w:p>
            <w:pPr>
              <w:jc w:val="center"/>
              <w:ind w:right="232"/>
              <w:spacing w:after="0"/>
              <w:rPr>
                <w:sz w:val="20"/>
                <w:szCs w:val="20"/>
                <w:color w:val="auto"/>
              </w:rPr>
            </w:pPr>
            <w:r>
              <w:rPr>
                <w:rFonts w:ascii="Times New Roman" w:cs="Times New Roman" w:eastAsia="Times New Roman" w:hAnsi="Times New Roman"/>
                <w:sz w:val="18"/>
                <w:szCs w:val="18"/>
                <w:color w:val="auto"/>
                <w:w w:val="99"/>
              </w:rPr>
              <w:t>105%</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125%</w:t>
            </w:r>
          </w:p>
        </w:tc>
      </w:tr>
      <w:tr>
        <w:trPr>
          <w:trHeight w:val="216"/>
        </w:trPr>
        <w:tc>
          <w:tcPr>
            <w:tcW w:w="1440" w:type="dxa"/>
            <w:vAlign w:val="bottom"/>
          </w:tcPr>
          <w:p>
            <w:pPr>
              <w:spacing w:after="0"/>
              <w:rPr>
                <w:sz w:val="18"/>
                <w:szCs w:val="18"/>
                <w:color w:val="auto"/>
              </w:rPr>
            </w:pPr>
          </w:p>
        </w:tc>
        <w:tc>
          <w:tcPr>
            <w:tcW w:w="2120" w:type="dxa"/>
            <w:vAlign w:val="bottom"/>
            <w:gridSpan w:val="2"/>
          </w:tcPr>
          <w:p>
            <w:pPr>
              <w:jc w:val="center"/>
              <w:ind w:right="652"/>
              <w:spacing w:after="0"/>
              <w:rPr>
                <w:sz w:val="20"/>
                <w:szCs w:val="20"/>
                <w:color w:val="auto"/>
              </w:rPr>
            </w:pPr>
            <w:r>
              <w:rPr>
                <w:rFonts w:ascii="Times New Roman" w:cs="Times New Roman" w:eastAsia="Times New Roman" w:hAnsi="Times New Roman"/>
                <w:sz w:val="18"/>
                <w:szCs w:val="18"/>
                <w:color w:val="auto"/>
                <w:w w:val="99"/>
              </w:rPr>
              <w:t>69</w:t>
            </w:r>
          </w:p>
        </w:tc>
        <w:tc>
          <w:tcPr>
            <w:tcW w:w="2200" w:type="dxa"/>
            <w:vAlign w:val="bottom"/>
          </w:tcPr>
          <w:p>
            <w:pPr>
              <w:jc w:val="right"/>
              <w:ind w:right="632"/>
              <w:spacing w:after="0"/>
              <w:rPr>
                <w:sz w:val="20"/>
                <w:szCs w:val="20"/>
                <w:color w:val="auto"/>
              </w:rPr>
            </w:pPr>
            <w:r>
              <w:rPr>
                <w:rFonts w:ascii="Times New Roman" w:cs="Times New Roman" w:eastAsia="Times New Roman" w:hAnsi="Times New Roman"/>
                <w:sz w:val="18"/>
                <w:szCs w:val="18"/>
                <w:b w:val="1"/>
                <w:bCs w:val="1"/>
                <w:color w:val="auto"/>
              </w:rPr>
              <w:t>90%</w:t>
            </w:r>
          </w:p>
        </w:tc>
        <w:tc>
          <w:tcPr>
            <w:tcW w:w="2740" w:type="dxa"/>
            <w:vAlign w:val="bottom"/>
          </w:tcPr>
          <w:p>
            <w:pPr>
              <w:jc w:val="center"/>
              <w:ind w:right="232"/>
              <w:spacing w:after="0"/>
              <w:rPr>
                <w:sz w:val="20"/>
                <w:szCs w:val="20"/>
                <w:color w:val="auto"/>
              </w:rPr>
            </w:pPr>
            <w:r>
              <w:rPr>
                <w:rFonts w:ascii="Times New Roman" w:cs="Times New Roman" w:eastAsia="Times New Roman" w:hAnsi="Times New Roman"/>
                <w:sz w:val="18"/>
                <w:szCs w:val="18"/>
                <w:color w:val="auto"/>
                <w:w w:val="99"/>
              </w:rPr>
              <w:t>106%</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130%</w:t>
            </w:r>
          </w:p>
        </w:tc>
      </w:tr>
      <w:tr>
        <w:trPr>
          <w:trHeight w:val="216"/>
        </w:trPr>
        <w:tc>
          <w:tcPr>
            <w:tcW w:w="1440" w:type="dxa"/>
            <w:vAlign w:val="bottom"/>
          </w:tcPr>
          <w:p>
            <w:pPr>
              <w:spacing w:after="0"/>
              <w:rPr>
                <w:sz w:val="18"/>
                <w:szCs w:val="18"/>
                <w:color w:val="auto"/>
              </w:rPr>
            </w:pPr>
          </w:p>
        </w:tc>
        <w:tc>
          <w:tcPr>
            <w:tcW w:w="2120" w:type="dxa"/>
            <w:vAlign w:val="bottom"/>
            <w:gridSpan w:val="2"/>
            <w:shd w:val="clear" w:color="auto" w:fill="CCEEFF"/>
          </w:tcPr>
          <w:p>
            <w:pPr>
              <w:jc w:val="center"/>
              <w:ind w:right="652"/>
              <w:spacing w:after="0"/>
              <w:rPr>
                <w:sz w:val="20"/>
                <w:szCs w:val="20"/>
                <w:color w:val="auto"/>
              </w:rPr>
            </w:pPr>
            <w:r>
              <w:rPr>
                <w:rFonts w:ascii="Times New Roman" w:cs="Times New Roman" w:eastAsia="Times New Roman" w:hAnsi="Times New Roman"/>
                <w:sz w:val="18"/>
                <w:szCs w:val="18"/>
                <w:color w:val="auto"/>
                <w:w w:val="99"/>
              </w:rPr>
              <w:t>70</w:t>
            </w:r>
          </w:p>
        </w:tc>
        <w:tc>
          <w:tcPr>
            <w:tcW w:w="2200" w:type="dxa"/>
            <w:vAlign w:val="bottom"/>
            <w:shd w:val="clear" w:color="auto" w:fill="CCEEFF"/>
          </w:tcPr>
          <w:p>
            <w:pPr>
              <w:jc w:val="right"/>
              <w:ind w:right="632"/>
              <w:spacing w:after="0"/>
              <w:rPr>
                <w:sz w:val="20"/>
                <w:szCs w:val="20"/>
                <w:color w:val="auto"/>
              </w:rPr>
            </w:pPr>
            <w:r>
              <w:rPr>
                <w:rFonts w:ascii="Times New Roman" w:cs="Times New Roman" w:eastAsia="Times New Roman" w:hAnsi="Times New Roman"/>
                <w:sz w:val="18"/>
                <w:szCs w:val="18"/>
                <w:b w:val="1"/>
                <w:bCs w:val="1"/>
                <w:color w:val="auto"/>
              </w:rPr>
              <w:t>95%</w:t>
            </w:r>
          </w:p>
        </w:tc>
        <w:tc>
          <w:tcPr>
            <w:tcW w:w="2740" w:type="dxa"/>
            <w:vAlign w:val="bottom"/>
            <w:shd w:val="clear" w:color="auto" w:fill="CCEEFF"/>
          </w:tcPr>
          <w:p>
            <w:pPr>
              <w:jc w:val="center"/>
              <w:ind w:right="232"/>
              <w:spacing w:after="0"/>
              <w:rPr>
                <w:sz w:val="20"/>
                <w:szCs w:val="20"/>
                <w:color w:val="auto"/>
              </w:rPr>
            </w:pPr>
            <w:r>
              <w:rPr>
                <w:rFonts w:ascii="Times New Roman" w:cs="Times New Roman" w:eastAsia="Times New Roman" w:hAnsi="Times New Roman"/>
                <w:sz w:val="18"/>
                <w:szCs w:val="18"/>
                <w:color w:val="auto"/>
                <w:w w:val="99"/>
              </w:rPr>
              <w:t>107%</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135%</w:t>
            </w:r>
          </w:p>
        </w:tc>
      </w:tr>
      <w:tr>
        <w:trPr>
          <w:trHeight w:val="216"/>
        </w:trPr>
        <w:tc>
          <w:tcPr>
            <w:tcW w:w="1440" w:type="dxa"/>
            <w:vAlign w:val="bottom"/>
          </w:tcPr>
          <w:p>
            <w:pPr>
              <w:spacing w:after="0"/>
              <w:rPr>
                <w:sz w:val="18"/>
                <w:szCs w:val="18"/>
                <w:color w:val="auto"/>
              </w:rPr>
            </w:pPr>
          </w:p>
        </w:tc>
        <w:tc>
          <w:tcPr>
            <w:tcW w:w="2120" w:type="dxa"/>
            <w:vAlign w:val="bottom"/>
            <w:gridSpan w:val="2"/>
          </w:tcPr>
          <w:p>
            <w:pPr>
              <w:jc w:val="center"/>
              <w:ind w:right="652"/>
              <w:spacing w:after="0"/>
              <w:rPr>
                <w:sz w:val="20"/>
                <w:szCs w:val="20"/>
                <w:color w:val="auto"/>
              </w:rPr>
            </w:pPr>
            <w:r>
              <w:rPr>
                <w:rFonts w:ascii="Times New Roman" w:cs="Times New Roman" w:eastAsia="Times New Roman" w:hAnsi="Times New Roman"/>
                <w:sz w:val="18"/>
                <w:szCs w:val="18"/>
                <w:b w:val="1"/>
                <w:bCs w:val="1"/>
                <w:color w:val="auto"/>
                <w:w w:val="99"/>
              </w:rPr>
              <w:t>71</w:t>
            </w:r>
          </w:p>
        </w:tc>
        <w:tc>
          <w:tcPr>
            <w:tcW w:w="2200" w:type="dxa"/>
            <w:vAlign w:val="bottom"/>
          </w:tcPr>
          <w:p>
            <w:pPr>
              <w:jc w:val="right"/>
              <w:ind w:right="632"/>
              <w:spacing w:after="0"/>
              <w:rPr>
                <w:sz w:val="20"/>
                <w:szCs w:val="20"/>
                <w:color w:val="auto"/>
              </w:rPr>
            </w:pPr>
            <w:r>
              <w:rPr>
                <w:rFonts w:ascii="Times New Roman" w:cs="Times New Roman" w:eastAsia="Times New Roman" w:hAnsi="Times New Roman"/>
                <w:sz w:val="18"/>
                <w:szCs w:val="18"/>
                <w:b w:val="1"/>
                <w:bCs w:val="1"/>
                <w:color w:val="auto"/>
              </w:rPr>
              <w:t>100%</w:t>
            </w:r>
          </w:p>
        </w:tc>
        <w:tc>
          <w:tcPr>
            <w:tcW w:w="2740" w:type="dxa"/>
            <w:vAlign w:val="bottom"/>
          </w:tcPr>
          <w:p>
            <w:pPr>
              <w:jc w:val="center"/>
              <w:ind w:right="232"/>
              <w:spacing w:after="0"/>
              <w:rPr>
                <w:sz w:val="20"/>
                <w:szCs w:val="20"/>
                <w:color w:val="auto"/>
              </w:rPr>
            </w:pPr>
            <w:r>
              <w:rPr>
                <w:rFonts w:ascii="Times New Roman" w:cs="Times New Roman" w:eastAsia="Times New Roman" w:hAnsi="Times New Roman"/>
                <w:sz w:val="18"/>
                <w:szCs w:val="18"/>
                <w:color w:val="auto"/>
                <w:w w:val="99"/>
              </w:rPr>
              <w:t>108%</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140%</w:t>
            </w:r>
          </w:p>
        </w:tc>
      </w:tr>
      <w:tr>
        <w:trPr>
          <w:trHeight w:val="216"/>
        </w:trPr>
        <w:tc>
          <w:tcPr>
            <w:tcW w:w="1440" w:type="dxa"/>
            <w:vAlign w:val="bottom"/>
          </w:tcPr>
          <w:p>
            <w:pPr>
              <w:spacing w:after="0"/>
              <w:rPr>
                <w:sz w:val="18"/>
                <w:szCs w:val="18"/>
                <w:color w:val="auto"/>
              </w:rPr>
            </w:pPr>
          </w:p>
        </w:tc>
        <w:tc>
          <w:tcPr>
            <w:tcW w:w="2120" w:type="dxa"/>
            <w:vAlign w:val="bottom"/>
            <w:gridSpan w:val="2"/>
            <w:shd w:val="clear" w:color="auto" w:fill="CCEEFF"/>
          </w:tcPr>
          <w:p>
            <w:pPr>
              <w:jc w:val="center"/>
              <w:ind w:right="652"/>
              <w:spacing w:after="0"/>
              <w:rPr>
                <w:sz w:val="20"/>
                <w:szCs w:val="20"/>
                <w:color w:val="auto"/>
              </w:rPr>
            </w:pPr>
            <w:r>
              <w:rPr>
                <w:rFonts w:ascii="Times New Roman" w:cs="Times New Roman" w:eastAsia="Times New Roman" w:hAnsi="Times New Roman"/>
                <w:sz w:val="18"/>
                <w:szCs w:val="18"/>
                <w:color w:val="auto"/>
                <w:w w:val="99"/>
              </w:rPr>
              <w:t>72</w:t>
            </w:r>
          </w:p>
        </w:tc>
        <w:tc>
          <w:tcPr>
            <w:tcW w:w="2200" w:type="dxa"/>
            <w:vAlign w:val="bottom"/>
            <w:shd w:val="clear" w:color="auto" w:fill="CCEEFF"/>
          </w:tcPr>
          <w:p>
            <w:pPr>
              <w:jc w:val="right"/>
              <w:ind w:right="632"/>
              <w:spacing w:after="0"/>
              <w:rPr>
                <w:sz w:val="20"/>
                <w:szCs w:val="20"/>
                <w:color w:val="auto"/>
              </w:rPr>
            </w:pPr>
            <w:r>
              <w:rPr>
                <w:rFonts w:ascii="Times New Roman" w:cs="Times New Roman" w:eastAsia="Times New Roman" w:hAnsi="Times New Roman"/>
                <w:sz w:val="18"/>
                <w:szCs w:val="18"/>
                <w:b w:val="1"/>
                <w:bCs w:val="1"/>
                <w:color w:val="auto"/>
              </w:rPr>
              <w:t>110%</w:t>
            </w:r>
          </w:p>
        </w:tc>
        <w:tc>
          <w:tcPr>
            <w:tcW w:w="2740" w:type="dxa"/>
            <w:vAlign w:val="bottom"/>
            <w:shd w:val="clear" w:color="auto" w:fill="CCEEFF"/>
          </w:tcPr>
          <w:p>
            <w:pPr>
              <w:jc w:val="center"/>
              <w:ind w:right="232"/>
              <w:spacing w:after="0"/>
              <w:rPr>
                <w:sz w:val="20"/>
                <w:szCs w:val="20"/>
                <w:color w:val="auto"/>
              </w:rPr>
            </w:pPr>
            <w:r>
              <w:rPr>
                <w:rFonts w:ascii="Times New Roman" w:cs="Times New Roman" w:eastAsia="Times New Roman" w:hAnsi="Times New Roman"/>
                <w:sz w:val="18"/>
                <w:szCs w:val="18"/>
                <w:color w:val="auto"/>
                <w:w w:val="99"/>
              </w:rPr>
              <w:t>109%</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145%</w:t>
            </w:r>
          </w:p>
        </w:tc>
      </w:tr>
      <w:tr>
        <w:trPr>
          <w:trHeight w:val="216"/>
        </w:trPr>
        <w:tc>
          <w:tcPr>
            <w:tcW w:w="1440" w:type="dxa"/>
            <w:vAlign w:val="bottom"/>
          </w:tcPr>
          <w:p>
            <w:pPr>
              <w:spacing w:after="0"/>
              <w:rPr>
                <w:sz w:val="18"/>
                <w:szCs w:val="18"/>
                <w:color w:val="auto"/>
              </w:rPr>
            </w:pPr>
          </w:p>
        </w:tc>
        <w:tc>
          <w:tcPr>
            <w:tcW w:w="2120" w:type="dxa"/>
            <w:vAlign w:val="bottom"/>
            <w:gridSpan w:val="2"/>
          </w:tcPr>
          <w:p>
            <w:pPr>
              <w:jc w:val="center"/>
              <w:ind w:right="652"/>
              <w:spacing w:after="0"/>
              <w:rPr>
                <w:sz w:val="20"/>
                <w:szCs w:val="20"/>
                <w:color w:val="auto"/>
              </w:rPr>
            </w:pPr>
            <w:r>
              <w:rPr>
                <w:rFonts w:ascii="Times New Roman" w:cs="Times New Roman" w:eastAsia="Times New Roman" w:hAnsi="Times New Roman"/>
                <w:sz w:val="18"/>
                <w:szCs w:val="18"/>
                <w:color w:val="auto"/>
                <w:w w:val="99"/>
              </w:rPr>
              <w:t>73</w:t>
            </w:r>
          </w:p>
        </w:tc>
        <w:tc>
          <w:tcPr>
            <w:tcW w:w="2200" w:type="dxa"/>
            <w:vAlign w:val="bottom"/>
          </w:tcPr>
          <w:p>
            <w:pPr>
              <w:jc w:val="right"/>
              <w:ind w:right="632"/>
              <w:spacing w:after="0"/>
              <w:rPr>
                <w:sz w:val="20"/>
                <w:szCs w:val="20"/>
                <w:color w:val="auto"/>
              </w:rPr>
            </w:pPr>
            <w:r>
              <w:rPr>
                <w:rFonts w:ascii="Times New Roman" w:cs="Times New Roman" w:eastAsia="Times New Roman" w:hAnsi="Times New Roman"/>
                <w:sz w:val="18"/>
                <w:szCs w:val="18"/>
                <w:b w:val="1"/>
                <w:bCs w:val="1"/>
                <w:color w:val="auto"/>
              </w:rPr>
              <w:t>120%</w:t>
            </w:r>
          </w:p>
        </w:tc>
        <w:tc>
          <w:tcPr>
            <w:tcW w:w="2740" w:type="dxa"/>
            <w:vAlign w:val="bottom"/>
          </w:tcPr>
          <w:p>
            <w:pPr>
              <w:jc w:val="center"/>
              <w:ind w:right="232"/>
              <w:spacing w:after="0"/>
              <w:rPr>
                <w:sz w:val="20"/>
                <w:szCs w:val="20"/>
                <w:color w:val="auto"/>
              </w:rPr>
            </w:pPr>
            <w:r>
              <w:rPr>
                <w:rFonts w:ascii="Times New Roman" w:cs="Times New Roman" w:eastAsia="Times New Roman" w:hAnsi="Times New Roman"/>
                <w:sz w:val="18"/>
                <w:szCs w:val="18"/>
                <w:color w:val="auto"/>
                <w:w w:val="95"/>
              </w:rPr>
              <w:t>110% or more</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150%</w:t>
            </w:r>
          </w:p>
        </w:tc>
      </w:tr>
      <w:tr>
        <w:trPr>
          <w:trHeight w:val="216"/>
        </w:trPr>
        <w:tc>
          <w:tcPr>
            <w:tcW w:w="1440" w:type="dxa"/>
            <w:vAlign w:val="bottom"/>
          </w:tcPr>
          <w:p>
            <w:pPr>
              <w:spacing w:after="0"/>
              <w:rPr>
                <w:sz w:val="18"/>
                <w:szCs w:val="18"/>
                <w:color w:val="auto"/>
              </w:rPr>
            </w:pPr>
          </w:p>
        </w:tc>
        <w:tc>
          <w:tcPr>
            <w:tcW w:w="2120" w:type="dxa"/>
            <w:vAlign w:val="bottom"/>
            <w:gridSpan w:val="2"/>
            <w:shd w:val="clear" w:color="auto" w:fill="CCEEFF"/>
          </w:tcPr>
          <w:p>
            <w:pPr>
              <w:jc w:val="center"/>
              <w:ind w:right="652"/>
              <w:spacing w:after="0"/>
              <w:rPr>
                <w:sz w:val="20"/>
                <w:szCs w:val="20"/>
                <w:color w:val="auto"/>
              </w:rPr>
            </w:pPr>
            <w:r>
              <w:rPr>
                <w:rFonts w:ascii="Times New Roman" w:cs="Times New Roman" w:eastAsia="Times New Roman" w:hAnsi="Times New Roman"/>
                <w:sz w:val="18"/>
                <w:szCs w:val="18"/>
                <w:color w:val="auto"/>
                <w:w w:val="99"/>
              </w:rPr>
              <w:t>74</w:t>
            </w:r>
          </w:p>
        </w:tc>
        <w:tc>
          <w:tcPr>
            <w:tcW w:w="2200" w:type="dxa"/>
            <w:vAlign w:val="bottom"/>
            <w:shd w:val="clear" w:color="auto" w:fill="CCEEFF"/>
          </w:tcPr>
          <w:p>
            <w:pPr>
              <w:jc w:val="right"/>
              <w:ind w:right="632"/>
              <w:spacing w:after="0"/>
              <w:rPr>
                <w:sz w:val="20"/>
                <w:szCs w:val="20"/>
                <w:color w:val="auto"/>
              </w:rPr>
            </w:pPr>
            <w:r>
              <w:rPr>
                <w:rFonts w:ascii="Times New Roman" w:cs="Times New Roman" w:eastAsia="Times New Roman" w:hAnsi="Times New Roman"/>
                <w:sz w:val="18"/>
                <w:szCs w:val="18"/>
                <w:b w:val="1"/>
                <w:bCs w:val="1"/>
                <w:color w:val="auto"/>
              </w:rPr>
              <w:t>130%</w:t>
            </w:r>
          </w:p>
        </w:tc>
        <w:tc>
          <w:tcPr>
            <w:tcW w:w="27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2120" w:type="dxa"/>
            <w:vAlign w:val="bottom"/>
            <w:gridSpan w:val="2"/>
          </w:tcPr>
          <w:p>
            <w:pPr>
              <w:jc w:val="center"/>
              <w:ind w:right="652"/>
              <w:spacing w:after="0"/>
              <w:rPr>
                <w:sz w:val="20"/>
                <w:szCs w:val="20"/>
                <w:color w:val="auto"/>
              </w:rPr>
            </w:pPr>
            <w:r>
              <w:rPr>
                <w:rFonts w:ascii="Times New Roman" w:cs="Times New Roman" w:eastAsia="Times New Roman" w:hAnsi="Times New Roman"/>
                <w:sz w:val="18"/>
                <w:szCs w:val="18"/>
                <w:color w:val="auto"/>
                <w:w w:val="99"/>
              </w:rPr>
              <w:t>75</w:t>
            </w:r>
          </w:p>
        </w:tc>
        <w:tc>
          <w:tcPr>
            <w:tcW w:w="2200" w:type="dxa"/>
            <w:vAlign w:val="bottom"/>
          </w:tcPr>
          <w:p>
            <w:pPr>
              <w:jc w:val="right"/>
              <w:ind w:right="632"/>
              <w:spacing w:after="0"/>
              <w:rPr>
                <w:sz w:val="20"/>
                <w:szCs w:val="20"/>
                <w:color w:val="auto"/>
              </w:rPr>
            </w:pPr>
            <w:r>
              <w:rPr>
                <w:rFonts w:ascii="Times New Roman" w:cs="Times New Roman" w:eastAsia="Times New Roman" w:hAnsi="Times New Roman"/>
                <w:sz w:val="18"/>
                <w:szCs w:val="18"/>
                <w:b w:val="1"/>
                <w:bCs w:val="1"/>
                <w:color w:val="auto"/>
              </w:rPr>
              <w:t>140%</w:t>
            </w:r>
          </w:p>
        </w:tc>
        <w:tc>
          <w:tcPr>
            <w:tcW w:w="274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00" w:type="dxa"/>
            <w:vAlign w:val="bottom"/>
            <w:shd w:val="clear" w:color="auto" w:fill="CCEEFF"/>
          </w:tcPr>
          <w:p>
            <w:pPr>
              <w:jc w:val="center"/>
              <w:ind w:right="872"/>
              <w:spacing w:after="0"/>
              <w:rPr>
                <w:sz w:val="20"/>
                <w:szCs w:val="20"/>
                <w:color w:val="auto"/>
              </w:rPr>
            </w:pPr>
            <w:r>
              <w:rPr>
                <w:rFonts w:ascii="Times New Roman" w:cs="Times New Roman" w:eastAsia="Times New Roman" w:hAnsi="Times New Roman"/>
                <w:sz w:val="18"/>
                <w:szCs w:val="18"/>
                <w:color w:val="auto"/>
                <w:w w:val="96"/>
              </w:rPr>
              <w:t>76 or More</w:t>
            </w:r>
          </w:p>
        </w:tc>
        <w:tc>
          <w:tcPr>
            <w:tcW w:w="2200" w:type="dxa"/>
            <w:vAlign w:val="bottom"/>
            <w:shd w:val="clear" w:color="auto" w:fill="CCEEFF"/>
          </w:tcPr>
          <w:p>
            <w:pPr>
              <w:jc w:val="right"/>
              <w:ind w:right="632"/>
              <w:spacing w:after="0"/>
              <w:rPr>
                <w:sz w:val="20"/>
                <w:szCs w:val="20"/>
                <w:color w:val="auto"/>
              </w:rPr>
            </w:pPr>
            <w:r>
              <w:rPr>
                <w:rFonts w:ascii="Times New Roman" w:cs="Times New Roman" w:eastAsia="Times New Roman" w:hAnsi="Times New Roman"/>
                <w:sz w:val="18"/>
                <w:szCs w:val="18"/>
                <w:b w:val="1"/>
                <w:bCs w:val="1"/>
                <w:color w:val="auto"/>
              </w:rPr>
              <w:t>150%</w:t>
            </w:r>
          </w:p>
        </w:tc>
        <w:tc>
          <w:tcPr>
            <w:tcW w:w="27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118"/>
        </w:trPr>
        <w:tc>
          <w:tcPr>
            <w:tcW w:w="144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900" w:type="dxa"/>
            <w:vAlign w:val="bottom"/>
          </w:tcPr>
          <w:p>
            <w:pPr>
              <w:spacing w:after="0"/>
              <w:rPr>
                <w:sz w:val="10"/>
                <w:szCs w:val="10"/>
                <w:color w:val="auto"/>
              </w:rPr>
            </w:pPr>
          </w:p>
        </w:tc>
        <w:tc>
          <w:tcPr>
            <w:tcW w:w="220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148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1421" name="Picture 1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1"/>
                    <pic:cNvPicPr>
                      <a:picLocks noChangeAspect="1" noChangeArrowheads="1"/>
                    </pic:cNvPicPr>
                  </pic:nvPicPr>
                  <pic:blipFill>
                    <a:blip r:embed="rId14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22" name="Picture 1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2"/>
                    <pic:cNvPicPr>
                      <a:picLocks noChangeAspect="1" noChangeArrowheads="1"/>
                    </pic:cNvPicPr>
                  </pic:nvPicPr>
                  <pic:blipFill>
                    <a:blip r:embed="rId14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5" w:lineRule="exact"/>
        <w:rPr>
          <w:sz w:val="20"/>
          <w:szCs w:val="20"/>
          <w:color w:val="auto"/>
        </w:rPr>
      </w:pPr>
    </w:p>
    <w:p>
      <w:pPr>
        <w:ind w:left="5580" w:right="2020" w:hanging="5572"/>
        <w:spacing w:after="0" w:line="525" w:lineRule="auto"/>
        <w:tabs>
          <w:tab w:leader="none" w:pos="551"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Payout over 100% for the ASI Component is also contingent upon meeting both the applicable EBITDA and Revenue targets. 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wp:posOffset>
            </wp:positionV>
            <wp:extent cx="7250430" cy="21590"/>
            <wp:wrapNone/>
            <wp:docPr id="1423" name="Picture 1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3"/>
                    <pic:cNvPicPr>
                      <a:picLocks noChangeAspect="1" noChangeArrowheads="1"/>
                    </pic:cNvPicPr>
                  </pic:nvPicPr>
                  <pic:blipFill>
                    <a:blip r:embed="rId14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Attachment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EXAMPLE INDIVIDUAL EXPECTATIONS WORKSHEET</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2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66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Target IC (%):</w:t>
            </w: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Position Title:</w:t>
            </w:r>
          </w:p>
        </w:tc>
        <w:tc>
          <w:tcPr>
            <w:tcW w:w="22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166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Grade Level:</w:t>
            </w: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96"/>
        </w:trPr>
        <w:tc>
          <w:tcPr>
            <w:tcW w:w="3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gridSpan w:val="3"/>
          </w:tcPr>
          <w:p>
            <w:pPr>
              <w:ind w:left="980"/>
              <w:spacing w:after="0"/>
              <w:rPr>
                <w:sz w:val="20"/>
                <w:szCs w:val="20"/>
                <w:color w:val="auto"/>
              </w:rPr>
            </w:pPr>
            <w:r>
              <w:rPr>
                <w:rFonts w:ascii="Times New Roman" w:cs="Times New Roman" w:eastAsia="Times New Roman" w:hAnsi="Times New Roman"/>
                <w:sz w:val="14"/>
                <w:szCs w:val="14"/>
                <w:b w:val="1"/>
                <w:bCs w:val="1"/>
                <w:color w:val="auto"/>
                <w:w w:val="95"/>
              </w:rPr>
              <w:t>Ratings</w:t>
            </w: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89"/>
              </w:rPr>
              <w:t>(e)</w:t>
            </w:r>
          </w:p>
        </w:tc>
        <w:tc>
          <w:tcPr>
            <w:tcW w:w="0" w:type="dxa"/>
            <w:vAlign w:val="bottom"/>
          </w:tcPr>
          <w:p>
            <w:pPr>
              <w:spacing w:after="0"/>
              <w:rPr>
                <w:sz w:val="1"/>
                <w:szCs w:val="1"/>
                <w:color w:val="auto"/>
              </w:rPr>
            </w:pPr>
          </w:p>
        </w:tc>
      </w:tr>
      <w:tr>
        <w:trPr>
          <w:trHeight w:val="65"/>
        </w:trPr>
        <w:tc>
          <w:tcPr>
            <w:tcW w:w="3480" w:type="dxa"/>
            <w:vAlign w:val="bottom"/>
          </w:tcPr>
          <w:p>
            <w:pPr>
              <w:spacing w:after="0"/>
              <w:rPr>
                <w:sz w:val="5"/>
                <w:szCs w:val="5"/>
                <w:color w:val="auto"/>
              </w:rPr>
            </w:pPr>
          </w:p>
        </w:tc>
        <w:tc>
          <w:tcPr>
            <w:tcW w:w="220" w:type="dxa"/>
            <w:vAlign w:val="bottom"/>
          </w:tcPr>
          <w:p>
            <w:pPr>
              <w:spacing w:after="0"/>
              <w:rPr>
                <w:sz w:val="5"/>
                <w:szCs w:val="5"/>
                <w:color w:val="auto"/>
              </w:rPr>
            </w:pPr>
          </w:p>
        </w:tc>
        <w:tc>
          <w:tcPr>
            <w:tcW w:w="34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9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3480" w:type="dxa"/>
            <w:vAlign w:val="bottom"/>
          </w:tcPr>
          <w:p>
            <w:pPr>
              <w:spacing w:after="0"/>
              <w:rPr>
                <w:sz w:val="3"/>
                <w:szCs w:val="3"/>
                <w:color w:val="auto"/>
              </w:rPr>
            </w:pPr>
          </w:p>
        </w:tc>
        <w:tc>
          <w:tcPr>
            <w:tcW w:w="220" w:type="dxa"/>
            <w:vAlign w:val="bottom"/>
          </w:tcPr>
          <w:p>
            <w:pPr>
              <w:spacing w:after="0"/>
              <w:rPr>
                <w:sz w:val="3"/>
                <w:szCs w:val="3"/>
                <w:color w:val="auto"/>
              </w:rPr>
            </w:pPr>
          </w:p>
        </w:tc>
        <w:tc>
          <w:tcPr>
            <w:tcW w:w="34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Borders>
              <w:bottom w:val="single" w:sz="8" w:color="808080"/>
            </w:tcBorders>
          </w:tcPr>
          <w:p>
            <w:pPr>
              <w:spacing w:after="0"/>
              <w:rPr>
                <w:sz w:val="3"/>
                <w:szCs w:val="3"/>
                <w:color w:val="auto"/>
              </w:rPr>
            </w:pPr>
          </w:p>
        </w:tc>
        <w:tc>
          <w:tcPr>
            <w:tcW w:w="220" w:type="dxa"/>
            <w:vAlign w:val="bottom"/>
            <w:tcBorders>
              <w:bottom w:val="single" w:sz="8" w:color="808080"/>
            </w:tcBorders>
          </w:tcPr>
          <w:p>
            <w:pPr>
              <w:spacing w:after="0"/>
              <w:rPr>
                <w:sz w:val="3"/>
                <w:szCs w:val="3"/>
                <w:color w:val="auto"/>
              </w:rPr>
            </w:pPr>
          </w:p>
        </w:tc>
        <w:tc>
          <w:tcPr>
            <w:tcW w:w="80" w:type="dxa"/>
            <w:vAlign w:val="bottom"/>
            <w:tcBorders>
              <w:bottom w:val="single" w:sz="8" w:color="808080"/>
            </w:tcBorders>
          </w:tcPr>
          <w:p>
            <w:pPr>
              <w:spacing w:after="0"/>
              <w:rPr>
                <w:sz w:val="3"/>
                <w:szCs w:val="3"/>
                <w:color w:val="auto"/>
              </w:rPr>
            </w:pPr>
          </w:p>
        </w:tc>
        <w:tc>
          <w:tcPr>
            <w:tcW w:w="960" w:type="dxa"/>
            <w:vAlign w:val="bottom"/>
            <w:tcBorders>
              <w:bottom w:val="single" w:sz="8" w:color="808080"/>
            </w:tcBorders>
          </w:tcPr>
          <w:p>
            <w:pPr>
              <w:spacing w:after="0"/>
              <w:rPr>
                <w:sz w:val="3"/>
                <w:szCs w:val="3"/>
                <w:color w:val="auto"/>
              </w:rPr>
            </w:pPr>
          </w:p>
        </w:tc>
        <w:tc>
          <w:tcPr>
            <w:tcW w:w="220" w:type="dxa"/>
            <w:vAlign w:val="bottom"/>
            <w:vMerge w:val="restart"/>
          </w:tcPr>
          <w:p>
            <w:pPr>
              <w:spacing w:after="0"/>
              <w:rPr>
                <w:sz w:val="3"/>
                <w:szCs w:val="3"/>
                <w:color w:val="auto"/>
              </w:rPr>
            </w:pPr>
          </w:p>
        </w:tc>
        <w:tc>
          <w:tcPr>
            <w:tcW w:w="142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2"/>
              </w:rPr>
              <w:t>Overall</w:t>
            </w:r>
          </w:p>
        </w:tc>
        <w:tc>
          <w:tcPr>
            <w:tcW w:w="0" w:type="dxa"/>
            <w:vAlign w:val="bottom"/>
          </w:tcPr>
          <w:p>
            <w:pPr>
              <w:spacing w:after="0"/>
              <w:rPr>
                <w:sz w:val="1"/>
                <w:szCs w:val="1"/>
                <w:color w:val="auto"/>
              </w:rPr>
            </w:pPr>
          </w:p>
        </w:tc>
      </w:tr>
      <w:tr>
        <w:trPr>
          <w:trHeight w:val="88"/>
        </w:trPr>
        <w:tc>
          <w:tcPr>
            <w:tcW w:w="3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34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960" w:type="dxa"/>
            <w:vAlign w:val="bottom"/>
          </w:tcPr>
          <w:p>
            <w:pPr>
              <w:spacing w:after="0"/>
              <w:rPr>
                <w:sz w:val="7"/>
                <w:szCs w:val="7"/>
                <w:color w:val="auto"/>
              </w:rPr>
            </w:pPr>
          </w:p>
        </w:tc>
        <w:tc>
          <w:tcPr>
            <w:tcW w:w="220" w:type="dxa"/>
            <w:vAlign w:val="bottom"/>
            <w:vMerge w:val="continue"/>
          </w:tcPr>
          <w:p>
            <w:pPr>
              <w:spacing w:after="0"/>
              <w:rPr>
                <w:sz w:val="7"/>
                <w:szCs w:val="7"/>
                <w:color w:val="auto"/>
              </w:rPr>
            </w:pPr>
          </w:p>
        </w:tc>
        <w:tc>
          <w:tcPr>
            <w:tcW w:w="14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3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(a)</w:t>
            </w:r>
          </w:p>
        </w:tc>
        <w:tc>
          <w:tcPr>
            <w:tcW w:w="220" w:type="dxa"/>
            <w:vAlign w:val="bottom"/>
          </w:tcPr>
          <w:p>
            <w:pPr>
              <w:spacing w:after="0"/>
              <w:rPr>
                <w:sz w:val="12"/>
                <w:szCs w:val="12"/>
                <w:color w:val="auto"/>
              </w:rPr>
            </w:pPr>
          </w:p>
        </w:tc>
        <w:tc>
          <w:tcPr>
            <w:tcW w:w="3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w:t>
            </w: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3"/>
              </w:rPr>
              <w:t>Perf. Score</w:t>
            </w:r>
          </w:p>
        </w:tc>
        <w:tc>
          <w:tcPr>
            <w:tcW w:w="0" w:type="dxa"/>
            <w:vAlign w:val="bottom"/>
          </w:tcPr>
          <w:p>
            <w:pPr>
              <w:spacing w:after="0"/>
              <w:rPr>
                <w:sz w:val="1"/>
                <w:szCs w:val="1"/>
                <w:color w:val="auto"/>
              </w:rPr>
            </w:pPr>
          </w:p>
        </w:tc>
      </w:tr>
      <w:tr>
        <w:trPr>
          <w:trHeight w:val="149"/>
        </w:trPr>
        <w:tc>
          <w:tcPr>
            <w:tcW w:w="3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Specific Expectations / Standards of Measure</w:t>
            </w:r>
          </w:p>
        </w:tc>
        <w:tc>
          <w:tcPr>
            <w:tcW w:w="220" w:type="dxa"/>
            <w:vAlign w:val="bottom"/>
          </w:tcPr>
          <w:p>
            <w:pPr>
              <w:spacing w:after="0"/>
              <w:rPr>
                <w:sz w:val="12"/>
                <w:szCs w:val="12"/>
                <w:color w:val="auto"/>
              </w:rPr>
            </w:pPr>
          </w:p>
        </w:tc>
        <w:tc>
          <w:tcPr>
            <w:tcW w:w="3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Accomplishments / Results</w:t>
            </w:r>
          </w:p>
        </w:tc>
        <w:tc>
          <w:tcPr>
            <w:tcW w:w="220" w:type="dxa"/>
            <w:vAlign w:val="bottom"/>
          </w:tcPr>
          <w:p>
            <w:pPr>
              <w:spacing w:after="0"/>
              <w:rPr>
                <w:sz w:val="12"/>
                <w:szCs w:val="12"/>
                <w:color w:val="auto"/>
              </w:rPr>
            </w:pPr>
          </w:p>
        </w:tc>
        <w:tc>
          <w:tcPr>
            <w:tcW w:w="1440" w:type="dxa"/>
            <w:vAlign w:val="bottom"/>
            <w:gridSpan w:val="3"/>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(c)</w:t>
            </w:r>
          </w:p>
        </w:tc>
        <w:tc>
          <w:tcPr>
            <w:tcW w:w="960" w:type="dxa"/>
            <w:vAlign w:val="bottom"/>
          </w:tcPr>
          <w:p>
            <w:pPr>
              <w:jc w:val="center"/>
              <w:ind w:right="12"/>
              <w:spacing w:after="0" w:line="149" w:lineRule="exact"/>
              <w:rPr>
                <w:sz w:val="20"/>
                <w:szCs w:val="20"/>
                <w:color w:val="auto"/>
              </w:rPr>
            </w:pPr>
            <w:r>
              <w:rPr>
                <w:rFonts w:ascii="Times New Roman" w:cs="Times New Roman" w:eastAsia="Times New Roman" w:hAnsi="Times New Roman"/>
                <w:sz w:val="14"/>
                <w:szCs w:val="14"/>
                <w:b w:val="1"/>
                <w:bCs w:val="1"/>
                <w:color w:val="auto"/>
                <w:w w:val="93"/>
              </w:rPr>
              <w:t>(d)</w:t>
            </w:r>
          </w:p>
        </w:tc>
        <w:tc>
          <w:tcPr>
            <w:tcW w:w="1640" w:type="dxa"/>
            <w:vAlign w:val="bottom"/>
            <w:gridSpan w:val="2"/>
          </w:tcPr>
          <w:p>
            <w:pPr>
              <w:jc w:val="center"/>
              <w:ind w:left="152"/>
              <w:spacing w:after="0" w:line="149" w:lineRule="exact"/>
              <w:rPr>
                <w:sz w:val="20"/>
                <w:szCs w:val="20"/>
                <w:color w:val="auto"/>
              </w:rPr>
            </w:pPr>
            <w:r>
              <w:rPr>
                <w:rFonts w:ascii="Times New Roman" w:cs="Times New Roman" w:eastAsia="Times New Roman" w:hAnsi="Times New Roman"/>
                <w:sz w:val="14"/>
                <w:szCs w:val="14"/>
                <w:b w:val="1"/>
                <w:bCs w:val="1"/>
                <w:color w:val="auto"/>
                <w:w w:val="99"/>
              </w:rPr>
              <w:t>%</w:t>
            </w:r>
          </w:p>
        </w:tc>
        <w:tc>
          <w:tcPr>
            <w:tcW w:w="0" w:type="dxa"/>
            <w:vAlign w:val="bottom"/>
          </w:tcPr>
          <w:p>
            <w:pPr>
              <w:spacing w:after="0"/>
              <w:rPr>
                <w:sz w:val="1"/>
                <w:szCs w:val="1"/>
                <w:color w:val="auto"/>
              </w:rPr>
            </w:pPr>
          </w:p>
        </w:tc>
      </w:tr>
      <w:tr>
        <w:trPr>
          <w:trHeight w:val="178"/>
        </w:trPr>
        <w:tc>
          <w:tcPr>
            <w:tcW w:w="3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(Deliverables to be Achieved)</w:t>
            </w:r>
          </w:p>
        </w:tc>
        <w:tc>
          <w:tcPr>
            <w:tcW w:w="220" w:type="dxa"/>
            <w:vAlign w:val="bottom"/>
          </w:tcPr>
          <w:p>
            <w:pPr>
              <w:spacing w:after="0"/>
              <w:rPr>
                <w:sz w:val="15"/>
                <w:szCs w:val="15"/>
                <w:color w:val="auto"/>
              </w:rPr>
            </w:pPr>
          </w:p>
        </w:tc>
        <w:tc>
          <w:tcPr>
            <w:tcW w:w="3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(Actual Results Achieved in Performance Period)</w:t>
            </w:r>
          </w:p>
        </w:tc>
        <w:tc>
          <w:tcPr>
            <w:tcW w:w="220" w:type="dxa"/>
            <w:vAlign w:val="bottom"/>
          </w:tcPr>
          <w:p>
            <w:pPr>
              <w:spacing w:after="0"/>
              <w:rPr>
                <w:sz w:val="15"/>
                <w:szCs w:val="15"/>
                <w:color w:val="auto"/>
              </w:rPr>
            </w:pPr>
          </w:p>
        </w:tc>
        <w:tc>
          <w:tcPr>
            <w:tcW w:w="144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5"/>
              </w:rPr>
              <w:t>Weighting %</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Actual Perf. %</w:t>
            </w:r>
          </w:p>
        </w:tc>
        <w:tc>
          <w:tcPr>
            <w:tcW w:w="220" w:type="dxa"/>
            <w:vAlign w:val="bottom"/>
          </w:tcPr>
          <w:p>
            <w:pPr>
              <w:spacing w:after="0"/>
              <w:rPr>
                <w:sz w:val="15"/>
                <w:szCs w:val="15"/>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(c x d)</w:t>
            </w:r>
          </w:p>
        </w:tc>
        <w:tc>
          <w:tcPr>
            <w:tcW w:w="0" w:type="dxa"/>
            <w:vAlign w:val="bottom"/>
          </w:tcPr>
          <w:p>
            <w:pPr>
              <w:spacing w:after="0"/>
              <w:rPr>
                <w:sz w:val="1"/>
                <w:szCs w:val="1"/>
                <w:color w:val="auto"/>
              </w:rPr>
            </w:pPr>
          </w:p>
        </w:tc>
      </w:tr>
      <w:tr>
        <w:trPr>
          <w:trHeight w:val="105"/>
        </w:trPr>
        <w:tc>
          <w:tcPr>
            <w:tcW w:w="34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4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4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19"/>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6203315</wp:posOffset>
            </wp:positionH>
            <wp:positionV relativeFrom="paragraph">
              <wp:posOffset>-2026285</wp:posOffset>
            </wp:positionV>
            <wp:extent cx="12700" cy="8890"/>
            <wp:wrapNone/>
            <wp:docPr id="1424" name="Picture 1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4"/>
                    <pic:cNvPicPr>
                      <a:picLocks noChangeAspect="1" noChangeArrowheads="1"/>
                    </pic:cNvPicPr>
                  </pic:nvPicPr>
                  <pic:blipFill>
                    <a:blip r:embed="rId14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-2026285</wp:posOffset>
            </wp:positionV>
            <wp:extent cx="12700" cy="8890"/>
            <wp:wrapNone/>
            <wp:docPr id="1425" name="Picture 1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5"/>
                    <pic:cNvPicPr>
                      <a:picLocks noChangeAspect="1" noChangeArrowheads="1"/>
                    </pic:cNvPicPr>
                  </pic:nvPicPr>
                  <pic:blipFill>
                    <a:blip r:embed="rId14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-1588770</wp:posOffset>
            </wp:positionV>
            <wp:extent cx="12700" cy="8890"/>
            <wp:wrapNone/>
            <wp:docPr id="1426" name="Picture 1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6"/>
                    <pic:cNvPicPr>
                      <a:picLocks noChangeAspect="1" noChangeArrowheads="1"/>
                    </pic:cNvPicPr>
                  </pic:nvPicPr>
                  <pic:blipFill>
                    <a:blip r:embed="rId14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-1588770</wp:posOffset>
            </wp:positionV>
            <wp:extent cx="12700" cy="8890"/>
            <wp:wrapNone/>
            <wp:docPr id="1427" name="Picture 1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7"/>
                    <pic:cNvPicPr>
                      <a:picLocks noChangeAspect="1" noChangeArrowheads="1"/>
                    </pic:cNvPicPr>
                  </pic:nvPicPr>
                  <pic:blipFill>
                    <a:blip r:embed="rId14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2198370</wp:posOffset>
            </wp:positionH>
            <wp:positionV relativeFrom="paragraph">
              <wp:posOffset>-1588770</wp:posOffset>
            </wp:positionV>
            <wp:extent cx="12700" cy="8890"/>
            <wp:wrapNone/>
            <wp:docPr id="1428" name="Picture 1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8"/>
                    <pic:cNvPicPr>
                      <a:picLocks noChangeAspect="1" noChangeArrowheads="1"/>
                    </pic:cNvPicPr>
                  </pic:nvPicPr>
                  <pic:blipFill>
                    <a:blip r:embed="rId14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-1588770</wp:posOffset>
            </wp:positionV>
            <wp:extent cx="12700" cy="8890"/>
            <wp:wrapNone/>
            <wp:docPr id="1429" name="Picture 1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9"/>
                    <pic:cNvPicPr>
                      <a:picLocks noChangeAspect="1" noChangeArrowheads="1"/>
                    </pic:cNvPicPr>
                  </pic:nvPicPr>
                  <pic:blipFill>
                    <a:blip r:embed="rId14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-1588770</wp:posOffset>
            </wp:positionV>
            <wp:extent cx="12700" cy="8890"/>
            <wp:wrapNone/>
            <wp:docPr id="1430" name="Picture 1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0"/>
                    <pic:cNvPicPr>
                      <a:picLocks noChangeAspect="1" noChangeArrowheads="1"/>
                    </pic:cNvPicPr>
                  </pic:nvPicPr>
                  <pic:blipFill>
                    <a:blip r:embed="rId14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2344420</wp:posOffset>
            </wp:positionH>
            <wp:positionV relativeFrom="paragraph">
              <wp:posOffset>-1588770</wp:posOffset>
            </wp:positionV>
            <wp:extent cx="12700" cy="8890"/>
            <wp:wrapNone/>
            <wp:docPr id="1431" name="Picture 1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1"/>
                    <pic:cNvPicPr>
                      <a:picLocks noChangeAspect="1" noChangeArrowheads="1"/>
                    </pic:cNvPicPr>
                  </pic:nvPicPr>
                  <pic:blipFill>
                    <a:blip r:embed="rId14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-1588770</wp:posOffset>
            </wp:positionV>
            <wp:extent cx="12700" cy="8890"/>
            <wp:wrapNone/>
            <wp:docPr id="1432" name="Picture 1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2"/>
                    <pic:cNvPicPr>
                      <a:picLocks noChangeAspect="1" noChangeArrowheads="1"/>
                    </pic:cNvPicPr>
                  </pic:nvPicPr>
                  <pic:blipFill>
                    <a:blip r:embed="rId14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-1588770</wp:posOffset>
            </wp:positionV>
            <wp:extent cx="12700" cy="8890"/>
            <wp:wrapNone/>
            <wp:docPr id="1433" name="Picture 1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3"/>
                    <pic:cNvPicPr>
                      <a:picLocks noChangeAspect="1" noChangeArrowheads="1"/>
                    </pic:cNvPicPr>
                  </pic:nvPicPr>
                  <pic:blipFill>
                    <a:blip r:embed="rId14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-1588770</wp:posOffset>
            </wp:positionV>
            <wp:extent cx="12700" cy="8890"/>
            <wp:wrapNone/>
            <wp:docPr id="1434" name="Picture 1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4"/>
                    <pic:cNvPicPr>
                      <a:picLocks noChangeAspect="1" noChangeArrowheads="1"/>
                    </pic:cNvPicPr>
                  </pic:nvPicPr>
                  <pic:blipFill>
                    <a:blip r:embed="rId14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-1588770</wp:posOffset>
            </wp:positionV>
            <wp:extent cx="12700" cy="8890"/>
            <wp:wrapNone/>
            <wp:docPr id="1435" name="Picture 1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5"/>
                    <pic:cNvPicPr>
                      <a:picLocks noChangeAspect="1" noChangeArrowheads="1"/>
                    </pic:cNvPicPr>
                  </pic:nvPicPr>
                  <pic:blipFill>
                    <a:blip r:embed="rId144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9"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b w:val="1"/>
          <w:bCs w:val="1"/>
          <w:color w:val="auto"/>
        </w:rPr>
        <w:t>Total Score on Specific Expectations (add column "e") &gt;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219710</wp:posOffset>
            </wp:positionV>
            <wp:extent cx="7250430" cy="21590"/>
            <wp:wrapNone/>
            <wp:docPr id="1436" name="Picture 1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6"/>
                    <pic:cNvPicPr>
                      <a:picLocks noChangeAspect="1" noChangeArrowheads="1"/>
                    </pic:cNvPicPr>
                  </pic:nvPicPr>
                  <pic:blipFill>
                    <a:blip r:embed="rId14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Signed by: Associate</w:t>
            </w:r>
          </w:p>
        </w:tc>
        <w:tc>
          <w:tcPr>
            <w:tcW w:w="1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584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Manager</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5840" w:type="dxa"/>
            <w:vAlign w:val="bottom"/>
            <w:gridSpan w:val="4"/>
          </w:tcPr>
          <w:p>
            <w:pPr>
              <w:jc w:val="center"/>
              <w:ind w:right="5580"/>
              <w:spacing w:after="0"/>
              <w:rPr>
                <w:sz w:val="20"/>
                <w:szCs w:val="20"/>
                <w:color w:val="auto"/>
              </w:rPr>
            </w:pPr>
            <w:r>
              <w:rPr>
                <w:rFonts w:ascii="Times New Roman" w:cs="Times New Roman" w:eastAsia="Times New Roman" w:hAnsi="Times New Roman"/>
                <w:sz w:val="18"/>
                <w:szCs w:val="18"/>
                <w:color w:val="auto"/>
                <w:w w:val="96"/>
              </w:rPr>
              <w:t>B-1</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92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c>
          <w:tcPr>
            <w:tcW w:w="15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040" w:type="dxa"/>
            <w:vAlign w:val="bottom"/>
            <w:tcBorders>
              <w:bottom w:val="single" w:sz="8" w:color="808080"/>
            </w:tcBorders>
          </w:tcPr>
          <w:p>
            <w:pPr>
              <w:spacing w:after="0"/>
              <w:rPr>
                <w:sz w:val="19"/>
                <w:szCs w:val="19"/>
                <w:color w:val="auto"/>
              </w:rPr>
            </w:pPr>
          </w:p>
        </w:tc>
        <w:tc>
          <w:tcPr>
            <w:tcW w:w="40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427"/>
        </w:trPr>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Attachment C</w:t>
            </w:r>
          </w:p>
        </w:tc>
        <w:tc>
          <w:tcPr>
            <w:tcW w:w="1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380" w:type="dxa"/>
            <w:vAlign w:val="bottom"/>
            <w:gridSpan w:val="5"/>
          </w:tcPr>
          <w:p>
            <w:pPr>
              <w:jc w:val="center"/>
              <w:ind w:right="4040"/>
              <w:spacing w:after="0"/>
              <w:rPr>
                <w:sz w:val="20"/>
                <w:szCs w:val="20"/>
                <w:color w:val="auto"/>
              </w:rPr>
            </w:pPr>
            <w:r>
              <w:rPr>
                <w:rFonts w:ascii="Times New Roman" w:cs="Times New Roman" w:eastAsia="Times New Roman" w:hAnsi="Times New Roman"/>
                <w:sz w:val="18"/>
                <w:szCs w:val="18"/>
                <w:b w:val="1"/>
                <w:bCs w:val="1"/>
                <w:color w:val="auto"/>
                <w:w w:val="96"/>
              </w:rPr>
              <w:t>PERFORMANCE/PAYOUT TABLE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8480" w:type="dxa"/>
            <w:vAlign w:val="bottom"/>
            <w:gridSpan w:val="6"/>
          </w:tcPr>
          <w:p>
            <w:pPr>
              <w:jc w:val="center"/>
              <w:ind w:right="2940"/>
              <w:spacing w:after="0"/>
              <w:rPr>
                <w:sz w:val="20"/>
                <w:szCs w:val="20"/>
                <w:color w:val="auto"/>
              </w:rPr>
            </w:pPr>
            <w:r>
              <w:rPr>
                <w:rFonts w:ascii="Times New Roman" w:cs="Times New Roman" w:eastAsia="Times New Roman" w:hAnsi="Times New Roman"/>
                <w:sz w:val="18"/>
                <w:szCs w:val="18"/>
                <w:b w:val="1"/>
                <w:bCs w:val="1"/>
                <w:color w:val="auto"/>
                <w:w w:val="96"/>
              </w:rPr>
              <w:t>FOR REVENUE, EBITDA AND INDIVIDUAL EXPECTATIONS</w:t>
            </w:r>
          </w:p>
        </w:tc>
        <w:tc>
          <w:tcPr>
            <w:tcW w:w="0" w:type="dxa"/>
            <w:vAlign w:val="bottom"/>
          </w:tcPr>
          <w:p>
            <w:pPr>
              <w:spacing w:after="0"/>
              <w:rPr>
                <w:sz w:val="1"/>
                <w:szCs w:val="1"/>
                <w:color w:val="auto"/>
              </w:rPr>
            </w:pPr>
          </w:p>
        </w:tc>
      </w:tr>
      <w:tr>
        <w:trPr>
          <w:trHeight w:val="350"/>
        </w:trPr>
        <w:tc>
          <w:tcPr>
            <w:tcW w:w="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540" w:type="dxa"/>
            <w:vAlign w:val="bottom"/>
          </w:tcPr>
          <w:p>
            <w:pPr>
              <w:jc w:val="center"/>
              <w:ind w:left="442"/>
              <w:spacing w:after="0"/>
              <w:rPr>
                <w:sz w:val="20"/>
                <w:szCs w:val="20"/>
                <w:color w:val="auto"/>
              </w:rPr>
            </w:pPr>
            <w:r>
              <w:rPr>
                <w:rFonts w:ascii="Times New Roman" w:cs="Times New Roman" w:eastAsia="Times New Roman" w:hAnsi="Times New Roman"/>
                <w:sz w:val="14"/>
                <w:szCs w:val="14"/>
                <w:b w:val="1"/>
                <w:bCs w:val="1"/>
                <w:color w:val="auto"/>
                <w:w w:val="97"/>
              </w:rPr>
              <w:t>% of Objective(s)</w:t>
            </w:r>
          </w:p>
        </w:tc>
        <w:tc>
          <w:tcPr>
            <w:tcW w:w="1780" w:type="dxa"/>
            <w:vAlign w:val="bottom"/>
            <w:gridSpan w:val="3"/>
          </w:tcPr>
          <w:p>
            <w:pPr>
              <w:jc w:val="center"/>
              <w:ind w:left="673"/>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4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540" w:type="dxa"/>
            <w:vAlign w:val="bottom"/>
          </w:tcPr>
          <w:p>
            <w:pPr>
              <w:jc w:val="center"/>
              <w:ind w:left="462"/>
              <w:spacing w:after="0"/>
              <w:rPr>
                <w:sz w:val="20"/>
                <w:szCs w:val="20"/>
                <w:color w:val="auto"/>
              </w:rPr>
            </w:pPr>
            <w:r>
              <w:rPr>
                <w:rFonts w:ascii="Times New Roman" w:cs="Times New Roman" w:eastAsia="Times New Roman" w:hAnsi="Times New Roman"/>
                <w:sz w:val="14"/>
                <w:szCs w:val="14"/>
                <w:b w:val="1"/>
                <w:bCs w:val="1"/>
                <w:color w:val="auto"/>
                <w:w w:val="96"/>
              </w:rPr>
              <w:t>Achieved*</w:t>
            </w: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10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Payout*</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9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54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4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9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5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4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80% is the threshold for performance</w:t>
            </w:r>
          </w:p>
        </w:tc>
        <w:tc>
          <w:tcPr>
            <w:tcW w:w="1100" w:type="dxa"/>
            <w:vAlign w:val="bottom"/>
            <w:shd w:val="clear" w:color="auto" w:fill="CCEEFF"/>
          </w:tcPr>
          <w:p>
            <w:pPr>
              <w:spacing w:after="0"/>
              <w:rPr>
                <w:sz w:val="18"/>
                <w:szCs w:val="18"/>
                <w:color w:val="auto"/>
              </w:rPr>
            </w:pPr>
          </w:p>
        </w:tc>
        <w:tc>
          <w:tcPr>
            <w:tcW w:w="1540" w:type="dxa"/>
            <w:vAlign w:val="bottom"/>
            <w:shd w:val="clear" w:color="auto" w:fill="CCEEFF"/>
          </w:tcPr>
          <w:p>
            <w:pPr>
              <w:jc w:val="center"/>
              <w:ind w:left="442"/>
              <w:spacing w:after="0"/>
              <w:rPr>
                <w:sz w:val="20"/>
                <w:szCs w:val="20"/>
                <w:color w:val="auto"/>
              </w:rPr>
            </w:pPr>
            <w:r>
              <w:rPr>
                <w:rFonts w:ascii="Times New Roman" w:cs="Times New Roman" w:eastAsia="Times New Roman" w:hAnsi="Times New Roman"/>
                <w:sz w:val="18"/>
                <w:szCs w:val="18"/>
                <w:color w:val="auto"/>
                <w:w w:val="97"/>
              </w:rPr>
              <w:t>79% or less</w:t>
            </w:r>
          </w:p>
        </w:tc>
        <w:tc>
          <w:tcPr>
            <w:tcW w:w="1780" w:type="dxa"/>
            <w:vAlign w:val="bottom"/>
            <w:gridSpan w:val="3"/>
            <w:shd w:val="clear" w:color="auto" w:fill="CCEEFF"/>
          </w:tcPr>
          <w:p>
            <w:pPr>
              <w:jc w:val="center"/>
              <w:ind w:left="673"/>
              <w:spacing w:after="0"/>
              <w:rPr>
                <w:sz w:val="20"/>
                <w:szCs w:val="20"/>
                <w:color w:val="auto"/>
              </w:rPr>
            </w:pPr>
            <w:r>
              <w:rPr>
                <w:rFonts w:ascii="Times New Roman" w:cs="Times New Roman" w:eastAsia="Times New Roman" w:hAnsi="Times New Roman"/>
                <w:sz w:val="18"/>
                <w:szCs w:val="18"/>
                <w:color w:val="auto"/>
                <w:w w:val="91"/>
              </w:rPr>
              <w:t>0%</w:t>
            </w:r>
          </w:p>
        </w:tc>
        <w:tc>
          <w:tcPr>
            <w:tcW w:w="4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achievements to result in a payout.--&gt;</w:t>
            </w:r>
          </w:p>
        </w:tc>
        <w:tc>
          <w:tcPr>
            <w:tcW w:w="2640" w:type="dxa"/>
            <w:vAlign w:val="bottom"/>
            <w:gridSpan w:val="2"/>
          </w:tcPr>
          <w:p>
            <w:pPr>
              <w:jc w:val="center"/>
              <w:ind w:left="1552"/>
              <w:spacing w:after="0"/>
              <w:rPr>
                <w:sz w:val="20"/>
                <w:szCs w:val="20"/>
                <w:color w:val="auto"/>
              </w:rPr>
            </w:pPr>
            <w:r>
              <w:rPr>
                <w:rFonts w:ascii="Times New Roman" w:cs="Times New Roman" w:eastAsia="Times New Roman" w:hAnsi="Times New Roman"/>
                <w:sz w:val="18"/>
                <w:szCs w:val="18"/>
                <w:color w:val="auto"/>
                <w:w w:val="96"/>
              </w:rPr>
              <w:t>80%</w:t>
            </w:r>
          </w:p>
        </w:tc>
        <w:tc>
          <w:tcPr>
            <w:tcW w:w="1780" w:type="dxa"/>
            <w:vAlign w:val="bottom"/>
            <w:gridSpan w:val="3"/>
          </w:tcPr>
          <w:p>
            <w:pPr>
              <w:jc w:val="center"/>
              <w:ind w:left="653"/>
              <w:spacing w:after="0"/>
              <w:rPr>
                <w:sz w:val="20"/>
                <w:szCs w:val="20"/>
                <w:color w:val="auto"/>
              </w:rPr>
            </w:pPr>
            <w:r>
              <w:rPr>
                <w:rFonts w:ascii="Times New Roman" w:cs="Times New Roman" w:eastAsia="Times New Roman" w:hAnsi="Times New Roman"/>
                <w:sz w:val="18"/>
                <w:szCs w:val="18"/>
                <w:color w:val="auto"/>
                <w:w w:val="96"/>
              </w:rPr>
              <w:t>65%</w:t>
            </w:r>
          </w:p>
        </w:tc>
        <w:tc>
          <w:tcPr>
            <w:tcW w:w="4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2640" w:type="dxa"/>
            <w:vAlign w:val="bottom"/>
            <w:gridSpan w:val="2"/>
            <w:shd w:val="clear" w:color="auto" w:fill="CCEEFF"/>
          </w:tcPr>
          <w:p>
            <w:pPr>
              <w:jc w:val="center"/>
              <w:ind w:left="1552"/>
              <w:spacing w:after="0"/>
              <w:rPr>
                <w:sz w:val="20"/>
                <w:szCs w:val="20"/>
                <w:color w:val="auto"/>
              </w:rPr>
            </w:pPr>
            <w:r>
              <w:rPr>
                <w:rFonts w:ascii="Times New Roman" w:cs="Times New Roman" w:eastAsia="Times New Roman" w:hAnsi="Times New Roman"/>
                <w:sz w:val="18"/>
                <w:szCs w:val="18"/>
                <w:color w:val="auto"/>
                <w:w w:val="96"/>
              </w:rPr>
              <w:t>81%</w:t>
            </w:r>
          </w:p>
        </w:tc>
        <w:tc>
          <w:tcPr>
            <w:tcW w:w="1780" w:type="dxa"/>
            <w:vAlign w:val="bottom"/>
            <w:gridSpan w:val="3"/>
            <w:shd w:val="clear" w:color="auto" w:fill="CCEEFF"/>
          </w:tcPr>
          <w:p>
            <w:pPr>
              <w:jc w:val="center"/>
              <w:ind w:left="653"/>
              <w:spacing w:after="0"/>
              <w:rPr>
                <w:sz w:val="20"/>
                <w:szCs w:val="20"/>
                <w:color w:val="auto"/>
              </w:rPr>
            </w:pPr>
            <w:r>
              <w:rPr>
                <w:rFonts w:ascii="Times New Roman" w:cs="Times New Roman" w:eastAsia="Times New Roman" w:hAnsi="Times New Roman"/>
                <w:sz w:val="18"/>
                <w:szCs w:val="18"/>
                <w:color w:val="auto"/>
                <w:w w:val="96"/>
              </w:rPr>
              <w:t>67%</w:t>
            </w:r>
          </w:p>
        </w:tc>
        <w:tc>
          <w:tcPr>
            <w:tcW w:w="4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2640" w:type="dxa"/>
            <w:vAlign w:val="bottom"/>
            <w:gridSpan w:val="2"/>
          </w:tcPr>
          <w:p>
            <w:pPr>
              <w:jc w:val="center"/>
              <w:ind w:left="1552"/>
              <w:spacing w:after="0"/>
              <w:rPr>
                <w:sz w:val="20"/>
                <w:szCs w:val="20"/>
                <w:color w:val="auto"/>
              </w:rPr>
            </w:pPr>
            <w:r>
              <w:rPr>
                <w:rFonts w:ascii="Times New Roman" w:cs="Times New Roman" w:eastAsia="Times New Roman" w:hAnsi="Times New Roman"/>
                <w:sz w:val="18"/>
                <w:szCs w:val="18"/>
                <w:color w:val="auto"/>
                <w:w w:val="96"/>
              </w:rPr>
              <w:t>82%</w:t>
            </w:r>
          </w:p>
        </w:tc>
        <w:tc>
          <w:tcPr>
            <w:tcW w:w="1780" w:type="dxa"/>
            <w:vAlign w:val="bottom"/>
            <w:gridSpan w:val="3"/>
          </w:tcPr>
          <w:p>
            <w:pPr>
              <w:jc w:val="center"/>
              <w:ind w:left="653"/>
              <w:spacing w:after="0"/>
              <w:rPr>
                <w:sz w:val="20"/>
                <w:szCs w:val="20"/>
                <w:color w:val="auto"/>
              </w:rPr>
            </w:pPr>
            <w:r>
              <w:rPr>
                <w:rFonts w:ascii="Times New Roman" w:cs="Times New Roman" w:eastAsia="Times New Roman" w:hAnsi="Times New Roman"/>
                <w:sz w:val="18"/>
                <w:szCs w:val="18"/>
                <w:color w:val="auto"/>
                <w:w w:val="96"/>
              </w:rPr>
              <w:t>69%</w:t>
            </w:r>
          </w:p>
        </w:tc>
        <w:tc>
          <w:tcPr>
            <w:tcW w:w="4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2640" w:type="dxa"/>
            <w:vAlign w:val="bottom"/>
            <w:gridSpan w:val="2"/>
            <w:shd w:val="clear" w:color="auto" w:fill="CCEEFF"/>
          </w:tcPr>
          <w:p>
            <w:pPr>
              <w:jc w:val="center"/>
              <w:ind w:left="1552"/>
              <w:spacing w:after="0"/>
              <w:rPr>
                <w:sz w:val="20"/>
                <w:szCs w:val="20"/>
                <w:color w:val="auto"/>
              </w:rPr>
            </w:pPr>
            <w:r>
              <w:rPr>
                <w:rFonts w:ascii="Times New Roman" w:cs="Times New Roman" w:eastAsia="Times New Roman" w:hAnsi="Times New Roman"/>
                <w:sz w:val="18"/>
                <w:szCs w:val="18"/>
                <w:color w:val="auto"/>
                <w:w w:val="96"/>
              </w:rPr>
              <w:t>83%</w:t>
            </w:r>
          </w:p>
        </w:tc>
        <w:tc>
          <w:tcPr>
            <w:tcW w:w="1780" w:type="dxa"/>
            <w:vAlign w:val="bottom"/>
            <w:gridSpan w:val="3"/>
            <w:shd w:val="clear" w:color="auto" w:fill="CCEEFF"/>
          </w:tcPr>
          <w:p>
            <w:pPr>
              <w:jc w:val="center"/>
              <w:ind w:left="653"/>
              <w:spacing w:after="0"/>
              <w:rPr>
                <w:sz w:val="20"/>
                <w:szCs w:val="20"/>
                <w:color w:val="auto"/>
              </w:rPr>
            </w:pPr>
            <w:r>
              <w:rPr>
                <w:rFonts w:ascii="Times New Roman" w:cs="Times New Roman" w:eastAsia="Times New Roman" w:hAnsi="Times New Roman"/>
                <w:sz w:val="18"/>
                <w:szCs w:val="18"/>
                <w:color w:val="auto"/>
                <w:w w:val="96"/>
              </w:rPr>
              <w:t>70%</w:t>
            </w:r>
          </w:p>
        </w:tc>
        <w:tc>
          <w:tcPr>
            <w:tcW w:w="4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2640" w:type="dxa"/>
            <w:vAlign w:val="bottom"/>
            <w:gridSpan w:val="2"/>
          </w:tcPr>
          <w:p>
            <w:pPr>
              <w:jc w:val="center"/>
              <w:ind w:left="1552"/>
              <w:spacing w:after="0"/>
              <w:rPr>
                <w:sz w:val="20"/>
                <w:szCs w:val="20"/>
                <w:color w:val="auto"/>
              </w:rPr>
            </w:pPr>
            <w:r>
              <w:rPr>
                <w:rFonts w:ascii="Times New Roman" w:cs="Times New Roman" w:eastAsia="Times New Roman" w:hAnsi="Times New Roman"/>
                <w:sz w:val="18"/>
                <w:szCs w:val="18"/>
                <w:color w:val="auto"/>
                <w:w w:val="96"/>
              </w:rPr>
              <w:t>84%</w:t>
            </w:r>
          </w:p>
        </w:tc>
        <w:tc>
          <w:tcPr>
            <w:tcW w:w="1780" w:type="dxa"/>
            <w:vAlign w:val="bottom"/>
            <w:gridSpan w:val="3"/>
          </w:tcPr>
          <w:p>
            <w:pPr>
              <w:jc w:val="center"/>
              <w:ind w:left="653"/>
              <w:spacing w:after="0"/>
              <w:rPr>
                <w:sz w:val="20"/>
                <w:szCs w:val="20"/>
                <w:color w:val="auto"/>
              </w:rPr>
            </w:pPr>
            <w:r>
              <w:rPr>
                <w:rFonts w:ascii="Times New Roman" w:cs="Times New Roman" w:eastAsia="Times New Roman" w:hAnsi="Times New Roman"/>
                <w:sz w:val="18"/>
                <w:szCs w:val="18"/>
                <w:color w:val="auto"/>
                <w:w w:val="96"/>
              </w:rPr>
              <w:t>72%</w:t>
            </w:r>
          </w:p>
        </w:tc>
        <w:tc>
          <w:tcPr>
            <w:tcW w:w="4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2640" w:type="dxa"/>
            <w:vAlign w:val="bottom"/>
            <w:gridSpan w:val="2"/>
            <w:shd w:val="clear" w:color="auto" w:fill="CCEEFF"/>
          </w:tcPr>
          <w:p>
            <w:pPr>
              <w:jc w:val="center"/>
              <w:ind w:left="1552"/>
              <w:spacing w:after="0"/>
              <w:rPr>
                <w:sz w:val="20"/>
                <w:szCs w:val="20"/>
                <w:color w:val="auto"/>
              </w:rPr>
            </w:pPr>
            <w:r>
              <w:rPr>
                <w:rFonts w:ascii="Times New Roman" w:cs="Times New Roman" w:eastAsia="Times New Roman" w:hAnsi="Times New Roman"/>
                <w:sz w:val="18"/>
                <w:szCs w:val="18"/>
                <w:color w:val="auto"/>
                <w:w w:val="96"/>
              </w:rPr>
              <w:t>85%</w:t>
            </w:r>
          </w:p>
        </w:tc>
        <w:tc>
          <w:tcPr>
            <w:tcW w:w="1780" w:type="dxa"/>
            <w:vAlign w:val="bottom"/>
            <w:gridSpan w:val="3"/>
            <w:shd w:val="clear" w:color="auto" w:fill="CCEEFF"/>
          </w:tcPr>
          <w:p>
            <w:pPr>
              <w:jc w:val="center"/>
              <w:ind w:left="653"/>
              <w:spacing w:after="0"/>
              <w:rPr>
                <w:sz w:val="20"/>
                <w:szCs w:val="20"/>
                <w:color w:val="auto"/>
              </w:rPr>
            </w:pPr>
            <w:r>
              <w:rPr>
                <w:rFonts w:ascii="Times New Roman" w:cs="Times New Roman" w:eastAsia="Times New Roman" w:hAnsi="Times New Roman"/>
                <w:sz w:val="18"/>
                <w:szCs w:val="18"/>
                <w:color w:val="auto"/>
                <w:w w:val="96"/>
              </w:rPr>
              <w:t>74%</w:t>
            </w:r>
          </w:p>
        </w:tc>
        <w:tc>
          <w:tcPr>
            <w:tcW w:w="4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2640" w:type="dxa"/>
            <w:vAlign w:val="bottom"/>
            <w:gridSpan w:val="2"/>
          </w:tcPr>
          <w:p>
            <w:pPr>
              <w:jc w:val="center"/>
              <w:ind w:left="1552"/>
              <w:spacing w:after="0"/>
              <w:rPr>
                <w:sz w:val="20"/>
                <w:szCs w:val="20"/>
                <w:color w:val="auto"/>
              </w:rPr>
            </w:pPr>
            <w:r>
              <w:rPr>
                <w:rFonts w:ascii="Times New Roman" w:cs="Times New Roman" w:eastAsia="Times New Roman" w:hAnsi="Times New Roman"/>
                <w:sz w:val="18"/>
                <w:szCs w:val="18"/>
                <w:color w:val="auto"/>
                <w:w w:val="96"/>
              </w:rPr>
              <w:t>86%</w:t>
            </w:r>
          </w:p>
        </w:tc>
        <w:tc>
          <w:tcPr>
            <w:tcW w:w="1780" w:type="dxa"/>
            <w:vAlign w:val="bottom"/>
            <w:gridSpan w:val="3"/>
          </w:tcPr>
          <w:p>
            <w:pPr>
              <w:jc w:val="center"/>
              <w:ind w:left="653"/>
              <w:spacing w:after="0"/>
              <w:rPr>
                <w:sz w:val="20"/>
                <w:szCs w:val="20"/>
                <w:color w:val="auto"/>
              </w:rPr>
            </w:pPr>
            <w:r>
              <w:rPr>
                <w:rFonts w:ascii="Times New Roman" w:cs="Times New Roman" w:eastAsia="Times New Roman" w:hAnsi="Times New Roman"/>
                <w:sz w:val="18"/>
                <w:szCs w:val="18"/>
                <w:color w:val="auto"/>
                <w:w w:val="96"/>
              </w:rPr>
              <w:t>76%</w:t>
            </w:r>
          </w:p>
        </w:tc>
        <w:tc>
          <w:tcPr>
            <w:tcW w:w="4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2640" w:type="dxa"/>
            <w:vAlign w:val="bottom"/>
            <w:gridSpan w:val="2"/>
            <w:shd w:val="clear" w:color="auto" w:fill="CCEEFF"/>
          </w:tcPr>
          <w:p>
            <w:pPr>
              <w:jc w:val="center"/>
              <w:ind w:left="1552"/>
              <w:spacing w:after="0"/>
              <w:rPr>
                <w:sz w:val="20"/>
                <w:szCs w:val="20"/>
                <w:color w:val="auto"/>
              </w:rPr>
            </w:pPr>
            <w:r>
              <w:rPr>
                <w:rFonts w:ascii="Times New Roman" w:cs="Times New Roman" w:eastAsia="Times New Roman" w:hAnsi="Times New Roman"/>
                <w:sz w:val="18"/>
                <w:szCs w:val="18"/>
                <w:color w:val="auto"/>
                <w:w w:val="96"/>
              </w:rPr>
              <w:t>87%</w:t>
            </w:r>
          </w:p>
        </w:tc>
        <w:tc>
          <w:tcPr>
            <w:tcW w:w="1780" w:type="dxa"/>
            <w:vAlign w:val="bottom"/>
            <w:gridSpan w:val="3"/>
            <w:shd w:val="clear" w:color="auto" w:fill="CCEEFF"/>
          </w:tcPr>
          <w:p>
            <w:pPr>
              <w:jc w:val="center"/>
              <w:ind w:left="653"/>
              <w:spacing w:after="0"/>
              <w:rPr>
                <w:sz w:val="20"/>
                <w:szCs w:val="20"/>
                <w:color w:val="auto"/>
              </w:rPr>
            </w:pPr>
            <w:r>
              <w:rPr>
                <w:rFonts w:ascii="Times New Roman" w:cs="Times New Roman" w:eastAsia="Times New Roman" w:hAnsi="Times New Roman"/>
                <w:sz w:val="18"/>
                <w:szCs w:val="18"/>
                <w:color w:val="auto"/>
                <w:w w:val="96"/>
              </w:rPr>
              <w:t>77%</w:t>
            </w:r>
          </w:p>
        </w:tc>
        <w:tc>
          <w:tcPr>
            <w:tcW w:w="4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2640" w:type="dxa"/>
            <w:vAlign w:val="bottom"/>
            <w:gridSpan w:val="2"/>
          </w:tcPr>
          <w:p>
            <w:pPr>
              <w:jc w:val="center"/>
              <w:ind w:left="1552"/>
              <w:spacing w:after="0"/>
              <w:rPr>
                <w:sz w:val="20"/>
                <w:szCs w:val="20"/>
                <w:color w:val="auto"/>
              </w:rPr>
            </w:pPr>
            <w:r>
              <w:rPr>
                <w:rFonts w:ascii="Times New Roman" w:cs="Times New Roman" w:eastAsia="Times New Roman" w:hAnsi="Times New Roman"/>
                <w:sz w:val="18"/>
                <w:szCs w:val="18"/>
                <w:color w:val="auto"/>
                <w:w w:val="96"/>
              </w:rPr>
              <w:t>88%</w:t>
            </w:r>
          </w:p>
        </w:tc>
        <w:tc>
          <w:tcPr>
            <w:tcW w:w="1780" w:type="dxa"/>
            <w:vAlign w:val="bottom"/>
            <w:gridSpan w:val="3"/>
          </w:tcPr>
          <w:p>
            <w:pPr>
              <w:jc w:val="center"/>
              <w:ind w:left="653"/>
              <w:spacing w:after="0"/>
              <w:rPr>
                <w:sz w:val="20"/>
                <w:szCs w:val="20"/>
                <w:color w:val="auto"/>
              </w:rPr>
            </w:pPr>
            <w:r>
              <w:rPr>
                <w:rFonts w:ascii="Times New Roman" w:cs="Times New Roman" w:eastAsia="Times New Roman" w:hAnsi="Times New Roman"/>
                <w:sz w:val="18"/>
                <w:szCs w:val="18"/>
                <w:color w:val="auto"/>
                <w:w w:val="96"/>
              </w:rPr>
              <w:t>79%</w:t>
            </w:r>
          </w:p>
        </w:tc>
        <w:tc>
          <w:tcPr>
            <w:tcW w:w="4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2640" w:type="dxa"/>
            <w:vAlign w:val="bottom"/>
            <w:gridSpan w:val="2"/>
            <w:shd w:val="clear" w:color="auto" w:fill="CCEEFF"/>
          </w:tcPr>
          <w:p>
            <w:pPr>
              <w:jc w:val="center"/>
              <w:ind w:left="1552"/>
              <w:spacing w:after="0"/>
              <w:rPr>
                <w:sz w:val="20"/>
                <w:szCs w:val="20"/>
                <w:color w:val="auto"/>
              </w:rPr>
            </w:pPr>
            <w:r>
              <w:rPr>
                <w:rFonts w:ascii="Times New Roman" w:cs="Times New Roman" w:eastAsia="Times New Roman" w:hAnsi="Times New Roman"/>
                <w:sz w:val="18"/>
                <w:szCs w:val="18"/>
                <w:color w:val="auto"/>
                <w:w w:val="96"/>
              </w:rPr>
              <w:t>89%</w:t>
            </w:r>
          </w:p>
        </w:tc>
        <w:tc>
          <w:tcPr>
            <w:tcW w:w="1780" w:type="dxa"/>
            <w:vAlign w:val="bottom"/>
            <w:gridSpan w:val="3"/>
            <w:shd w:val="clear" w:color="auto" w:fill="CCEEFF"/>
          </w:tcPr>
          <w:p>
            <w:pPr>
              <w:jc w:val="center"/>
              <w:ind w:left="653"/>
              <w:spacing w:after="0"/>
              <w:rPr>
                <w:sz w:val="20"/>
                <w:szCs w:val="20"/>
                <w:color w:val="auto"/>
              </w:rPr>
            </w:pPr>
            <w:r>
              <w:rPr>
                <w:rFonts w:ascii="Times New Roman" w:cs="Times New Roman" w:eastAsia="Times New Roman" w:hAnsi="Times New Roman"/>
                <w:sz w:val="18"/>
                <w:szCs w:val="18"/>
                <w:color w:val="auto"/>
                <w:w w:val="96"/>
              </w:rPr>
              <w:t>81%</w:t>
            </w:r>
          </w:p>
        </w:tc>
        <w:tc>
          <w:tcPr>
            <w:tcW w:w="4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2640" w:type="dxa"/>
            <w:vAlign w:val="bottom"/>
            <w:gridSpan w:val="2"/>
          </w:tcPr>
          <w:p>
            <w:pPr>
              <w:jc w:val="center"/>
              <w:ind w:left="1552"/>
              <w:spacing w:after="0"/>
              <w:rPr>
                <w:sz w:val="20"/>
                <w:szCs w:val="20"/>
                <w:color w:val="auto"/>
              </w:rPr>
            </w:pPr>
            <w:r>
              <w:rPr>
                <w:rFonts w:ascii="Times New Roman" w:cs="Times New Roman" w:eastAsia="Times New Roman" w:hAnsi="Times New Roman"/>
                <w:sz w:val="18"/>
                <w:szCs w:val="18"/>
                <w:color w:val="auto"/>
                <w:w w:val="96"/>
              </w:rPr>
              <w:t>90%</w:t>
            </w:r>
          </w:p>
        </w:tc>
        <w:tc>
          <w:tcPr>
            <w:tcW w:w="1780" w:type="dxa"/>
            <w:vAlign w:val="bottom"/>
            <w:gridSpan w:val="3"/>
          </w:tcPr>
          <w:p>
            <w:pPr>
              <w:jc w:val="center"/>
              <w:ind w:left="653"/>
              <w:spacing w:after="0"/>
              <w:rPr>
                <w:sz w:val="20"/>
                <w:szCs w:val="20"/>
                <w:color w:val="auto"/>
              </w:rPr>
            </w:pPr>
            <w:r>
              <w:rPr>
                <w:rFonts w:ascii="Times New Roman" w:cs="Times New Roman" w:eastAsia="Times New Roman" w:hAnsi="Times New Roman"/>
                <w:sz w:val="18"/>
                <w:szCs w:val="18"/>
                <w:color w:val="auto"/>
                <w:w w:val="96"/>
              </w:rPr>
              <w:t>83%</w:t>
            </w:r>
          </w:p>
        </w:tc>
        <w:tc>
          <w:tcPr>
            <w:tcW w:w="4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2640" w:type="dxa"/>
            <w:vAlign w:val="bottom"/>
            <w:gridSpan w:val="2"/>
            <w:shd w:val="clear" w:color="auto" w:fill="CCEEFF"/>
          </w:tcPr>
          <w:p>
            <w:pPr>
              <w:jc w:val="center"/>
              <w:ind w:left="1552"/>
              <w:spacing w:after="0"/>
              <w:rPr>
                <w:sz w:val="20"/>
                <w:szCs w:val="20"/>
                <w:color w:val="auto"/>
              </w:rPr>
            </w:pPr>
            <w:r>
              <w:rPr>
                <w:rFonts w:ascii="Times New Roman" w:cs="Times New Roman" w:eastAsia="Times New Roman" w:hAnsi="Times New Roman"/>
                <w:sz w:val="18"/>
                <w:szCs w:val="18"/>
                <w:color w:val="auto"/>
                <w:w w:val="96"/>
              </w:rPr>
              <w:t>91%</w:t>
            </w:r>
          </w:p>
        </w:tc>
        <w:tc>
          <w:tcPr>
            <w:tcW w:w="1780" w:type="dxa"/>
            <w:vAlign w:val="bottom"/>
            <w:gridSpan w:val="3"/>
            <w:shd w:val="clear" w:color="auto" w:fill="CCEEFF"/>
          </w:tcPr>
          <w:p>
            <w:pPr>
              <w:jc w:val="center"/>
              <w:ind w:left="653"/>
              <w:spacing w:after="0"/>
              <w:rPr>
                <w:sz w:val="20"/>
                <w:szCs w:val="20"/>
                <w:color w:val="auto"/>
              </w:rPr>
            </w:pPr>
            <w:r>
              <w:rPr>
                <w:rFonts w:ascii="Times New Roman" w:cs="Times New Roman" w:eastAsia="Times New Roman" w:hAnsi="Times New Roman"/>
                <w:sz w:val="18"/>
                <w:szCs w:val="18"/>
                <w:color w:val="auto"/>
                <w:w w:val="96"/>
              </w:rPr>
              <w:t>84%</w:t>
            </w:r>
          </w:p>
        </w:tc>
        <w:tc>
          <w:tcPr>
            <w:tcW w:w="4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2640" w:type="dxa"/>
            <w:vAlign w:val="bottom"/>
            <w:gridSpan w:val="2"/>
          </w:tcPr>
          <w:p>
            <w:pPr>
              <w:jc w:val="center"/>
              <w:ind w:left="1552"/>
              <w:spacing w:after="0"/>
              <w:rPr>
                <w:sz w:val="20"/>
                <w:szCs w:val="20"/>
                <w:color w:val="auto"/>
              </w:rPr>
            </w:pPr>
            <w:r>
              <w:rPr>
                <w:rFonts w:ascii="Times New Roman" w:cs="Times New Roman" w:eastAsia="Times New Roman" w:hAnsi="Times New Roman"/>
                <w:sz w:val="18"/>
                <w:szCs w:val="18"/>
                <w:color w:val="auto"/>
                <w:w w:val="96"/>
              </w:rPr>
              <w:t>92%</w:t>
            </w:r>
          </w:p>
        </w:tc>
        <w:tc>
          <w:tcPr>
            <w:tcW w:w="1780" w:type="dxa"/>
            <w:vAlign w:val="bottom"/>
            <w:gridSpan w:val="3"/>
          </w:tcPr>
          <w:p>
            <w:pPr>
              <w:jc w:val="center"/>
              <w:ind w:left="653"/>
              <w:spacing w:after="0"/>
              <w:rPr>
                <w:sz w:val="20"/>
                <w:szCs w:val="20"/>
                <w:color w:val="auto"/>
              </w:rPr>
            </w:pPr>
            <w:r>
              <w:rPr>
                <w:rFonts w:ascii="Times New Roman" w:cs="Times New Roman" w:eastAsia="Times New Roman" w:hAnsi="Times New Roman"/>
                <w:sz w:val="18"/>
                <w:szCs w:val="18"/>
                <w:color w:val="auto"/>
                <w:w w:val="96"/>
              </w:rPr>
              <w:t>86%</w:t>
            </w:r>
          </w:p>
        </w:tc>
        <w:tc>
          <w:tcPr>
            <w:tcW w:w="4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2640" w:type="dxa"/>
            <w:vAlign w:val="bottom"/>
            <w:gridSpan w:val="2"/>
            <w:shd w:val="clear" w:color="auto" w:fill="CCEEFF"/>
          </w:tcPr>
          <w:p>
            <w:pPr>
              <w:jc w:val="center"/>
              <w:ind w:left="1552"/>
              <w:spacing w:after="0"/>
              <w:rPr>
                <w:sz w:val="20"/>
                <w:szCs w:val="20"/>
                <w:color w:val="auto"/>
              </w:rPr>
            </w:pPr>
            <w:r>
              <w:rPr>
                <w:rFonts w:ascii="Times New Roman" w:cs="Times New Roman" w:eastAsia="Times New Roman" w:hAnsi="Times New Roman"/>
                <w:sz w:val="18"/>
                <w:szCs w:val="18"/>
                <w:color w:val="auto"/>
                <w:w w:val="96"/>
              </w:rPr>
              <w:t>93%</w:t>
            </w:r>
          </w:p>
        </w:tc>
        <w:tc>
          <w:tcPr>
            <w:tcW w:w="1780" w:type="dxa"/>
            <w:vAlign w:val="bottom"/>
            <w:gridSpan w:val="3"/>
            <w:shd w:val="clear" w:color="auto" w:fill="CCEEFF"/>
          </w:tcPr>
          <w:p>
            <w:pPr>
              <w:jc w:val="center"/>
              <w:ind w:left="653"/>
              <w:spacing w:after="0"/>
              <w:rPr>
                <w:sz w:val="20"/>
                <w:szCs w:val="20"/>
                <w:color w:val="auto"/>
              </w:rPr>
            </w:pPr>
            <w:r>
              <w:rPr>
                <w:rFonts w:ascii="Times New Roman" w:cs="Times New Roman" w:eastAsia="Times New Roman" w:hAnsi="Times New Roman"/>
                <w:sz w:val="18"/>
                <w:szCs w:val="18"/>
                <w:color w:val="auto"/>
                <w:w w:val="96"/>
              </w:rPr>
              <w:t>88%</w:t>
            </w:r>
          </w:p>
        </w:tc>
        <w:tc>
          <w:tcPr>
            <w:tcW w:w="4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2640" w:type="dxa"/>
            <w:vAlign w:val="bottom"/>
            <w:gridSpan w:val="2"/>
          </w:tcPr>
          <w:p>
            <w:pPr>
              <w:jc w:val="center"/>
              <w:ind w:left="1552"/>
              <w:spacing w:after="0"/>
              <w:rPr>
                <w:sz w:val="20"/>
                <w:szCs w:val="20"/>
                <w:color w:val="auto"/>
              </w:rPr>
            </w:pPr>
            <w:r>
              <w:rPr>
                <w:rFonts w:ascii="Times New Roman" w:cs="Times New Roman" w:eastAsia="Times New Roman" w:hAnsi="Times New Roman"/>
                <w:sz w:val="18"/>
                <w:szCs w:val="18"/>
                <w:color w:val="auto"/>
                <w:w w:val="96"/>
              </w:rPr>
              <w:t>94%</w:t>
            </w:r>
          </w:p>
        </w:tc>
        <w:tc>
          <w:tcPr>
            <w:tcW w:w="1780" w:type="dxa"/>
            <w:vAlign w:val="bottom"/>
            <w:gridSpan w:val="3"/>
          </w:tcPr>
          <w:p>
            <w:pPr>
              <w:jc w:val="center"/>
              <w:ind w:left="653"/>
              <w:spacing w:after="0"/>
              <w:rPr>
                <w:sz w:val="20"/>
                <w:szCs w:val="20"/>
                <w:color w:val="auto"/>
              </w:rPr>
            </w:pPr>
            <w:r>
              <w:rPr>
                <w:rFonts w:ascii="Times New Roman" w:cs="Times New Roman" w:eastAsia="Times New Roman" w:hAnsi="Times New Roman"/>
                <w:sz w:val="18"/>
                <w:szCs w:val="18"/>
                <w:color w:val="auto"/>
                <w:w w:val="96"/>
              </w:rPr>
              <w:t>89%</w:t>
            </w:r>
          </w:p>
        </w:tc>
        <w:tc>
          <w:tcPr>
            <w:tcW w:w="4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2640" w:type="dxa"/>
            <w:vAlign w:val="bottom"/>
            <w:gridSpan w:val="2"/>
            <w:shd w:val="clear" w:color="auto" w:fill="CCEEFF"/>
          </w:tcPr>
          <w:p>
            <w:pPr>
              <w:jc w:val="center"/>
              <w:ind w:left="1552"/>
              <w:spacing w:after="0"/>
              <w:rPr>
                <w:sz w:val="20"/>
                <w:szCs w:val="20"/>
                <w:color w:val="auto"/>
              </w:rPr>
            </w:pPr>
            <w:r>
              <w:rPr>
                <w:rFonts w:ascii="Times New Roman" w:cs="Times New Roman" w:eastAsia="Times New Roman" w:hAnsi="Times New Roman"/>
                <w:sz w:val="18"/>
                <w:szCs w:val="18"/>
                <w:color w:val="auto"/>
                <w:w w:val="96"/>
              </w:rPr>
              <w:t>95%</w:t>
            </w:r>
          </w:p>
        </w:tc>
        <w:tc>
          <w:tcPr>
            <w:tcW w:w="1780" w:type="dxa"/>
            <w:vAlign w:val="bottom"/>
            <w:gridSpan w:val="3"/>
            <w:shd w:val="clear" w:color="auto" w:fill="CCEEFF"/>
          </w:tcPr>
          <w:p>
            <w:pPr>
              <w:jc w:val="center"/>
              <w:ind w:left="653"/>
              <w:spacing w:after="0"/>
              <w:rPr>
                <w:sz w:val="20"/>
                <w:szCs w:val="20"/>
                <w:color w:val="auto"/>
              </w:rPr>
            </w:pPr>
            <w:r>
              <w:rPr>
                <w:rFonts w:ascii="Times New Roman" w:cs="Times New Roman" w:eastAsia="Times New Roman" w:hAnsi="Times New Roman"/>
                <w:sz w:val="18"/>
                <w:szCs w:val="18"/>
                <w:color w:val="auto"/>
                <w:w w:val="96"/>
              </w:rPr>
              <w:t>91%</w:t>
            </w:r>
          </w:p>
        </w:tc>
        <w:tc>
          <w:tcPr>
            <w:tcW w:w="4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2640" w:type="dxa"/>
            <w:vAlign w:val="bottom"/>
            <w:gridSpan w:val="2"/>
          </w:tcPr>
          <w:p>
            <w:pPr>
              <w:jc w:val="center"/>
              <w:ind w:left="1552"/>
              <w:spacing w:after="0"/>
              <w:rPr>
                <w:sz w:val="20"/>
                <w:szCs w:val="20"/>
                <w:color w:val="auto"/>
              </w:rPr>
            </w:pPr>
            <w:r>
              <w:rPr>
                <w:rFonts w:ascii="Times New Roman" w:cs="Times New Roman" w:eastAsia="Times New Roman" w:hAnsi="Times New Roman"/>
                <w:sz w:val="18"/>
                <w:szCs w:val="18"/>
                <w:color w:val="auto"/>
                <w:w w:val="96"/>
              </w:rPr>
              <w:t>96%</w:t>
            </w:r>
          </w:p>
        </w:tc>
        <w:tc>
          <w:tcPr>
            <w:tcW w:w="1780" w:type="dxa"/>
            <w:vAlign w:val="bottom"/>
            <w:gridSpan w:val="3"/>
          </w:tcPr>
          <w:p>
            <w:pPr>
              <w:jc w:val="center"/>
              <w:ind w:left="653"/>
              <w:spacing w:after="0"/>
              <w:rPr>
                <w:sz w:val="20"/>
                <w:szCs w:val="20"/>
                <w:color w:val="auto"/>
              </w:rPr>
            </w:pPr>
            <w:r>
              <w:rPr>
                <w:rFonts w:ascii="Times New Roman" w:cs="Times New Roman" w:eastAsia="Times New Roman" w:hAnsi="Times New Roman"/>
                <w:sz w:val="18"/>
                <w:szCs w:val="18"/>
                <w:color w:val="auto"/>
                <w:w w:val="96"/>
              </w:rPr>
              <w:t>93%</w:t>
            </w:r>
          </w:p>
        </w:tc>
        <w:tc>
          <w:tcPr>
            <w:tcW w:w="4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2640" w:type="dxa"/>
            <w:vAlign w:val="bottom"/>
            <w:gridSpan w:val="2"/>
            <w:shd w:val="clear" w:color="auto" w:fill="CCEEFF"/>
          </w:tcPr>
          <w:p>
            <w:pPr>
              <w:jc w:val="center"/>
              <w:ind w:left="1552"/>
              <w:spacing w:after="0"/>
              <w:rPr>
                <w:sz w:val="20"/>
                <w:szCs w:val="20"/>
                <w:color w:val="auto"/>
              </w:rPr>
            </w:pPr>
            <w:r>
              <w:rPr>
                <w:rFonts w:ascii="Times New Roman" w:cs="Times New Roman" w:eastAsia="Times New Roman" w:hAnsi="Times New Roman"/>
                <w:sz w:val="18"/>
                <w:szCs w:val="18"/>
                <w:color w:val="auto"/>
                <w:w w:val="96"/>
              </w:rPr>
              <w:t>97%</w:t>
            </w:r>
          </w:p>
        </w:tc>
        <w:tc>
          <w:tcPr>
            <w:tcW w:w="1780" w:type="dxa"/>
            <w:vAlign w:val="bottom"/>
            <w:gridSpan w:val="3"/>
            <w:shd w:val="clear" w:color="auto" w:fill="CCEEFF"/>
          </w:tcPr>
          <w:p>
            <w:pPr>
              <w:jc w:val="center"/>
              <w:ind w:left="653"/>
              <w:spacing w:after="0"/>
              <w:rPr>
                <w:sz w:val="20"/>
                <w:szCs w:val="20"/>
                <w:color w:val="auto"/>
              </w:rPr>
            </w:pPr>
            <w:r>
              <w:rPr>
                <w:rFonts w:ascii="Times New Roman" w:cs="Times New Roman" w:eastAsia="Times New Roman" w:hAnsi="Times New Roman"/>
                <w:sz w:val="18"/>
                <w:szCs w:val="18"/>
                <w:color w:val="auto"/>
                <w:w w:val="96"/>
              </w:rPr>
              <w:t>95%</w:t>
            </w:r>
          </w:p>
        </w:tc>
        <w:tc>
          <w:tcPr>
            <w:tcW w:w="4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-3785870</wp:posOffset>
            </wp:positionV>
            <wp:extent cx="12700" cy="8890"/>
            <wp:wrapNone/>
            <wp:docPr id="1437" name="Picture 1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7"/>
                    <pic:cNvPicPr>
                      <a:picLocks noChangeAspect="1" noChangeArrowheads="1"/>
                    </pic:cNvPicPr>
                  </pic:nvPicPr>
                  <pic:blipFill>
                    <a:blip r:embed="rId14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-3785870</wp:posOffset>
            </wp:positionV>
            <wp:extent cx="12700" cy="8890"/>
            <wp:wrapNone/>
            <wp:docPr id="1438" name="Picture 1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8"/>
                    <pic:cNvPicPr>
                      <a:picLocks noChangeAspect="1" noChangeArrowheads="1"/>
                    </pic:cNvPicPr>
                  </pic:nvPicPr>
                  <pic:blipFill>
                    <a:blip r:embed="rId14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-2687955</wp:posOffset>
            </wp:positionV>
            <wp:extent cx="12700" cy="8890"/>
            <wp:wrapNone/>
            <wp:docPr id="1439" name="Picture 1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9"/>
                    <pic:cNvPicPr>
                      <a:picLocks noChangeAspect="1" noChangeArrowheads="1"/>
                    </pic:cNvPicPr>
                  </pic:nvPicPr>
                  <pic:blipFill>
                    <a:blip r:embed="rId14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2558415</wp:posOffset>
            </wp:positionH>
            <wp:positionV relativeFrom="paragraph">
              <wp:posOffset>-2687955</wp:posOffset>
            </wp:positionV>
            <wp:extent cx="12700" cy="8890"/>
            <wp:wrapNone/>
            <wp:docPr id="1440" name="Picture 1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0"/>
                    <pic:cNvPicPr>
                      <a:picLocks noChangeAspect="1" noChangeArrowheads="1"/>
                    </pic:cNvPicPr>
                  </pic:nvPicPr>
                  <pic:blipFill>
                    <a:blip r:embed="rId14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-2687955</wp:posOffset>
            </wp:positionV>
            <wp:extent cx="12700" cy="8890"/>
            <wp:wrapNone/>
            <wp:docPr id="1441" name="Picture 1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1"/>
                    <pic:cNvPicPr>
                      <a:picLocks noChangeAspect="1" noChangeArrowheads="1"/>
                    </pic:cNvPicPr>
                  </pic:nvPicPr>
                  <pic:blipFill>
                    <a:blip r:embed="rId14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4016375</wp:posOffset>
            </wp:positionH>
            <wp:positionV relativeFrom="paragraph">
              <wp:posOffset>-2687955</wp:posOffset>
            </wp:positionV>
            <wp:extent cx="12700" cy="8890"/>
            <wp:wrapNone/>
            <wp:docPr id="1442" name="Picture 1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2"/>
                    <pic:cNvPicPr>
                      <a:picLocks noChangeAspect="1" noChangeArrowheads="1"/>
                    </pic:cNvPicPr>
                  </pic:nvPicPr>
                  <pic:blipFill>
                    <a:blip r:embed="rId144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0" w:right="239" w:bottom="0" w:gutter="0" w:footer="0" w:header="0"/>
        </w:sectPr>
      </w:pPr>
    </w:p>
    <w:bookmarkStart w:id="84" w:name="page85"/>
    <w:bookmarkEnd w:id="84"/>
    <w:tbl>
      <w:tblPr>
        <w:tblLayout w:type="fixed"/>
        <w:tblInd w:w="0" w:type="dxa"/>
        <w:tblCellMar>
          <w:top w:w="0" w:type="dxa"/>
          <w:left w:w="0" w:type="dxa"/>
          <w:bottom w:w="0" w:type="dxa"/>
          <w:right w:w="0" w:type="dxa"/>
        </w:tblCellMar>
      </w:tblPr>
      <w:tr>
        <w:trPr>
          <w:trHeight w:val="229"/>
        </w:trPr>
        <w:tc>
          <w:tcPr>
            <w:tcW w:w="6100" w:type="dxa"/>
            <w:vAlign w:val="bottom"/>
          </w:tcPr>
          <w:p>
            <w:pPr>
              <w:jc w:val="center"/>
              <w:ind w:left="3972"/>
              <w:spacing w:after="0"/>
              <w:rPr>
                <w:sz w:val="20"/>
                <w:szCs w:val="20"/>
                <w:color w:val="auto"/>
              </w:rPr>
            </w:pPr>
            <w:r>
              <w:rPr>
                <w:rFonts w:ascii="Times New Roman" w:cs="Times New Roman" w:eastAsia="Times New Roman" w:hAnsi="Times New Roman"/>
                <w:sz w:val="18"/>
                <w:szCs w:val="18"/>
                <w:color w:val="auto"/>
                <w:w w:val="96"/>
              </w:rPr>
              <w:t>98%</w:t>
            </w:r>
          </w:p>
        </w:tc>
        <w:tc>
          <w:tcPr>
            <w:tcW w:w="1260" w:type="dxa"/>
            <w:vAlign w:val="bottom"/>
          </w:tcPr>
          <w:p>
            <w:pPr>
              <w:jc w:val="center"/>
              <w:ind w:left="132"/>
              <w:spacing w:after="0"/>
              <w:rPr>
                <w:sz w:val="20"/>
                <w:szCs w:val="20"/>
                <w:color w:val="auto"/>
              </w:rPr>
            </w:pPr>
            <w:r>
              <w:rPr>
                <w:rFonts w:ascii="Times New Roman" w:cs="Times New Roman" w:eastAsia="Times New Roman" w:hAnsi="Times New Roman"/>
                <w:sz w:val="18"/>
                <w:szCs w:val="18"/>
                <w:color w:val="auto"/>
                <w:w w:val="96"/>
              </w:rPr>
              <w:t>96%</w:t>
            </w:r>
          </w:p>
        </w:tc>
        <w:tc>
          <w:tcPr>
            <w:tcW w:w="4060" w:type="dxa"/>
            <w:vAlign w:val="bottom"/>
          </w:tcPr>
          <w:p>
            <w:pPr>
              <w:spacing w:after="0"/>
              <w:rPr>
                <w:sz w:val="19"/>
                <w:szCs w:val="19"/>
                <w:color w:val="auto"/>
              </w:rPr>
            </w:pPr>
          </w:p>
        </w:tc>
      </w:tr>
      <w:tr>
        <w:trPr>
          <w:trHeight w:val="217"/>
        </w:trPr>
        <w:tc>
          <w:tcPr>
            <w:tcW w:w="6100" w:type="dxa"/>
            <w:vAlign w:val="bottom"/>
            <w:shd w:val="clear" w:color="auto" w:fill="CCEEFF"/>
          </w:tcPr>
          <w:p>
            <w:pPr>
              <w:jc w:val="center"/>
              <w:ind w:left="3972"/>
              <w:spacing w:after="0"/>
              <w:rPr>
                <w:sz w:val="20"/>
                <w:szCs w:val="20"/>
                <w:color w:val="auto"/>
              </w:rPr>
            </w:pPr>
            <w:r>
              <w:rPr>
                <w:rFonts w:ascii="Times New Roman" w:cs="Times New Roman" w:eastAsia="Times New Roman" w:hAnsi="Times New Roman"/>
                <w:sz w:val="18"/>
                <w:szCs w:val="18"/>
                <w:color w:val="auto"/>
                <w:w w:val="96"/>
              </w:rPr>
              <w:t>99%</w:t>
            </w:r>
          </w:p>
        </w:tc>
        <w:tc>
          <w:tcPr>
            <w:tcW w:w="1260" w:type="dxa"/>
            <w:vAlign w:val="bottom"/>
            <w:shd w:val="clear" w:color="auto" w:fill="CCEEFF"/>
          </w:tcPr>
          <w:p>
            <w:pPr>
              <w:jc w:val="center"/>
              <w:ind w:left="132"/>
              <w:spacing w:after="0"/>
              <w:rPr>
                <w:sz w:val="20"/>
                <w:szCs w:val="20"/>
                <w:color w:val="auto"/>
              </w:rPr>
            </w:pPr>
            <w:r>
              <w:rPr>
                <w:rFonts w:ascii="Times New Roman" w:cs="Times New Roman" w:eastAsia="Times New Roman" w:hAnsi="Times New Roman"/>
                <w:sz w:val="18"/>
                <w:szCs w:val="18"/>
                <w:color w:val="auto"/>
                <w:w w:val="96"/>
              </w:rPr>
              <w:t>98%</w:t>
            </w:r>
          </w:p>
        </w:tc>
        <w:tc>
          <w:tcPr>
            <w:tcW w:w="4060" w:type="dxa"/>
            <w:vAlign w:val="bottom"/>
            <w:shd w:val="clear" w:color="auto" w:fill="CCEEFF"/>
          </w:tcPr>
          <w:p>
            <w:pPr>
              <w:spacing w:after="0"/>
              <w:rPr>
                <w:sz w:val="18"/>
                <w:szCs w:val="18"/>
                <w:color w:val="auto"/>
              </w:rPr>
            </w:pPr>
          </w:p>
        </w:tc>
      </w:tr>
      <w:tr>
        <w:trPr>
          <w:trHeight w:val="216"/>
        </w:trPr>
        <w:tc>
          <w:tcPr>
            <w:tcW w:w="6100" w:type="dxa"/>
            <w:vAlign w:val="bottom"/>
          </w:tcPr>
          <w:p>
            <w:pPr>
              <w:jc w:val="center"/>
              <w:ind w:left="3952"/>
              <w:spacing w:after="0"/>
              <w:rPr>
                <w:sz w:val="20"/>
                <w:szCs w:val="20"/>
                <w:color w:val="auto"/>
              </w:rPr>
            </w:pPr>
            <w:r>
              <w:rPr>
                <w:rFonts w:ascii="Times New Roman" w:cs="Times New Roman" w:eastAsia="Times New Roman" w:hAnsi="Times New Roman"/>
                <w:sz w:val="18"/>
                <w:szCs w:val="18"/>
                <w:color w:val="auto"/>
                <w:w w:val="99"/>
              </w:rPr>
              <w:t>100%</w:t>
            </w:r>
          </w:p>
        </w:tc>
        <w:tc>
          <w:tcPr>
            <w:tcW w:w="1260" w:type="dxa"/>
            <w:vAlign w:val="bottom"/>
          </w:tcPr>
          <w:p>
            <w:pPr>
              <w:jc w:val="center"/>
              <w:ind w:left="152"/>
              <w:spacing w:after="0"/>
              <w:rPr>
                <w:sz w:val="20"/>
                <w:szCs w:val="20"/>
                <w:color w:val="auto"/>
              </w:rPr>
            </w:pPr>
            <w:r>
              <w:rPr>
                <w:rFonts w:ascii="Times New Roman" w:cs="Times New Roman" w:eastAsia="Times New Roman" w:hAnsi="Times New Roman"/>
                <w:sz w:val="18"/>
                <w:szCs w:val="18"/>
                <w:color w:val="auto"/>
                <w:w w:val="99"/>
              </w:rPr>
              <w:t>100%</w:t>
            </w:r>
          </w:p>
        </w:tc>
        <w:tc>
          <w:tcPr>
            <w:tcW w:w="4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&lt;--100% is the target for performance</w:t>
            </w:r>
          </w:p>
        </w:tc>
      </w:tr>
      <w:tr>
        <w:trPr>
          <w:trHeight w:val="216"/>
        </w:trPr>
        <w:tc>
          <w:tcPr>
            <w:tcW w:w="6100" w:type="dxa"/>
            <w:vAlign w:val="bottom"/>
            <w:shd w:val="clear" w:color="auto" w:fill="CCEEFF"/>
          </w:tcPr>
          <w:p>
            <w:pPr>
              <w:jc w:val="center"/>
              <w:ind w:left="3952"/>
              <w:spacing w:after="0"/>
              <w:rPr>
                <w:sz w:val="20"/>
                <w:szCs w:val="20"/>
                <w:color w:val="auto"/>
              </w:rPr>
            </w:pPr>
            <w:r>
              <w:rPr>
                <w:rFonts w:ascii="Times New Roman" w:cs="Times New Roman" w:eastAsia="Times New Roman" w:hAnsi="Times New Roman"/>
                <w:sz w:val="18"/>
                <w:szCs w:val="18"/>
                <w:color w:val="auto"/>
                <w:w w:val="99"/>
              </w:rPr>
              <w:t>101%</w:t>
            </w:r>
          </w:p>
        </w:tc>
        <w:tc>
          <w:tcPr>
            <w:tcW w:w="1260" w:type="dxa"/>
            <w:vAlign w:val="bottom"/>
            <w:shd w:val="clear" w:color="auto" w:fill="CCEEFF"/>
          </w:tcPr>
          <w:p>
            <w:pPr>
              <w:jc w:val="center"/>
              <w:ind w:left="152"/>
              <w:spacing w:after="0"/>
              <w:rPr>
                <w:sz w:val="20"/>
                <w:szCs w:val="20"/>
                <w:color w:val="auto"/>
              </w:rPr>
            </w:pPr>
            <w:r>
              <w:rPr>
                <w:rFonts w:ascii="Times New Roman" w:cs="Times New Roman" w:eastAsia="Times New Roman" w:hAnsi="Times New Roman"/>
                <w:sz w:val="18"/>
                <w:szCs w:val="18"/>
                <w:color w:val="auto"/>
                <w:w w:val="97"/>
              </w:rPr>
              <w:t>102.5%</w:t>
            </w:r>
          </w:p>
        </w:tc>
        <w:tc>
          <w:tcPr>
            <w:tcW w:w="4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achievements to receive 100% payout.</w:t>
            </w:r>
          </w:p>
        </w:tc>
      </w:tr>
      <w:tr>
        <w:trPr>
          <w:trHeight w:val="216"/>
        </w:trPr>
        <w:tc>
          <w:tcPr>
            <w:tcW w:w="6100" w:type="dxa"/>
            <w:vAlign w:val="bottom"/>
          </w:tcPr>
          <w:p>
            <w:pPr>
              <w:jc w:val="center"/>
              <w:ind w:left="3952"/>
              <w:spacing w:after="0"/>
              <w:rPr>
                <w:sz w:val="20"/>
                <w:szCs w:val="20"/>
                <w:color w:val="auto"/>
              </w:rPr>
            </w:pPr>
            <w:r>
              <w:rPr>
                <w:rFonts w:ascii="Times New Roman" w:cs="Times New Roman" w:eastAsia="Times New Roman" w:hAnsi="Times New Roman"/>
                <w:sz w:val="18"/>
                <w:szCs w:val="18"/>
                <w:color w:val="auto"/>
                <w:w w:val="99"/>
              </w:rPr>
              <w:t>102%</w:t>
            </w:r>
          </w:p>
        </w:tc>
        <w:tc>
          <w:tcPr>
            <w:tcW w:w="1260" w:type="dxa"/>
            <w:vAlign w:val="bottom"/>
          </w:tcPr>
          <w:p>
            <w:pPr>
              <w:jc w:val="center"/>
              <w:ind w:left="152"/>
              <w:spacing w:after="0"/>
              <w:rPr>
                <w:sz w:val="20"/>
                <w:szCs w:val="20"/>
                <w:color w:val="auto"/>
              </w:rPr>
            </w:pPr>
            <w:r>
              <w:rPr>
                <w:rFonts w:ascii="Times New Roman" w:cs="Times New Roman" w:eastAsia="Times New Roman" w:hAnsi="Times New Roman"/>
                <w:sz w:val="18"/>
                <w:szCs w:val="18"/>
                <w:color w:val="auto"/>
                <w:w w:val="97"/>
              </w:rPr>
              <w:t>105.0%</w:t>
            </w:r>
          </w:p>
        </w:tc>
        <w:tc>
          <w:tcPr>
            <w:tcW w:w="4060" w:type="dxa"/>
            <w:vAlign w:val="bottom"/>
          </w:tcPr>
          <w:p>
            <w:pPr>
              <w:spacing w:after="0"/>
              <w:rPr>
                <w:sz w:val="18"/>
                <w:szCs w:val="18"/>
                <w:color w:val="auto"/>
              </w:rPr>
            </w:pPr>
          </w:p>
        </w:tc>
      </w:tr>
      <w:tr>
        <w:trPr>
          <w:trHeight w:val="216"/>
        </w:trPr>
        <w:tc>
          <w:tcPr>
            <w:tcW w:w="6100" w:type="dxa"/>
            <w:vAlign w:val="bottom"/>
            <w:shd w:val="clear" w:color="auto" w:fill="CCEEFF"/>
          </w:tcPr>
          <w:p>
            <w:pPr>
              <w:jc w:val="center"/>
              <w:ind w:left="3952"/>
              <w:spacing w:after="0"/>
              <w:rPr>
                <w:sz w:val="20"/>
                <w:szCs w:val="20"/>
                <w:color w:val="auto"/>
              </w:rPr>
            </w:pPr>
            <w:r>
              <w:rPr>
                <w:rFonts w:ascii="Times New Roman" w:cs="Times New Roman" w:eastAsia="Times New Roman" w:hAnsi="Times New Roman"/>
                <w:sz w:val="18"/>
                <w:szCs w:val="18"/>
                <w:color w:val="auto"/>
                <w:w w:val="99"/>
              </w:rPr>
              <w:t>103%</w:t>
            </w:r>
          </w:p>
        </w:tc>
        <w:tc>
          <w:tcPr>
            <w:tcW w:w="1260" w:type="dxa"/>
            <w:vAlign w:val="bottom"/>
            <w:shd w:val="clear" w:color="auto" w:fill="CCEEFF"/>
          </w:tcPr>
          <w:p>
            <w:pPr>
              <w:jc w:val="center"/>
              <w:ind w:left="152"/>
              <w:spacing w:after="0"/>
              <w:rPr>
                <w:sz w:val="20"/>
                <w:szCs w:val="20"/>
                <w:color w:val="auto"/>
              </w:rPr>
            </w:pPr>
            <w:r>
              <w:rPr>
                <w:rFonts w:ascii="Times New Roman" w:cs="Times New Roman" w:eastAsia="Times New Roman" w:hAnsi="Times New Roman"/>
                <w:sz w:val="18"/>
                <w:szCs w:val="18"/>
                <w:color w:val="auto"/>
                <w:w w:val="97"/>
              </w:rPr>
              <w:t>107.5%</w:t>
            </w:r>
          </w:p>
        </w:tc>
        <w:tc>
          <w:tcPr>
            <w:tcW w:w="4060" w:type="dxa"/>
            <w:vAlign w:val="bottom"/>
            <w:shd w:val="clear" w:color="auto" w:fill="CCEEFF"/>
          </w:tcPr>
          <w:p>
            <w:pPr>
              <w:spacing w:after="0"/>
              <w:rPr>
                <w:sz w:val="18"/>
                <w:szCs w:val="18"/>
                <w:color w:val="auto"/>
              </w:rPr>
            </w:pPr>
          </w:p>
        </w:tc>
      </w:tr>
      <w:tr>
        <w:trPr>
          <w:trHeight w:val="216"/>
        </w:trPr>
        <w:tc>
          <w:tcPr>
            <w:tcW w:w="6100" w:type="dxa"/>
            <w:vAlign w:val="bottom"/>
          </w:tcPr>
          <w:p>
            <w:pPr>
              <w:jc w:val="center"/>
              <w:ind w:left="3952"/>
              <w:spacing w:after="0"/>
              <w:rPr>
                <w:sz w:val="20"/>
                <w:szCs w:val="20"/>
                <w:color w:val="auto"/>
              </w:rPr>
            </w:pPr>
            <w:r>
              <w:rPr>
                <w:rFonts w:ascii="Times New Roman" w:cs="Times New Roman" w:eastAsia="Times New Roman" w:hAnsi="Times New Roman"/>
                <w:sz w:val="18"/>
                <w:szCs w:val="18"/>
                <w:color w:val="auto"/>
                <w:w w:val="99"/>
              </w:rPr>
              <w:t>104%</w:t>
            </w:r>
          </w:p>
        </w:tc>
        <w:tc>
          <w:tcPr>
            <w:tcW w:w="1260" w:type="dxa"/>
            <w:vAlign w:val="bottom"/>
          </w:tcPr>
          <w:p>
            <w:pPr>
              <w:jc w:val="center"/>
              <w:ind w:left="152"/>
              <w:spacing w:after="0"/>
              <w:rPr>
                <w:sz w:val="20"/>
                <w:szCs w:val="20"/>
                <w:color w:val="auto"/>
              </w:rPr>
            </w:pPr>
            <w:r>
              <w:rPr>
                <w:rFonts w:ascii="Times New Roman" w:cs="Times New Roman" w:eastAsia="Times New Roman" w:hAnsi="Times New Roman"/>
                <w:sz w:val="18"/>
                <w:szCs w:val="18"/>
                <w:color w:val="auto"/>
                <w:w w:val="97"/>
              </w:rPr>
              <w:t>110.0%</w:t>
            </w:r>
          </w:p>
        </w:tc>
        <w:tc>
          <w:tcPr>
            <w:tcW w:w="4060" w:type="dxa"/>
            <w:vAlign w:val="bottom"/>
          </w:tcPr>
          <w:p>
            <w:pPr>
              <w:spacing w:after="0"/>
              <w:rPr>
                <w:sz w:val="18"/>
                <w:szCs w:val="18"/>
                <w:color w:val="auto"/>
              </w:rPr>
            </w:pPr>
          </w:p>
        </w:tc>
      </w:tr>
      <w:tr>
        <w:trPr>
          <w:trHeight w:val="216"/>
        </w:trPr>
        <w:tc>
          <w:tcPr>
            <w:tcW w:w="6100" w:type="dxa"/>
            <w:vAlign w:val="bottom"/>
            <w:shd w:val="clear" w:color="auto" w:fill="CCEEFF"/>
          </w:tcPr>
          <w:p>
            <w:pPr>
              <w:jc w:val="center"/>
              <w:ind w:left="3952"/>
              <w:spacing w:after="0"/>
              <w:rPr>
                <w:sz w:val="20"/>
                <w:szCs w:val="20"/>
                <w:color w:val="auto"/>
              </w:rPr>
            </w:pPr>
            <w:r>
              <w:rPr>
                <w:rFonts w:ascii="Times New Roman" w:cs="Times New Roman" w:eastAsia="Times New Roman" w:hAnsi="Times New Roman"/>
                <w:sz w:val="18"/>
                <w:szCs w:val="18"/>
                <w:color w:val="auto"/>
                <w:w w:val="99"/>
              </w:rPr>
              <w:t>105%</w:t>
            </w:r>
          </w:p>
        </w:tc>
        <w:tc>
          <w:tcPr>
            <w:tcW w:w="1260" w:type="dxa"/>
            <w:vAlign w:val="bottom"/>
            <w:shd w:val="clear" w:color="auto" w:fill="CCEEFF"/>
          </w:tcPr>
          <w:p>
            <w:pPr>
              <w:jc w:val="center"/>
              <w:ind w:left="152"/>
              <w:spacing w:after="0"/>
              <w:rPr>
                <w:sz w:val="20"/>
                <w:szCs w:val="20"/>
                <w:color w:val="auto"/>
              </w:rPr>
            </w:pPr>
            <w:r>
              <w:rPr>
                <w:rFonts w:ascii="Times New Roman" w:cs="Times New Roman" w:eastAsia="Times New Roman" w:hAnsi="Times New Roman"/>
                <w:sz w:val="18"/>
                <w:szCs w:val="18"/>
                <w:color w:val="auto"/>
                <w:w w:val="97"/>
              </w:rPr>
              <w:t>112.5%</w:t>
            </w:r>
          </w:p>
        </w:tc>
        <w:tc>
          <w:tcPr>
            <w:tcW w:w="4060" w:type="dxa"/>
            <w:vAlign w:val="bottom"/>
            <w:shd w:val="clear" w:color="auto" w:fill="CCEEFF"/>
          </w:tcPr>
          <w:p>
            <w:pPr>
              <w:spacing w:after="0"/>
              <w:rPr>
                <w:sz w:val="18"/>
                <w:szCs w:val="18"/>
                <w:color w:val="auto"/>
              </w:rPr>
            </w:pPr>
          </w:p>
        </w:tc>
      </w:tr>
      <w:tr>
        <w:trPr>
          <w:trHeight w:val="216"/>
        </w:trPr>
        <w:tc>
          <w:tcPr>
            <w:tcW w:w="6100" w:type="dxa"/>
            <w:vAlign w:val="bottom"/>
          </w:tcPr>
          <w:p>
            <w:pPr>
              <w:jc w:val="center"/>
              <w:ind w:left="3952"/>
              <w:spacing w:after="0"/>
              <w:rPr>
                <w:sz w:val="20"/>
                <w:szCs w:val="20"/>
                <w:color w:val="auto"/>
              </w:rPr>
            </w:pPr>
            <w:r>
              <w:rPr>
                <w:rFonts w:ascii="Times New Roman" w:cs="Times New Roman" w:eastAsia="Times New Roman" w:hAnsi="Times New Roman"/>
                <w:sz w:val="18"/>
                <w:szCs w:val="18"/>
                <w:color w:val="auto"/>
                <w:w w:val="99"/>
              </w:rPr>
              <w:t>106%</w:t>
            </w:r>
          </w:p>
        </w:tc>
        <w:tc>
          <w:tcPr>
            <w:tcW w:w="1260" w:type="dxa"/>
            <w:vAlign w:val="bottom"/>
          </w:tcPr>
          <w:p>
            <w:pPr>
              <w:jc w:val="center"/>
              <w:ind w:left="152"/>
              <w:spacing w:after="0"/>
              <w:rPr>
                <w:sz w:val="20"/>
                <w:szCs w:val="20"/>
                <w:color w:val="auto"/>
              </w:rPr>
            </w:pPr>
            <w:r>
              <w:rPr>
                <w:rFonts w:ascii="Times New Roman" w:cs="Times New Roman" w:eastAsia="Times New Roman" w:hAnsi="Times New Roman"/>
                <w:sz w:val="18"/>
                <w:szCs w:val="18"/>
                <w:color w:val="auto"/>
                <w:w w:val="97"/>
              </w:rPr>
              <w:t>115.0%</w:t>
            </w:r>
          </w:p>
        </w:tc>
        <w:tc>
          <w:tcPr>
            <w:tcW w:w="4060" w:type="dxa"/>
            <w:vAlign w:val="bottom"/>
          </w:tcPr>
          <w:p>
            <w:pPr>
              <w:spacing w:after="0"/>
              <w:rPr>
                <w:sz w:val="18"/>
                <w:szCs w:val="18"/>
                <w:color w:val="auto"/>
              </w:rPr>
            </w:pPr>
          </w:p>
        </w:tc>
      </w:tr>
      <w:tr>
        <w:trPr>
          <w:trHeight w:val="216"/>
        </w:trPr>
        <w:tc>
          <w:tcPr>
            <w:tcW w:w="6100" w:type="dxa"/>
            <w:vAlign w:val="bottom"/>
            <w:shd w:val="clear" w:color="auto" w:fill="CCEEFF"/>
          </w:tcPr>
          <w:p>
            <w:pPr>
              <w:jc w:val="center"/>
              <w:ind w:left="3952"/>
              <w:spacing w:after="0"/>
              <w:rPr>
                <w:sz w:val="20"/>
                <w:szCs w:val="20"/>
                <w:color w:val="auto"/>
              </w:rPr>
            </w:pPr>
            <w:r>
              <w:rPr>
                <w:rFonts w:ascii="Times New Roman" w:cs="Times New Roman" w:eastAsia="Times New Roman" w:hAnsi="Times New Roman"/>
                <w:sz w:val="18"/>
                <w:szCs w:val="18"/>
                <w:color w:val="auto"/>
                <w:w w:val="99"/>
              </w:rPr>
              <w:t>107%</w:t>
            </w:r>
          </w:p>
        </w:tc>
        <w:tc>
          <w:tcPr>
            <w:tcW w:w="1260" w:type="dxa"/>
            <w:vAlign w:val="bottom"/>
            <w:shd w:val="clear" w:color="auto" w:fill="CCEEFF"/>
          </w:tcPr>
          <w:p>
            <w:pPr>
              <w:jc w:val="center"/>
              <w:ind w:left="152"/>
              <w:spacing w:after="0"/>
              <w:rPr>
                <w:sz w:val="20"/>
                <w:szCs w:val="20"/>
                <w:color w:val="auto"/>
              </w:rPr>
            </w:pPr>
            <w:r>
              <w:rPr>
                <w:rFonts w:ascii="Times New Roman" w:cs="Times New Roman" w:eastAsia="Times New Roman" w:hAnsi="Times New Roman"/>
                <w:sz w:val="18"/>
                <w:szCs w:val="18"/>
                <w:color w:val="auto"/>
                <w:w w:val="97"/>
              </w:rPr>
              <w:t>117.5%</w:t>
            </w:r>
          </w:p>
        </w:tc>
        <w:tc>
          <w:tcPr>
            <w:tcW w:w="4060" w:type="dxa"/>
            <w:vAlign w:val="bottom"/>
            <w:shd w:val="clear" w:color="auto" w:fill="CCEEFF"/>
          </w:tcPr>
          <w:p>
            <w:pPr>
              <w:spacing w:after="0"/>
              <w:rPr>
                <w:sz w:val="18"/>
                <w:szCs w:val="18"/>
                <w:color w:val="auto"/>
              </w:rPr>
            </w:pPr>
          </w:p>
        </w:tc>
      </w:tr>
      <w:tr>
        <w:trPr>
          <w:trHeight w:val="216"/>
        </w:trPr>
        <w:tc>
          <w:tcPr>
            <w:tcW w:w="6100" w:type="dxa"/>
            <w:vAlign w:val="bottom"/>
          </w:tcPr>
          <w:p>
            <w:pPr>
              <w:jc w:val="center"/>
              <w:ind w:left="3952"/>
              <w:spacing w:after="0"/>
              <w:rPr>
                <w:sz w:val="20"/>
                <w:szCs w:val="20"/>
                <w:color w:val="auto"/>
              </w:rPr>
            </w:pPr>
            <w:r>
              <w:rPr>
                <w:rFonts w:ascii="Times New Roman" w:cs="Times New Roman" w:eastAsia="Times New Roman" w:hAnsi="Times New Roman"/>
                <w:sz w:val="18"/>
                <w:szCs w:val="18"/>
                <w:color w:val="auto"/>
                <w:w w:val="99"/>
              </w:rPr>
              <w:t>108%</w:t>
            </w:r>
          </w:p>
        </w:tc>
        <w:tc>
          <w:tcPr>
            <w:tcW w:w="1260" w:type="dxa"/>
            <w:vAlign w:val="bottom"/>
          </w:tcPr>
          <w:p>
            <w:pPr>
              <w:jc w:val="center"/>
              <w:ind w:left="152"/>
              <w:spacing w:after="0"/>
              <w:rPr>
                <w:sz w:val="20"/>
                <w:szCs w:val="20"/>
                <w:color w:val="auto"/>
              </w:rPr>
            </w:pPr>
            <w:r>
              <w:rPr>
                <w:rFonts w:ascii="Times New Roman" w:cs="Times New Roman" w:eastAsia="Times New Roman" w:hAnsi="Times New Roman"/>
                <w:sz w:val="18"/>
                <w:szCs w:val="18"/>
                <w:color w:val="auto"/>
                <w:w w:val="97"/>
              </w:rPr>
              <w:t>120.0%</w:t>
            </w:r>
          </w:p>
        </w:tc>
        <w:tc>
          <w:tcPr>
            <w:tcW w:w="4060" w:type="dxa"/>
            <w:vAlign w:val="bottom"/>
          </w:tcPr>
          <w:p>
            <w:pPr>
              <w:spacing w:after="0"/>
              <w:rPr>
                <w:sz w:val="18"/>
                <w:szCs w:val="18"/>
                <w:color w:val="auto"/>
              </w:rPr>
            </w:pPr>
          </w:p>
        </w:tc>
      </w:tr>
      <w:tr>
        <w:trPr>
          <w:trHeight w:val="216"/>
        </w:trPr>
        <w:tc>
          <w:tcPr>
            <w:tcW w:w="6100" w:type="dxa"/>
            <w:vAlign w:val="bottom"/>
            <w:shd w:val="clear" w:color="auto" w:fill="CCEEFF"/>
          </w:tcPr>
          <w:p>
            <w:pPr>
              <w:jc w:val="center"/>
              <w:ind w:left="3952"/>
              <w:spacing w:after="0"/>
              <w:rPr>
                <w:sz w:val="20"/>
                <w:szCs w:val="20"/>
                <w:color w:val="auto"/>
              </w:rPr>
            </w:pPr>
            <w:r>
              <w:rPr>
                <w:rFonts w:ascii="Times New Roman" w:cs="Times New Roman" w:eastAsia="Times New Roman" w:hAnsi="Times New Roman"/>
                <w:sz w:val="18"/>
                <w:szCs w:val="18"/>
                <w:color w:val="auto"/>
                <w:w w:val="99"/>
              </w:rPr>
              <w:t>109%</w:t>
            </w:r>
          </w:p>
        </w:tc>
        <w:tc>
          <w:tcPr>
            <w:tcW w:w="1260" w:type="dxa"/>
            <w:vAlign w:val="bottom"/>
            <w:shd w:val="clear" w:color="auto" w:fill="CCEEFF"/>
          </w:tcPr>
          <w:p>
            <w:pPr>
              <w:jc w:val="center"/>
              <w:ind w:left="152"/>
              <w:spacing w:after="0"/>
              <w:rPr>
                <w:sz w:val="20"/>
                <w:szCs w:val="20"/>
                <w:color w:val="auto"/>
              </w:rPr>
            </w:pPr>
            <w:r>
              <w:rPr>
                <w:rFonts w:ascii="Times New Roman" w:cs="Times New Roman" w:eastAsia="Times New Roman" w:hAnsi="Times New Roman"/>
                <w:sz w:val="18"/>
                <w:szCs w:val="18"/>
                <w:color w:val="auto"/>
                <w:w w:val="97"/>
              </w:rPr>
              <w:t>122.5%</w:t>
            </w:r>
          </w:p>
        </w:tc>
        <w:tc>
          <w:tcPr>
            <w:tcW w:w="4060" w:type="dxa"/>
            <w:vAlign w:val="bottom"/>
            <w:shd w:val="clear" w:color="auto" w:fill="CCEEFF"/>
          </w:tcPr>
          <w:p>
            <w:pPr>
              <w:spacing w:after="0"/>
              <w:rPr>
                <w:sz w:val="18"/>
                <w:szCs w:val="18"/>
                <w:color w:val="auto"/>
              </w:rPr>
            </w:pPr>
          </w:p>
        </w:tc>
      </w:tr>
      <w:tr>
        <w:trPr>
          <w:trHeight w:val="216"/>
        </w:trPr>
        <w:tc>
          <w:tcPr>
            <w:tcW w:w="6100" w:type="dxa"/>
            <w:vAlign w:val="bottom"/>
          </w:tcPr>
          <w:p>
            <w:pPr>
              <w:jc w:val="center"/>
              <w:ind w:left="3972"/>
              <w:spacing w:after="0"/>
              <w:rPr>
                <w:sz w:val="20"/>
                <w:szCs w:val="20"/>
                <w:color w:val="auto"/>
              </w:rPr>
            </w:pPr>
            <w:r>
              <w:rPr>
                <w:rFonts w:ascii="Times New Roman" w:cs="Times New Roman" w:eastAsia="Times New Roman" w:hAnsi="Times New Roman"/>
                <w:sz w:val="18"/>
                <w:szCs w:val="18"/>
                <w:color w:val="auto"/>
                <w:w w:val="95"/>
              </w:rPr>
              <w:t>110%</w:t>
            </w:r>
          </w:p>
        </w:tc>
        <w:tc>
          <w:tcPr>
            <w:tcW w:w="1260" w:type="dxa"/>
            <w:vAlign w:val="bottom"/>
          </w:tcPr>
          <w:p>
            <w:pPr>
              <w:jc w:val="center"/>
              <w:ind w:left="152"/>
              <w:spacing w:after="0"/>
              <w:rPr>
                <w:sz w:val="20"/>
                <w:szCs w:val="20"/>
                <w:color w:val="auto"/>
              </w:rPr>
            </w:pPr>
            <w:r>
              <w:rPr>
                <w:rFonts w:ascii="Times New Roman" w:cs="Times New Roman" w:eastAsia="Times New Roman" w:hAnsi="Times New Roman"/>
                <w:sz w:val="18"/>
                <w:szCs w:val="18"/>
                <w:color w:val="auto"/>
                <w:w w:val="97"/>
              </w:rPr>
              <w:t>125.0%</w:t>
            </w:r>
          </w:p>
        </w:tc>
        <w:tc>
          <w:tcPr>
            <w:tcW w:w="4060" w:type="dxa"/>
            <w:vAlign w:val="bottom"/>
          </w:tcPr>
          <w:p>
            <w:pPr>
              <w:spacing w:after="0"/>
              <w:rPr>
                <w:sz w:val="18"/>
                <w:szCs w:val="18"/>
                <w:color w:val="auto"/>
              </w:rPr>
            </w:pPr>
          </w:p>
        </w:tc>
      </w:tr>
      <w:tr>
        <w:trPr>
          <w:trHeight w:val="216"/>
        </w:trPr>
        <w:tc>
          <w:tcPr>
            <w:tcW w:w="6100" w:type="dxa"/>
            <w:vAlign w:val="bottom"/>
            <w:shd w:val="clear" w:color="auto" w:fill="CCEEFF"/>
          </w:tcPr>
          <w:p>
            <w:pPr>
              <w:jc w:val="center"/>
              <w:ind w:left="3972"/>
              <w:spacing w:after="0"/>
              <w:rPr>
                <w:sz w:val="20"/>
                <w:szCs w:val="20"/>
                <w:color w:val="auto"/>
              </w:rPr>
            </w:pPr>
            <w:r>
              <w:rPr>
                <w:rFonts w:ascii="Times New Roman" w:cs="Times New Roman" w:eastAsia="Times New Roman" w:hAnsi="Times New Roman"/>
                <w:sz w:val="18"/>
                <w:szCs w:val="18"/>
                <w:color w:val="auto"/>
                <w:w w:val="95"/>
              </w:rPr>
              <w:t>111%</w:t>
            </w:r>
          </w:p>
        </w:tc>
        <w:tc>
          <w:tcPr>
            <w:tcW w:w="1260" w:type="dxa"/>
            <w:vAlign w:val="bottom"/>
            <w:shd w:val="clear" w:color="auto" w:fill="CCEEFF"/>
          </w:tcPr>
          <w:p>
            <w:pPr>
              <w:jc w:val="center"/>
              <w:ind w:left="152"/>
              <w:spacing w:after="0"/>
              <w:rPr>
                <w:sz w:val="20"/>
                <w:szCs w:val="20"/>
                <w:color w:val="auto"/>
              </w:rPr>
            </w:pPr>
            <w:r>
              <w:rPr>
                <w:rFonts w:ascii="Times New Roman" w:cs="Times New Roman" w:eastAsia="Times New Roman" w:hAnsi="Times New Roman"/>
                <w:sz w:val="18"/>
                <w:szCs w:val="18"/>
                <w:color w:val="auto"/>
                <w:w w:val="97"/>
              </w:rPr>
              <w:t>127.5%</w:t>
            </w:r>
          </w:p>
        </w:tc>
        <w:tc>
          <w:tcPr>
            <w:tcW w:w="4060" w:type="dxa"/>
            <w:vAlign w:val="bottom"/>
            <w:shd w:val="clear" w:color="auto" w:fill="CCEEFF"/>
          </w:tcPr>
          <w:p>
            <w:pPr>
              <w:spacing w:after="0"/>
              <w:rPr>
                <w:sz w:val="18"/>
                <w:szCs w:val="18"/>
                <w:color w:val="auto"/>
              </w:rPr>
            </w:pPr>
          </w:p>
        </w:tc>
      </w:tr>
      <w:tr>
        <w:trPr>
          <w:trHeight w:val="216"/>
        </w:trPr>
        <w:tc>
          <w:tcPr>
            <w:tcW w:w="6100" w:type="dxa"/>
            <w:vAlign w:val="bottom"/>
          </w:tcPr>
          <w:p>
            <w:pPr>
              <w:jc w:val="center"/>
              <w:ind w:left="3972"/>
              <w:spacing w:after="0"/>
              <w:rPr>
                <w:sz w:val="20"/>
                <w:szCs w:val="20"/>
                <w:color w:val="auto"/>
              </w:rPr>
            </w:pPr>
            <w:r>
              <w:rPr>
                <w:rFonts w:ascii="Times New Roman" w:cs="Times New Roman" w:eastAsia="Times New Roman" w:hAnsi="Times New Roman"/>
                <w:sz w:val="18"/>
                <w:szCs w:val="18"/>
                <w:color w:val="auto"/>
                <w:w w:val="95"/>
              </w:rPr>
              <w:t>112%</w:t>
            </w:r>
          </w:p>
        </w:tc>
        <w:tc>
          <w:tcPr>
            <w:tcW w:w="1260" w:type="dxa"/>
            <w:vAlign w:val="bottom"/>
          </w:tcPr>
          <w:p>
            <w:pPr>
              <w:jc w:val="center"/>
              <w:ind w:left="152"/>
              <w:spacing w:after="0"/>
              <w:rPr>
                <w:sz w:val="20"/>
                <w:szCs w:val="20"/>
                <w:color w:val="auto"/>
              </w:rPr>
            </w:pPr>
            <w:r>
              <w:rPr>
                <w:rFonts w:ascii="Times New Roman" w:cs="Times New Roman" w:eastAsia="Times New Roman" w:hAnsi="Times New Roman"/>
                <w:sz w:val="18"/>
                <w:szCs w:val="18"/>
                <w:color w:val="auto"/>
                <w:w w:val="97"/>
              </w:rPr>
              <w:t>130.0%</w:t>
            </w:r>
          </w:p>
        </w:tc>
        <w:tc>
          <w:tcPr>
            <w:tcW w:w="4060" w:type="dxa"/>
            <w:vAlign w:val="bottom"/>
          </w:tcPr>
          <w:p>
            <w:pPr>
              <w:spacing w:after="0"/>
              <w:rPr>
                <w:sz w:val="18"/>
                <w:szCs w:val="18"/>
                <w:color w:val="auto"/>
              </w:rPr>
            </w:pPr>
          </w:p>
        </w:tc>
      </w:tr>
      <w:tr>
        <w:trPr>
          <w:trHeight w:val="216"/>
        </w:trPr>
        <w:tc>
          <w:tcPr>
            <w:tcW w:w="6100" w:type="dxa"/>
            <w:vAlign w:val="bottom"/>
            <w:shd w:val="clear" w:color="auto" w:fill="CCEEFF"/>
          </w:tcPr>
          <w:p>
            <w:pPr>
              <w:jc w:val="center"/>
              <w:ind w:left="3972"/>
              <w:spacing w:after="0"/>
              <w:rPr>
                <w:sz w:val="20"/>
                <w:szCs w:val="20"/>
                <w:color w:val="auto"/>
              </w:rPr>
            </w:pPr>
            <w:r>
              <w:rPr>
                <w:rFonts w:ascii="Times New Roman" w:cs="Times New Roman" w:eastAsia="Times New Roman" w:hAnsi="Times New Roman"/>
                <w:sz w:val="18"/>
                <w:szCs w:val="18"/>
                <w:color w:val="auto"/>
                <w:w w:val="95"/>
              </w:rPr>
              <w:t>113%</w:t>
            </w:r>
          </w:p>
        </w:tc>
        <w:tc>
          <w:tcPr>
            <w:tcW w:w="1260" w:type="dxa"/>
            <w:vAlign w:val="bottom"/>
            <w:shd w:val="clear" w:color="auto" w:fill="CCEEFF"/>
          </w:tcPr>
          <w:p>
            <w:pPr>
              <w:jc w:val="center"/>
              <w:ind w:left="152"/>
              <w:spacing w:after="0"/>
              <w:rPr>
                <w:sz w:val="20"/>
                <w:szCs w:val="20"/>
                <w:color w:val="auto"/>
              </w:rPr>
            </w:pPr>
            <w:r>
              <w:rPr>
                <w:rFonts w:ascii="Times New Roman" w:cs="Times New Roman" w:eastAsia="Times New Roman" w:hAnsi="Times New Roman"/>
                <w:sz w:val="18"/>
                <w:szCs w:val="18"/>
                <w:color w:val="auto"/>
                <w:w w:val="97"/>
              </w:rPr>
              <w:t>132.5%</w:t>
            </w:r>
          </w:p>
        </w:tc>
        <w:tc>
          <w:tcPr>
            <w:tcW w:w="4060" w:type="dxa"/>
            <w:vAlign w:val="bottom"/>
            <w:shd w:val="clear" w:color="auto" w:fill="CCEEFF"/>
          </w:tcPr>
          <w:p>
            <w:pPr>
              <w:spacing w:after="0"/>
              <w:rPr>
                <w:sz w:val="18"/>
                <w:szCs w:val="18"/>
                <w:color w:val="auto"/>
              </w:rPr>
            </w:pPr>
          </w:p>
        </w:tc>
      </w:tr>
      <w:tr>
        <w:trPr>
          <w:trHeight w:val="216"/>
        </w:trPr>
        <w:tc>
          <w:tcPr>
            <w:tcW w:w="6100" w:type="dxa"/>
            <w:vAlign w:val="bottom"/>
          </w:tcPr>
          <w:p>
            <w:pPr>
              <w:jc w:val="center"/>
              <w:ind w:left="3972"/>
              <w:spacing w:after="0"/>
              <w:rPr>
                <w:sz w:val="20"/>
                <w:szCs w:val="20"/>
                <w:color w:val="auto"/>
              </w:rPr>
            </w:pPr>
            <w:r>
              <w:rPr>
                <w:rFonts w:ascii="Times New Roman" w:cs="Times New Roman" w:eastAsia="Times New Roman" w:hAnsi="Times New Roman"/>
                <w:sz w:val="18"/>
                <w:szCs w:val="18"/>
                <w:color w:val="auto"/>
                <w:w w:val="95"/>
              </w:rPr>
              <w:t>114%</w:t>
            </w:r>
          </w:p>
        </w:tc>
        <w:tc>
          <w:tcPr>
            <w:tcW w:w="1260" w:type="dxa"/>
            <w:vAlign w:val="bottom"/>
          </w:tcPr>
          <w:p>
            <w:pPr>
              <w:jc w:val="center"/>
              <w:ind w:left="152"/>
              <w:spacing w:after="0"/>
              <w:rPr>
                <w:sz w:val="20"/>
                <w:szCs w:val="20"/>
                <w:color w:val="auto"/>
              </w:rPr>
            </w:pPr>
            <w:r>
              <w:rPr>
                <w:rFonts w:ascii="Times New Roman" w:cs="Times New Roman" w:eastAsia="Times New Roman" w:hAnsi="Times New Roman"/>
                <w:sz w:val="18"/>
                <w:szCs w:val="18"/>
                <w:color w:val="auto"/>
                <w:w w:val="97"/>
              </w:rPr>
              <w:t>135.0%</w:t>
            </w:r>
          </w:p>
        </w:tc>
        <w:tc>
          <w:tcPr>
            <w:tcW w:w="4060" w:type="dxa"/>
            <w:vAlign w:val="bottom"/>
          </w:tcPr>
          <w:p>
            <w:pPr>
              <w:spacing w:after="0"/>
              <w:rPr>
                <w:sz w:val="18"/>
                <w:szCs w:val="18"/>
                <w:color w:val="auto"/>
              </w:rPr>
            </w:pPr>
          </w:p>
        </w:tc>
      </w:tr>
      <w:tr>
        <w:trPr>
          <w:trHeight w:val="216"/>
        </w:trPr>
        <w:tc>
          <w:tcPr>
            <w:tcW w:w="6100" w:type="dxa"/>
            <w:vAlign w:val="bottom"/>
            <w:shd w:val="clear" w:color="auto" w:fill="CCEEFF"/>
          </w:tcPr>
          <w:p>
            <w:pPr>
              <w:jc w:val="center"/>
              <w:ind w:left="3972"/>
              <w:spacing w:after="0"/>
              <w:rPr>
                <w:sz w:val="20"/>
                <w:szCs w:val="20"/>
                <w:color w:val="auto"/>
              </w:rPr>
            </w:pPr>
            <w:r>
              <w:rPr>
                <w:rFonts w:ascii="Times New Roman" w:cs="Times New Roman" w:eastAsia="Times New Roman" w:hAnsi="Times New Roman"/>
                <w:sz w:val="18"/>
                <w:szCs w:val="18"/>
                <w:color w:val="auto"/>
                <w:w w:val="95"/>
              </w:rPr>
              <w:t>115%</w:t>
            </w:r>
          </w:p>
        </w:tc>
        <w:tc>
          <w:tcPr>
            <w:tcW w:w="1260" w:type="dxa"/>
            <w:vAlign w:val="bottom"/>
            <w:shd w:val="clear" w:color="auto" w:fill="CCEEFF"/>
          </w:tcPr>
          <w:p>
            <w:pPr>
              <w:jc w:val="center"/>
              <w:ind w:left="152"/>
              <w:spacing w:after="0"/>
              <w:rPr>
                <w:sz w:val="20"/>
                <w:szCs w:val="20"/>
                <w:color w:val="auto"/>
              </w:rPr>
            </w:pPr>
            <w:r>
              <w:rPr>
                <w:rFonts w:ascii="Times New Roman" w:cs="Times New Roman" w:eastAsia="Times New Roman" w:hAnsi="Times New Roman"/>
                <w:sz w:val="18"/>
                <w:szCs w:val="18"/>
                <w:color w:val="auto"/>
                <w:w w:val="97"/>
              </w:rPr>
              <w:t>137.5%</w:t>
            </w:r>
          </w:p>
        </w:tc>
        <w:tc>
          <w:tcPr>
            <w:tcW w:w="4060" w:type="dxa"/>
            <w:vAlign w:val="bottom"/>
            <w:shd w:val="clear" w:color="auto" w:fill="CCEEFF"/>
          </w:tcPr>
          <w:p>
            <w:pPr>
              <w:spacing w:after="0"/>
              <w:rPr>
                <w:sz w:val="18"/>
                <w:szCs w:val="18"/>
                <w:color w:val="auto"/>
              </w:rPr>
            </w:pPr>
          </w:p>
        </w:tc>
      </w:tr>
      <w:tr>
        <w:trPr>
          <w:trHeight w:val="216"/>
        </w:trPr>
        <w:tc>
          <w:tcPr>
            <w:tcW w:w="6100" w:type="dxa"/>
            <w:vAlign w:val="bottom"/>
          </w:tcPr>
          <w:p>
            <w:pPr>
              <w:jc w:val="center"/>
              <w:ind w:left="3972"/>
              <w:spacing w:after="0"/>
              <w:rPr>
                <w:sz w:val="20"/>
                <w:szCs w:val="20"/>
                <w:color w:val="auto"/>
              </w:rPr>
            </w:pPr>
            <w:r>
              <w:rPr>
                <w:rFonts w:ascii="Times New Roman" w:cs="Times New Roman" w:eastAsia="Times New Roman" w:hAnsi="Times New Roman"/>
                <w:sz w:val="18"/>
                <w:szCs w:val="18"/>
                <w:color w:val="auto"/>
                <w:w w:val="95"/>
              </w:rPr>
              <w:t>116%</w:t>
            </w:r>
          </w:p>
        </w:tc>
        <w:tc>
          <w:tcPr>
            <w:tcW w:w="1260" w:type="dxa"/>
            <w:vAlign w:val="bottom"/>
          </w:tcPr>
          <w:p>
            <w:pPr>
              <w:jc w:val="center"/>
              <w:ind w:left="152"/>
              <w:spacing w:after="0"/>
              <w:rPr>
                <w:sz w:val="20"/>
                <w:szCs w:val="20"/>
                <w:color w:val="auto"/>
              </w:rPr>
            </w:pPr>
            <w:r>
              <w:rPr>
                <w:rFonts w:ascii="Times New Roman" w:cs="Times New Roman" w:eastAsia="Times New Roman" w:hAnsi="Times New Roman"/>
                <w:sz w:val="18"/>
                <w:szCs w:val="18"/>
                <w:color w:val="auto"/>
                <w:w w:val="97"/>
              </w:rPr>
              <w:t>140.0%</w:t>
            </w:r>
          </w:p>
        </w:tc>
        <w:tc>
          <w:tcPr>
            <w:tcW w:w="4060" w:type="dxa"/>
            <w:vAlign w:val="bottom"/>
          </w:tcPr>
          <w:p>
            <w:pPr>
              <w:spacing w:after="0"/>
              <w:rPr>
                <w:sz w:val="18"/>
                <w:szCs w:val="18"/>
                <w:color w:val="auto"/>
              </w:rPr>
            </w:pPr>
          </w:p>
        </w:tc>
      </w:tr>
      <w:tr>
        <w:trPr>
          <w:trHeight w:val="216"/>
        </w:trPr>
        <w:tc>
          <w:tcPr>
            <w:tcW w:w="6100" w:type="dxa"/>
            <w:vAlign w:val="bottom"/>
            <w:shd w:val="clear" w:color="auto" w:fill="CCEEFF"/>
          </w:tcPr>
          <w:p>
            <w:pPr>
              <w:jc w:val="center"/>
              <w:ind w:left="3972"/>
              <w:spacing w:after="0"/>
              <w:rPr>
                <w:sz w:val="20"/>
                <w:szCs w:val="20"/>
                <w:color w:val="auto"/>
              </w:rPr>
            </w:pPr>
            <w:r>
              <w:rPr>
                <w:rFonts w:ascii="Times New Roman" w:cs="Times New Roman" w:eastAsia="Times New Roman" w:hAnsi="Times New Roman"/>
                <w:sz w:val="18"/>
                <w:szCs w:val="18"/>
                <w:color w:val="auto"/>
                <w:w w:val="95"/>
              </w:rPr>
              <w:t>117%</w:t>
            </w:r>
          </w:p>
        </w:tc>
        <w:tc>
          <w:tcPr>
            <w:tcW w:w="1260" w:type="dxa"/>
            <w:vAlign w:val="bottom"/>
            <w:shd w:val="clear" w:color="auto" w:fill="CCEEFF"/>
          </w:tcPr>
          <w:p>
            <w:pPr>
              <w:jc w:val="center"/>
              <w:ind w:left="152"/>
              <w:spacing w:after="0"/>
              <w:rPr>
                <w:sz w:val="20"/>
                <w:szCs w:val="20"/>
                <w:color w:val="auto"/>
              </w:rPr>
            </w:pPr>
            <w:r>
              <w:rPr>
                <w:rFonts w:ascii="Times New Roman" w:cs="Times New Roman" w:eastAsia="Times New Roman" w:hAnsi="Times New Roman"/>
                <w:sz w:val="18"/>
                <w:szCs w:val="18"/>
                <w:color w:val="auto"/>
                <w:w w:val="97"/>
              </w:rPr>
              <w:t>142.5%</w:t>
            </w:r>
          </w:p>
        </w:tc>
        <w:tc>
          <w:tcPr>
            <w:tcW w:w="4060" w:type="dxa"/>
            <w:vAlign w:val="bottom"/>
            <w:shd w:val="clear" w:color="auto" w:fill="CCEEFF"/>
          </w:tcPr>
          <w:p>
            <w:pPr>
              <w:spacing w:after="0"/>
              <w:rPr>
                <w:sz w:val="18"/>
                <w:szCs w:val="18"/>
                <w:color w:val="auto"/>
              </w:rPr>
            </w:pPr>
          </w:p>
        </w:tc>
      </w:tr>
      <w:tr>
        <w:trPr>
          <w:trHeight w:val="216"/>
        </w:trPr>
        <w:tc>
          <w:tcPr>
            <w:tcW w:w="6100" w:type="dxa"/>
            <w:vAlign w:val="bottom"/>
          </w:tcPr>
          <w:p>
            <w:pPr>
              <w:jc w:val="center"/>
              <w:ind w:left="3972"/>
              <w:spacing w:after="0"/>
              <w:rPr>
                <w:sz w:val="20"/>
                <w:szCs w:val="20"/>
                <w:color w:val="auto"/>
              </w:rPr>
            </w:pPr>
            <w:r>
              <w:rPr>
                <w:rFonts w:ascii="Times New Roman" w:cs="Times New Roman" w:eastAsia="Times New Roman" w:hAnsi="Times New Roman"/>
                <w:sz w:val="18"/>
                <w:szCs w:val="18"/>
                <w:color w:val="auto"/>
                <w:w w:val="95"/>
              </w:rPr>
              <w:t>118%</w:t>
            </w:r>
          </w:p>
        </w:tc>
        <w:tc>
          <w:tcPr>
            <w:tcW w:w="1260" w:type="dxa"/>
            <w:vAlign w:val="bottom"/>
          </w:tcPr>
          <w:p>
            <w:pPr>
              <w:jc w:val="center"/>
              <w:ind w:left="152"/>
              <w:spacing w:after="0"/>
              <w:rPr>
                <w:sz w:val="20"/>
                <w:szCs w:val="20"/>
                <w:color w:val="auto"/>
              </w:rPr>
            </w:pPr>
            <w:r>
              <w:rPr>
                <w:rFonts w:ascii="Times New Roman" w:cs="Times New Roman" w:eastAsia="Times New Roman" w:hAnsi="Times New Roman"/>
                <w:sz w:val="18"/>
                <w:szCs w:val="18"/>
                <w:color w:val="auto"/>
                <w:w w:val="97"/>
              </w:rPr>
              <w:t>145.0%</w:t>
            </w:r>
          </w:p>
        </w:tc>
        <w:tc>
          <w:tcPr>
            <w:tcW w:w="4060" w:type="dxa"/>
            <w:vAlign w:val="bottom"/>
          </w:tcPr>
          <w:p>
            <w:pPr>
              <w:spacing w:after="0"/>
              <w:rPr>
                <w:sz w:val="18"/>
                <w:szCs w:val="18"/>
                <w:color w:val="auto"/>
              </w:rPr>
            </w:pPr>
          </w:p>
        </w:tc>
      </w:tr>
      <w:tr>
        <w:trPr>
          <w:trHeight w:val="216"/>
        </w:trPr>
        <w:tc>
          <w:tcPr>
            <w:tcW w:w="6100" w:type="dxa"/>
            <w:vAlign w:val="bottom"/>
            <w:shd w:val="clear" w:color="auto" w:fill="CCEEFF"/>
          </w:tcPr>
          <w:p>
            <w:pPr>
              <w:jc w:val="center"/>
              <w:ind w:left="3972"/>
              <w:spacing w:after="0"/>
              <w:rPr>
                <w:sz w:val="20"/>
                <w:szCs w:val="20"/>
                <w:color w:val="auto"/>
              </w:rPr>
            </w:pPr>
            <w:r>
              <w:rPr>
                <w:rFonts w:ascii="Times New Roman" w:cs="Times New Roman" w:eastAsia="Times New Roman" w:hAnsi="Times New Roman"/>
                <w:sz w:val="18"/>
                <w:szCs w:val="18"/>
                <w:color w:val="auto"/>
                <w:w w:val="95"/>
              </w:rPr>
              <w:t>119%</w:t>
            </w:r>
          </w:p>
        </w:tc>
        <w:tc>
          <w:tcPr>
            <w:tcW w:w="1260" w:type="dxa"/>
            <w:vAlign w:val="bottom"/>
            <w:shd w:val="clear" w:color="auto" w:fill="CCEEFF"/>
          </w:tcPr>
          <w:p>
            <w:pPr>
              <w:jc w:val="center"/>
              <w:ind w:left="152"/>
              <w:spacing w:after="0"/>
              <w:rPr>
                <w:sz w:val="20"/>
                <w:szCs w:val="20"/>
                <w:color w:val="auto"/>
              </w:rPr>
            </w:pPr>
            <w:r>
              <w:rPr>
                <w:rFonts w:ascii="Times New Roman" w:cs="Times New Roman" w:eastAsia="Times New Roman" w:hAnsi="Times New Roman"/>
                <w:sz w:val="18"/>
                <w:szCs w:val="18"/>
                <w:color w:val="auto"/>
                <w:w w:val="97"/>
              </w:rPr>
              <w:t>147.5%</w:t>
            </w:r>
          </w:p>
        </w:tc>
        <w:tc>
          <w:tcPr>
            <w:tcW w:w="4060" w:type="dxa"/>
            <w:vAlign w:val="bottom"/>
            <w:shd w:val="clear" w:color="auto" w:fill="CCEEFF"/>
          </w:tcPr>
          <w:p>
            <w:pPr>
              <w:spacing w:after="0"/>
              <w:rPr>
                <w:sz w:val="18"/>
                <w:szCs w:val="18"/>
                <w:color w:val="auto"/>
              </w:rPr>
            </w:pPr>
          </w:p>
        </w:tc>
      </w:tr>
      <w:tr>
        <w:trPr>
          <w:trHeight w:val="228"/>
        </w:trPr>
        <w:tc>
          <w:tcPr>
            <w:tcW w:w="6100" w:type="dxa"/>
            <w:vAlign w:val="bottom"/>
          </w:tcPr>
          <w:p>
            <w:pPr>
              <w:ind w:left="4500"/>
              <w:spacing w:after="0"/>
              <w:rPr>
                <w:sz w:val="20"/>
                <w:szCs w:val="20"/>
                <w:color w:val="auto"/>
              </w:rPr>
            </w:pPr>
            <w:r>
              <w:rPr>
                <w:rFonts w:ascii="Times New Roman" w:cs="Times New Roman" w:eastAsia="Times New Roman" w:hAnsi="Times New Roman"/>
                <w:sz w:val="18"/>
                <w:szCs w:val="18"/>
                <w:color w:val="auto"/>
              </w:rPr>
              <w:t>120% or greater</w:t>
            </w:r>
          </w:p>
        </w:tc>
        <w:tc>
          <w:tcPr>
            <w:tcW w:w="1260" w:type="dxa"/>
            <w:vAlign w:val="bottom"/>
          </w:tcPr>
          <w:p>
            <w:pPr>
              <w:jc w:val="center"/>
              <w:ind w:left="152"/>
              <w:spacing w:after="0"/>
              <w:rPr>
                <w:sz w:val="20"/>
                <w:szCs w:val="20"/>
                <w:color w:val="auto"/>
              </w:rPr>
            </w:pPr>
            <w:r>
              <w:rPr>
                <w:rFonts w:ascii="Times New Roman" w:cs="Times New Roman" w:eastAsia="Times New Roman" w:hAnsi="Times New Roman"/>
                <w:sz w:val="18"/>
                <w:szCs w:val="18"/>
                <w:color w:val="auto"/>
                <w:w w:val="97"/>
              </w:rPr>
              <w:t>150.0%</w:t>
            </w:r>
          </w:p>
        </w:tc>
        <w:tc>
          <w:tcPr>
            <w:tcW w:w="4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&lt;--150% is the maximum payout level.</w:t>
            </w:r>
          </w:p>
        </w:tc>
      </w:tr>
    </w:tbl>
    <w:p>
      <w:pPr>
        <w:spacing w:after="0" w:line="189" w:lineRule="exact"/>
        <w:rPr>
          <w:sz w:val="20"/>
          <w:szCs w:val="20"/>
          <w:color w:val="auto"/>
        </w:rPr>
      </w:pPr>
    </w:p>
    <w:p>
      <w:pPr>
        <w:jc w:val="both"/>
        <w:ind w:right="60" w:firstLine="351"/>
        <w:spacing w:after="0" w:line="262" w:lineRule="auto"/>
        <w:rPr>
          <w:sz w:val="20"/>
          <w:szCs w:val="20"/>
          <w:color w:val="auto"/>
        </w:rPr>
      </w:pPr>
      <w:r>
        <w:rPr>
          <w:rFonts w:ascii="Times New Roman" w:cs="Times New Roman" w:eastAsia="Times New Roman" w:hAnsi="Times New Roman"/>
          <w:sz w:val="18"/>
          <w:szCs w:val="18"/>
          <w:color w:val="auto"/>
        </w:rPr>
        <w:t xml:space="preserve">For business support groups, both Alliance EBITDA and Alliance Revenue targets must be achieved at 100% or greater in order for Individual Expectations to be paid above 100% of target. For lines of business, both LOB EBITDA </w:t>
      </w:r>
      <w:r>
        <w:rPr>
          <w:rFonts w:ascii="Times New Roman" w:cs="Times New Roman" w:eastAsia="Times New Roman" w:hAnsi="Times New Roman"/>
          <w:sz w:val="18"/>
          <w:szCs w:val="18"/>
          <w:i w:val="1"/>
          <w:iCs w:val="1"/>
          <w:color w:val="auto"/>
        </w:rPr>
        <w:t>and</w:t>
      </w:r>
      <w:r>
        <w:rPr>
          <w:rFonts w:ascii="Times New Roman" w:cs="Times New Roman" w:eastAsia="Times New Roman" w:hAnsi="Times New Roman"/>
          <w:sz w:val="18"/>
          <w:szCs w:val="18"/>
          <w:color w:val="auto"/>
        </w:rPr>
        <w:t xml:space="preserve"> LOB Revenue targets must be achieved at 100% or greater in order for Individual Expectations to be paid above 100% of target.</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43" name="Picture 1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3"/>
                    <pic:cNvPicPr>
                      <a:picLocks noChangeAspect="1" noChangeArrowheads="1"/>
                    </pic:cNvPicPr>
                  </pic:nvPicPr>
                  <pic:blipFill>
                    <a:blip r:embed="rId14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QuickLinks</w:t>
      </w:r>
    </w:p>
    <w:p>
      <w:pPr>
        <w:spacing w:after="0" w:line="219" w:lineRule="exact"/>
        <w:rPr>
          <w:sz w:val="20"/>
          <w:szCs w:val="20"/>
          <w:color w:val="auto"/>
        </w:rPr>
      </w:pPr>
    </w:p>
    <w:p>
      <w:pPr>
        <w:ind w:left="540"/>
        <w:spacing w:after="0"/>
        <w:rPr>
          <w:rFonts w:ascii="Times New Roman" w:cs="Times New Roman" w:eastAsia="Times New Roman" w:hAnsi="Times New Roman"/>
          <w:sz w:val="18"/>
          <w:szCs w:val="18"/>
          <w:u w:val="single" w:color="auto"/>
          <w:color w:val="0000EE"/>
        </w:rPr>
      </w:pPr>
      <w:hyperlink w:anchor="page77">
        <w:r>
          <w:rPr>
            <w:rFonts w:ascii="Times New Roman" w:cs="Times New Roman" w:eastAsia="Times New Roman" w:hAnsi="Times New Roman"/>
            <w:sz w:val="18"/>
            <w:szCs w:val="18"/>
            <w:u w:val="single" w:color="auto"/>
            <w:color w:val="0000EE"/>
          </w:rPr>
          <w:t>Exhibit 10.23</w:t>
        </w:r>
      </w:hyperlink>
    </w:p>
    <w:p>
      <w:pPr>
        <w:sectPr>
          <w:pgSz w:w="11900" w:h="16838" w:orient="portrait"/>
          <w:cols w:equalWidth="0" w:num="1">
            <w:col w:w="11420"/>
          </w:cols>
          <w:pgMar w:left="240" w:top="125" w:right="239" w:bottom="1440" w:gutter="0" w:footer="0" w:header="0"/>
        </w:sectPr>
      </w:pPr>
    </w:p>
    <w:bookmarkStart w:id="85" w:name="page86"/>
    <w:bookmarkEnd w:id="85"/>
    <w:p>
      <w:pPr>
        <w:spacing w:after="0"/>
        <w:rPr>
          <w:rFonts w:ascii="Times New Roman" w:cs="Times New Roman" w:eastAsia="Times New Roman" w:hAnsi="Times New Roman"/>
          <w:sz w:val="22"/>
          <w:szCs w:val="22"/>
          <w:color w:val="0000EE"/>
        </w:rPr>
      </w:pPr>
      <w:hyperlink w:anchor="page89">
        <w:r>
          <w:rPr>
            <w:rFonts w:ascii="Times New Roman" w:cs="Times New Roman" w:eastAsia="Times New Roman" w:hAnsi="Times New Roman"/>
            <w:sz w:val="22"/>
            <w:szCs w:val="22"/>
            <w:u w:val="single" w:color="auto"/>
            <w:color w:val="0000EE"/>
          </w:rPr>
          <w:t>QuickLinks</w:t>
        </w:r>
        <w:r>
          <w:rPr>
            <w:rFonts w:ascii="Times New Roman" w:cs="Times New Roman" w:eastAsia="Times New Roman" w:hAnsi="Times New Roman"/>
            <w:sz w:val="22"/>
            <w:szCs w:val="22"/>
            <w:color w:val="0000EE"/>
          </w:rPr>
          <w:t xml:space="preserve"> </w:t>
        </w:r>
      </w:hyperlink>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22"/>
          <w:szCs w:val="22"/>
          <w:color w:val="000000"/>
        </w:rPr>
        <w:t>Click here to rapidly navigate through this document</w:t>
      </w:r>
    </w:p>
    <w:p>
      <w:pPr>
        <w:spacing w:after="0" w:line="200" w:lineRule="exact"/>
        <w:rPr>
          <w:sz w:val="20"/>
          <w:szCs w:val="20"/>
          <w:color w:val="auto"/>
        </w:rPr>
      </w:pPr>
    </w:p>
    <w:p>
      <w:pPr>
        <w:spacing w:after="0" w:line="233" w:lineRule="exact"/>
        <w:rPr>
          <w:sz w:val="20"/>
          <w:szCs w:val="20"/>
          <w:color w:val="auto"/>
        </w:rPr>
      </w:pPr>
    </w:p>
    <w:p>
      <w:pPr>
        <w:ind w:left="10380"/>
        <w:spacing w:after="0"/>
        <w:rPr>
          <w:sz w:val="20"/>
          <w:szCs w:val="20"/>
          <w:color w:val="auto"/>
        </w:rPr>
      </w:pPr>
      <w:r>
        <w:rPr>
          <w:rFonts w:ascii="Times New Roman" w:cs="Times New Roman" w:eastAsia="Times New Roman" w:hAnsi="Times New Roman"/>
          <w:sz w:val="18"/>
          <w:szCs w:val="18"/>
          <w:b w:val="1"/>
          <w:bCs w:val="1"/>
          <w:color w:val="auto"/>
        </w:rPr>
        <w:t>Exhibit 10.24</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ADS ALLIANCE DATA SYSTEMS, INC.</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ASSOCIATE CONFIDENTIALITY AGREEMENT</w:t>
      </w:r>
    </w:p>
    <w:p>
      <w:pPr>
        <w:spacing w:after="0" w:line="225" w:lineRule="exact"/>
        <w:rPr>
          <w:sz w:val="20"/>
          <w:szCs w:val="20"/>
          <w:color w:val="auto"/>
        </w:rPr>
      </w:pPr>
    </w:p>
    <w:p>
      <w:pPr>
        <w:ind w:firstLine="351"/>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ADS Alliance Data Systems, Inc. ("ADSI") and its Affiliates carry on the business of transaction services, credit services and marketing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services for businesses. Specifically for transaction services this includes the authorization, collection and settlement of sales transactions and other data at point of sale, phone or Internet. Additionally, it includes account and cardholder processing, generating and printing billing statements and processing payments. Transaction services also includes customer service and collection calls provided by ADSI's inbound and outbound call center. Credit services includes the underwriting on consumer credit card loans, portfolio management and risk management. Marketing services includes development and management of one to one and coalition loyalty programs, both online and offline. Additionally, marketing services includes customer relationship management ("CRM") consulting and strategic planning, database building and management, analytics and modeling, campaign management and direct marketing, (collectively, "</w:t>
      </w:r>
      <w:r>
        <w:rPr>
          <w:rFonts w:ascii="Times New Roman" w:cs="Times New Roman" w:eastAsia="Times New Roman" w:hAnsi="Times New Roman"/>
          <w:sz w:val="18"/>
          <w:szCs w:val="18"/>
          <w:i w:val="1"/>
          <w:iCs w:val="1"/>
          <w:color w:val="auto"/>
        </w:rPr>
        <w:t>ADSI's Business</w:t>
      </w:r>
      <w:r>
        <w:rPr>
          <w:rFonts w:ascii="Times New Roman" w:cs="Times New Roman" w:eastAsia="Times New Roman" w:hAnsi="Times New Roman"/>
          <w:sz w:val="18"/>
          <w:szCs w:val="18"/>
          <w:color w:val="auto"/>
        </w:rPr>
        <w:t>"); and</w:t>
      </w:r>
    </w:p>
    <w:p>
      <w:pPr>
        <w:spacing w:after="0" w:line="192" w:lineRule="exact"/>
        <w:rPr>
          <w:sz w:val="20"/>
          <w:szCs w:val="20"/>
          <w:color w:val="auto"/>
        </w:rPr>
      </w:pPr>
    </w:p>
    <w:p>
      <w:pPr>
        <w:ind w:right="140" w:firstLine="351"/>
        <w:spacing w:after="0" w:line="342" w:lineRule="auto"/>
        <w:rPr>
          <w:sz w:val="20"/>
          <w:szCs w:val="20"/>
          <w:color w:val="auto"/>
        </w:rPr>
      </w:pPr>
      <w:r>
        <w:rPr>
          <w:rFonts w:ascii="Times New Roman" w:cs="Times New Roman" w:eastAsia="Times New Roman" w:hAnsi="Times New Roman"/>
          <w:sz w:val="16"/>
          <w:szCs w:val="16"/>
          <w:b w:val="1"/>
          <w:bCs w:val="1"/>
          <w:color w:val="auto"/>
        </w:rPr>
        <w:t xml:space="preserve">WHEREAS </w:t>
      </w:r>
      <w:r>
        <w:rPr>
          <w:rFonts w:ascii="Times New Roman" w:cs="Times New Roman" w:eastAsia="Times New Roman" w:hAnsi="Times New Roman"/>
          <w:sz w:val="16"/>
          <w:szCs w:val="16"/>
          <w:color w:val="auto"/>
        </w:rPr>
        <w:t>ADSI has hired Associate as an Associate to work in ADSI's Business, and Associate will need to examine and make himself/herself aware of</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ADSI's and its Affiliates' business, which involves the use of Confidential Information to carry out his/her duties as assigned by ADSI from time to time; and</w:t>
      </w:r>
    </w:p>
    <w:p>
      <w:pPr>
        <w:spacing w:after="0" w:line="124" w:lineRule="exact"/>
        <w:rPr>
          <w:sz w:val="20"/>
          <w:szCs w:val="20"/>
          <w:color w:val="auto"/>
        </w:rPr>
      </w:pPr>
    </w:p>
    <w:p>
      <w:pPr>
        <w:ind w:right="100" w:firstLine="351"/>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ADSI possesses certain Confidential Information it intends to disclose to Associate solely for the purpose of enabling the Associate to perform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Associate's duties and functions as an Associate of ADSI and for no other purpose; and</w:t>
      </w:r>
    </w:p>
    <w:p>
      <w:pPr>
        <w:spacing w:after="0" w:line="170" w:lineRule="exact"/>
        <w:rPr>
          <w:sz w:val="20"/>
          <w:szCs w:val="20"/>
          <w:color w:val="auto"/>
        </w:rPr>
      </w:pPr>
    </w:p>
    <w:p>
      <w:pPr>
        <w:ind w:right="20" w:firstLine="351"/>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in connection with the employment of the Associate by ADSI and in consideration of the grant by ADSI to the Associate on the date hereof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incentive stock options to purchase shares of Common Stock, $.01 par value, of ADSI's parent company Alliance Data Systems Corporation, on the terms and subject to the conditions specified in the Incentive Stock Option Agreement being executed by ADSI and the Associate simultaneously with the execution of this Agreement, and in consideration of immediate training to Associate, including additional disclosure of ADSI Confidential Information under the terms herein, the Associate has agreed, among other things, to preserve Confidential Information, to refrain from soliciting Associates of ADSI and its Affiliates and to not compete with ADSI or its Affiliates under the conditions specified herein;</w:t>
      </w:r>
    </w:p>
    <w:p>
      <w:pPr>
        <w:spacing w:after="0" w:line="193" w:lineRule="exact"/>
        <w:rPr>
          <w:sz w:val="20"/>
          <w:szCs w:val="20"/>
          <w:color w:val="auto"/>
        </w:rPr>
      </w:pPr>
    </w:p>
    <w:p>
      <w:pPr>
        <w:ind w:right="260" w:firstLine="351"/>
        <w:spacing w:after="0" w:line="277"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mutual covenants and agreements contained herein, and other good and valuable consideration, the receipt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sufficiency of which are hereby acknowledged, ADSI and Associate hereby agree as follows:</w:t>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Interpretation.</w:t>
      </w:r>
    </w:p>
    <w:p>
      <w:pPr>
        <w:spacing w:after="0" w:line="225" w:lineRule="exact"/>
        <w:rPr>
          <w:sz w:val="20"/>
          <w:szCs w:val="20"/>
          <w:color w:val="auto"/>
        </w:rPr>
      </w:pPr>
    </w:p>
    <w:p>
      <w:pPr>
        <w:ind w:right="60" w:firstLine="351"/>
        <w:spacing w:after="0" w:line="291" w:lineRule="auto"/>
        <w:rPr>
          <w:sz w:val="20"/>
          <w:szCs w:val="20"/>
          <w:color w:val="auto"/>
        </w:rPr>
      </w:pPr>
      <w:r>
        <w:rPr>
          <w:rFonts w:ascii="Times New Roman" w:cs="Times New Roman" w:eastAsia="Times New Roman" w:hAnsi="Times New Roman"/>
          <w:sz w:val="16"/>
          <w:szCs w:val="16"/>
          <w:color w:val="auto"/>
        </w:rPr>
        <w:t>In this agreement, the phrase "</w:t>
      </w:r>
      <w:r>
        <w:rPr>
          <w:rFonts w:ascii="Times New Roman" w:cs="Times New Roman" w:eastAsia="Times New Roman" w:hAnsi="Times New Roman"/>
          <w:sz w:val="16"/>
          <w:szCs w:val="16"/>
          <w:i w:val="1"/>
          <w:iCs w:val="1"/>
          <w:color w:val="auto"/>
        </w:rPr>
        <w:t>Confidential Information</w:t>
      </w:r>
      <w:r>
        <w:rPr>
          <w:rFonts w:ascii="Times New Roman" w:cs="Times New Roman" w:eastAsia="Times New Roman" w:hAnsi="Times New Roman"/>
          <w:sz w:val="16"/>
          <w:szCs w:val="16"/>
          <w:color w:val="auto"/>
        </w:rPr>
        <w:t>" means all information, including all documents and other tangible items which record information, whether on paper or in electronic or other storage form, in computer readable format or otherwise, relating to ADSI, its Affiliates, its customers, ADSI's Business and/or to the business of any of its Affiliates or customers, including, without limitation, all data of any kind whatsoever; know-how; experience; expertise; business plans; ways of doing business; business results or prospects; financial books, data and plans; pricing; supplier information and agreements; investor or lender data and information; business processes (whether or not the subject of a patent), computer software and specifications therefore; leases; and any and all agreements entered into by ADSI or its Affiliates and any information contained therein; database mining and marketing; customer relationship management programs; any technical, operating, design, economic, client, customer, consultant, consumer or collector related data and information, marketing</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44" name="Picture 1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4"/>
                    <pic:cNvPicPr>
                      <a:picLocks noChangeAspect="1" noChangeArrowheads="1"/>
                    </pic:cNvPicPr>
                  </pic:nvPicPr>
                  <pic:blipFill>
                    <a:blip r:embed="rId14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strategies or initiatives and plans which at the time or times concerned is either capable of protection as a trade secret or is considered by ADSI or its Affiliates or customers to be of a confidential nature and is supplied to or obtained by Associate whether in the form of specifications, written or electronic data, drawings, or disclosed orally or otherwise. "</w:t>
      </w:r>
      <w:r>
        <w:rPr>
          <w:rFonts w:ascii="Times New Roman" w:cs="Times New Roman" w:eastAsia="Times New Roman" w:hAnsi="Times New Roman"/>
          <w:sz w:val="18"/>
          <w:szCs w:val="18"/>
          <w:i w:val="1"/>
          <w:iCs w:val="1"/>
          <w:color w:val="auto"/>
        </w:rPr>
        <w:t>Affiliate(s)</w:t>
      </w:r>
      <w:r>
        <w:rPr>
          <w:rFonts w:ascii="Times New Roman" w:cs="Times New Roman" w:eastAsia="Times New Roman" w:hAnsi="Times New Roman"/>
          <w:sz w:val="18"/>
          <w:szCs w:val="18"/>
          <w:color w:val="auto"/>
        </w:rPr>
        <w:t>" means any entity directly or indirectly controlling, controlled by, or under direct or indirect common control with ADSI.</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Associate's Obligations.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Associate shall, regardless of when the Confidential Information was or is received by Associate:</w:t>
      </w:r>
    </w:p>
    <w:p>
      <w:pPr>
        <w:spacing w:after="0" w:line="225" w:lineRule="exact"/>
        <w:rPr>
          <w:sz w:val="20"/>
          <w:szCs w:val="20"/>
          <w:color w:val="auto"/>
        </w:rPr>
      </w:pPr>
    </w:p>
    <w:p>
      <w:pPr>
        <w:ind w:left="540" w:right="40" w:firstLine="8"/>
        <w:spacing w:after="0" w:line="275" w:lineRule="auto"/>
        <w:tabs>
          <w:tab w:leader="none" w:pos="779"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 in confidence all Confidential Information and not reveal any Confidential Information to any other person without the prior written approval of a senior officer of ADSI;</w:t>
      </w:r>
    </w:p>
    <w:p>
      <w:pPr>
        <w:spacing w:after="0" w:line="173" w:lineRule="exact"/>
        <w:rPr>
          <w:rFonts w:ascii="Times New Roman" w:cs="Times New Roman" w:eastAsia="Times New Roman" w:hAnsi="Times New Roman"/>
          <w:sz w:val="18"/>
          <w:szCs w:val="18"/>
          <w:color w:val="auto"/>
        </w:rPr>
      </w:pPr>
    </w:p>
    <w:p>
      <w:pPr>
        <w:ind w:left="540" w:right="400" w:firstLine="8"/>
        <w:spacing w:after="0" w:line="275" w:lineRule="auto"/>
        <w:tabs>
          <w:tab w:leader="none" w:pos="789"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the Confidential Information only to perform Associate's duties and functions as an Associate of ADSI as directed by ADSI, and not use such Confidential Information for any other purpose;</w:t>
      </w:r>
    </w:p>
    <w:p>
      <w:pPr>
        <w:spacing w:after="0" w:line="173" w:lineRule="exact"/>
        <w:rPr>
          <w:rFonts w:ascii="Times New Roman" w:cs="Times New Roman" w:eastAsia="Times New Roman" w:hAnsi="Times New Roman"/>
          <w:sz w:val="18"/>
          <w:szCs w:val="18"/>
          <w:color w:val="auto"/>
        </w:rPr>
      </w:pPr>
    </w:p>
    <w:p>
      <w:pPr>
        <w:ind w:left="540" w:right="60" w:firstLine="8"/>
        <w:spacing w:after="0" w:line="275" w:lineRule="auto"/>
        <w:tabs>
          <w:tab w:leader="none" w:pos="779"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keep all Confidential Information secret and confidential and diligently protect all Confidential Information against loss, and prevent unauthorized use or reproduction thereof; and</w:t>
      </w:r>
    </w:p>
    <w:p>
      <w:pPr>
        <w:spacing w:after="0" w:line="173" w:lineRule="exact"/>
        <w:rPr>
          <w:rFonts w:ascii="Times New Roman" w:cs="Times New Roman" w:eastAsia="Times New Roman" w:hAnsi="Times New Roman"/>
          <w:sz w:val="18"/>
          <w:szCs w:val="18"/>
          <w:color w:val="auto"/>
        </w:rPr>
      </w:pPr>
    </w:p>
    <w:p>
      <w:pPr>
        <w:ind w:left="540" w:right="380" w:firstLine="8"/>
        <w:spacing w:after="0" w:line="262" w:lineRule="auto"/>
        <w:tabs>
          <w:tab w:leader="none" w:pos="789"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requested by ADSI, or immediately upon termination of employment, return to ADSI all Confidential Information, all copies (including backup copies), reproductions, reprints and translations thereof, whether written, electronic or otherwise, in the possession of, or under the control of, the Associate.</w:t>
      </w:r>
    </w:p>
    <w:p>
      <w:pPr>
        <w:sectPr>
          <w:pgSz w:w="11900" w:h="16838" w:orient="portrait"/>
          <w:cols w:equalWidth="0" w:num="1">
            <w:col w:w="11420"/>
          </w:cols>
          <w:pgMar w:left="240" w:top="355" w:right="239" w:bottom="128"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color w:val="auto"/>
        </w:rPr>
        <w:t>3. Exceptions.</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provisions of Section 2 shall not apply to:</w:t>
      </w:r>
    </w:p>
    <w:p>
      <w:pPr>
        <w:spacing w:after="0" w:line="225" w:lineRule="exact"/>
        <w:rPr>
          <w:sz w:val="20"/>
          <w:szCs w:val="20"/>
          <w:color w:val="auto"/>
        </w:rPr>
      </w:pPr>
    </w:p>
    <w:p>
      <w:pPr>
        <w:ind w:left="540" w:right="280" w:firstLine="8"/>
        <w:spacing w:after="0" w:line="275" w:lineRule="auto"/>
        <w:tabs>
          <w:tab w:leader="none" w:pos="779"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Confidential Information which is or becomes generally available to the public other than as a result of a disclosure by Associate or a breach of this Agreement by Associate; or</w:t>
      </w:r>
    </w:p>
    <w:p>
      <w:pPr>
        <w:spacing w:after="0" w:line="173" w:lineRule="exact"/>
        <w:rPr>
          <w:rFonts w:ascii="Times New Roman" w:cs="Times New Roman" w:eastAsia="Times New Roman" w:hAnsi="Times New Roman"/>
          <w:sz w:val="18"/>
          <w:szCs w:val="18"/>
          <w:color w:val="auto"/>
        </w:rPr>
      </w:pPr>
    </w:p>
    <w:p>
      <w:pPr>
        <w:ind w:left="540" w:right="280" w:firstLine="8"/>
        <w:spacing w:after="0" w:line="262" w:lineRule="auto"/>
        <w:tabs>
          <w:tab w:leader="none" w:pos="789"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Confidential Information which was available to Associate on a non-confidential basis prior to the date hereof from a person other than ADSI or its Affiliates or customers who was not otherwise bound by confidentiality obligations to ADSI or its Affiliates or customers and was not otherwise prohibited from disclosing the information to Associate; or</w:t>
      </w:r>
    </w:p>
    <w:p>
      <w:pPr>
        <w:spacing w:after="0" w:line="186" w:lineRule="exact"/>
        <w:rPr>
          <w:rFonts w:ascii="Times New Roman" w:cs="Times New Roman" w:eastAsia="Times New Roman" w:hAnsi="Times New Roman"/>
          <w:sz w:val="18"/>
          <w:szCs w:val="18"/>
          <w:color w:val="auto"/>
        </w:rPr>
      </w:pPr>
    </w:p>
    <w:p>
      <w:pPr>
        <w:ind w:left="540" w:right="60" w:firstLine="8"/>
        <w:spacing w:after="0" w:line="262" w:lineRule="auto"/>
        <w:tabs>
          <w:tab w:leader="none" w:pos="779"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Confidential Information which becomes available to Associate on a non-confidential basis from a person other than ADSI or its Affiliates or customers who is not otherwise bound by confidentiality obligations to ADSI or its affiliates or customers and is not otherwise prohibited from disclosing the information to Associate; or</w:t>
      </w:r>
    </w:p>
    <w:p>
      <w:pPr>
        <w:spacing w:after="0" w:line="186" w:lineRule="exact"/>
        <w:rPr>
          <w:rFonts w:ascii="Times New Roman" w:cs="Times New Roman" w:eastAsia="Times New Roman" w:hAnsi="Times New Roman"/>
          <w:sz w:val="18"/>
          <w:szCs w:val="18"/>
          <w:color w:val="auto"/>
        </w:rPr>
      </w:pPr>
    </w:p>
    <w:p>
      <w:pPr>
        <w:ind w:left="540" w:firstLine="8"/>
        <w:spacing w:after="0" w:line="262" w:lineRule="auto"/>
        <w:tabs>
          <w:tab w:leader="none" w:pos="789"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Confidential Information which the Associate is required by law to disclose, in which case, Associate will provide ADSI with notice of such obligation immediately to allow ADSI to seek such intervention as it may deem appropriate to prevent such disclosure including and not limited to initiating legal or administrative proceedings prior to disclosure.</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1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ADSI Intellectual Property.</w:t>
      </w:r>
    </w:p>
    <w:p>
      <w:pPr>
        <w:spacing w:after="0" w:line="227" w:lineRule="exact"/>
        <w:rPr>
          <w:sz w:val="20"/>
          <w:szCs w:val="20"/>
          <w:color w:val="auto"/>
        </w:rPr>
      </w:pPr>
    </w:p>
    <w:p>
      <w:pPr>
        <w:ind w:right="140" w:firstLine="8"/>
        <w:spacing w:after="0" w:line="275" w:lineRule="auto"/>
        <w:tabs>
          <w:tab w:leader="none" w:pos="229"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Associate acknowledges and agrees that ADSI or its Affiliates are the sole owner of the Confidential Information (except Confidential Information owned by customers).</w:t>
      </w:r>
    </w:p>
    <w:p>
      <w:pPr>
        <w:spacing w:after="0" w:line="173" w:lineRule="exact"/>
        <w:rPr>
          <w:rFonts w:ascii="Times New Roman" w:cs="Times New Roman" w:eastAsia="Times New Roman" w:hAnsi="Times New Roman"/>
          <w:sz w:val="18"/>
          <w:szCs w:val="18"/>
          <w:color w:val="auto"/>
        </w:rPr>
      </w:pPr>
    </w:p>
    <w:p>
      <w:pPr>
        <w:ind w:right="40" w:firstLine="8"/>
        <w:spacing w:after="0" w:line="258" w:lineRule="auto"/>
        <w:tabs>
          <w:tab w:leader="none" w:pos="239"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Associate acknowledges and agrees that all inventions, formulas, techniques, processes, concepts, systems, programs, customer lists, compilations, and other intellectual property (whether or not patentable, patented, copyrighted, or subject to or susceptible of formal intellectual property protection under the laws of any jurisdiction and whether or not made during working hours) made or conceived by Associate solely or jointly with other person(s) during the term of Associate's employment with</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45" name="Picture 1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5"/>
                    <pic:cNvPicPr>
                      <a:picLocks noChangeAspect="1" noChangeArrowheads="1"/>
                    </pic:cNvPicPr>
                  </pic:nvPicPr>
                  <pic:blipFill>
                    <a:blip r:embed="rId14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860"/>
        <w:spacing w:after="0" w:line="275" w:lineRule="auto"/>
        <w:rPr>
          <w:sz w:val="20"/>
          <w:szCs w:val="20"/>
          <w:color w:val="auto"/>
        </w:rPr>
      </w:pPr>
      <w:r>
        <w:rPr>
          <w:rFonts w:ascii="Times New Roman" w:cs="Times New Roman" w:eastAsia="Times New Roman" w:hAnsi="Times New Roman"/>
          <w:sz w:val="18"/>
          <w:szCs w:val="18"/>
          <w:color w:val="auto"/>
        </w:rPr>
        <w:t>ADSI that relate to activities or proposed activities of ADSI or its Affiliates or that result from work performed by Associate for ADSI or its Affiliates (collectively "ADSI Intellectual Property") shall be the property of ADSI.</w:t>
      </w:r>
    </w:p>
    <w:p>
      <w:pPr>
        <w:spacing w:after="0" w:line="174" w:lineRule="exact"/>
        <w:rPr>
          <w:sz w:val="20"/>
          <w:szCs w:val="20"/>
          <w:color w:val="auto"/>
        </w:rPr>
      </w:pPr>
    </w:p>
    <w:p>
      <w:pPr>
        <w:ind w:right="320" w:firstLine="8"/>
        <w:spacing w:after="0" w:line="289" w:lineRule="auto"/>
        <w:tabs>
          <w:tab w:leader="none" w:pos="229" w:val="left"/>
        </w:tabs>
        <w:numPr>
          <w:ilvl w:val="0"/>
          <w:numId w:val="1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Associate agrees to promptly disclose in writing to ADSI all ADSI Intellectual Property and hereby assigns all right, title, and interest in ADSI Intellectual Property in any and all countries to ADSI or its nominee. Associate further agrees, when requested, to carry out the intent and purpose of the assignment by:</w:t>
      </w:r>
    </w:p>
    <w:p>
      <w:pPr>
        <w:spacing w:after="0" w:line="1" w:lineRule="exact"/>
        <w:rPr>
          <w:rFonts w:ascii="Times New Roman" w:cs="Times New Roman" w:eastAsia="Times New Roman" w:hAnsi="Times New Roman"/>
          <w:sz w:val="16"/>
          <w:szCs w:val="16"/>
          <w:color w:val="auto"/>
        </w:rPr>
      </w:pPr>
    </w:p>
    <w:p>
      <w:pPr>
        <w:ind w:right="300" w:firstLine="8"/>
        <w:spacing w:after="0" w:line="255" w:lineRule="auto"/>
        <w:tabs>
          <w:tab w:leader="none" w:pos="21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executing oaths, declarations, assignments, powers of attorney and other papers; (ii) communicating to ADSI all facts known to Associate relating to ADSI Intellectual Property, and the history thereof; and (iii) complying with requests of ADSI for perfecting title to ADSI Intellectual Property in ADSI, and for securing, maintaining and enforcing protection for ADSI Intellectual Property.</w:t>
      </w:r>
    </w:p>
    <w:p>
      <w:pPr>
        <w:spacing w:after="0" w:line="192" w:lineRule="exact"/>
        <w:rPr>
          <w:rFonts w:ascii="Times New Roman" w:cs="Times New Roman" w:eastAsia="Times New Roman" w:hAnsi="Times New Roman"/>
          <w:sz w:val="18"/>
          <w:szCs w:val="18"/>
          <w:color w:val="auto"/>
        </w:rPr>
      </w:pPr>
    </w:p>
    <w:p>
      <w:pPr>
        <w:ind w:firstLine="8"/>
        <w:spacing w:after="0" w:line="258" w:lineRule="auto"/>
        <w:tabs>
          <w:tab w:leader="none" w:pos="239"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Associate shall not be entitled to use ADSI Intellectual Property for Associate's benefit or the benefit of anyone except ADSI without written permission from ADSI and then only subject to the terms of such permission. Associate acknowledges that nothing herein is intended to give Associate any rights to, ownership interest in, or license with respect to, any of the Confidential Information, any ADSI Intellectual Property, or any patent, trademark or copyright. Associate waives any moral rights which Associate may have in and to such work.</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Non-Competition.</w:t>
      </w:r>
    </w:p>
    <w:p>
      <w:pPr>
        <w:spacing w:after="0" w:line="227" w:lineRule="exact"/>
        <w:rPr>
          <w:sz w:val="20"/>
          <w:szCs w:val="20"/>
          <w:color w:val="auto"/>
        </w:rPr>
      </w:pPr>
    </w:p>
    <w:p>
      <w:pPr>
        <w:ind w:right="140" w:firstLine="8"/>
        <w:spacing w:after="0" w:line="254" w:lineRule="auto"/>
        <w:tabs>
          <w:tab w:leader="none" w:pos="229"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Associate acknowledges the confidential and sensitive nature of Confidential Information, and that the use or disclosure of, or even the appearance of the use or disclosure of, the Confidential Information in certain circumstances may cause irreparable damage to the business and reputation of ADSI or its Affiliates. Accordingly, and in consideration of the options and the immediate training which ADSI agrees to provide to Associate and ADSI's disclosure of additional Confidential Information as part of that training, including ADSI trade secrets, Associate shall not, within the Designated Geographical Area (defined below), until the expiration of 24 calendar months after the date on which Associate's employment with ADSI terminates (regardless of the circumstances in which the employment has ended), engage, directly or indirectly, in any business, enterprise or employment that is competitive with those aspects of ADSI's Business (defined above) in which Associate was involved or aware (hereinafter the "Non-Competition Covenant"). ADSI and Associate agree that this Non-Competition Covenant is fair and reasonable.</w:t>
      </w:r>
    </w:p>
    <w:p>
      <w:pPr>
        <w:spacing w:after="0" w:line="19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"Designated Geographical Area" shall mean and include any area of any state or foreign jurisdiction (i) in which ADSI or its Affiliates has conducted business or is conducting business at the time Associate ceases to be employed by ADSI, and in which the Associate has worked or has responsibilities, knowledge, or involvement while working for ADSI, or (ii) with respect to which ADSI or its Affiliates made plans, with Associate's knowledge while he was employed by ADSI, to conduct business at any time within 24 calendar months of the date Associate's employment with ADSI terminates.</w:t>
      </w:r>
    </w:p>
    <w:p>
      <w:pPr>
        <w:spacing w:after="0" w:line="190"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Although ADSI and Associate have, in good faith, used their best efforts to make the limitations and scope of the Non-Competition Covenant reasonable, and it is not anticipated or intended by either party to this Agreement that any court of competent jurisdiction would find the Non-Competition Covenant unreasonable, in the event that a court should conclude that the Non-Competition Covenant is unreasonable, Associate and ADSI agree that the provisions should be reformed to restrict Associate's competition with ADSI to the maximum extent enforceable to adequately protect Confidential Information and ADSI's interests, including ADSI trade secrets.</w:t>
      </w:r>
    </w:p>
    <w:p>
      <w:pPr>
        <w:sectPr>
          <w:pgSz w:w="11900" w:h="16838" w:orient="portrait"/>
          <w:cols w:equalWidth="0" w:num="1">
            <w:col w:w="11420"/>
          </w:cols>
          <w:pgMar w:left="240" w:top="339" w:right="239" w:bottom="244" w:gutter="0" w:footer="0" w:header="0"/>
        </w:sectPr>
      </w:pP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1446" name="Picture 1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6"/>
                    <pic:cNvPicPr>
                      <a:picLocks noChangeAspect="1" noChangeArrowheads="1"/>
                    </pic:cNvPicPr>
                  </pic:nvPicPr>
                  <pic:blipFill>
                    <a:blip r:embed="rId14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39" w:right="239" w:bottom="244" w:gutter="0" w:footer="0" w:header="0"/>
          <w:type w:val="continuous"/>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color w:val="auto"/>
        </w:rPr>
        <w:t>6. Actions Contrary to Interests of ADSI.</w:t>
      </w:r>
    </w:p>
    <w:p>
      <w:pPr>
        <w:spacing w:after="0" w:line="227" w:lineRule="exact"/>
        <w:rPr>
          <w:sz w:val="20"/>
          <w:szCs w:val="20"/>
          <w:color w:val="auto"/>
        </w:rPr>
      </w:pPr>
    </w:p>
    <w:p>
      <w:pPr>
        <w:ind w:right="220"/>
        <w:spacing w:after="0" w:line="262" w:lineRule="auto"/>
        <w:rPr>
          <w:sz w:val="20"/>
          <w:szCs w:val="20"/>
          <w:color w:val="auto"/>
        </w:rPr>
      </w:pPr>
      <w:r>
        <w:rPr>
          <w:rFonts w:ascii="Times New Roman" w:cs="Times New Roman" w:eastAsia="Times New Roman" w:hAnsi="Times New Roman"/>
          <w:sz w:val="18"/>
          <w:szCs w:val="18"/>
          <w:color w:val="auto"/>
        </w:rPr>
        <w:t>During the term of Associate's employment with ADSI and for a period of one year immediately following the effective date of termination of the Associate's employment with ADSI, regardless of the circumstances in which the employment has ended, Associate shall not, directly or indirectly, alone or in conjunction with another person in any manner:</w:t>
      </w:r>
    </w:p>
    <w:p>
      <w:pPr>
        <w:spacing w:after="0" w:line="200" w:lineRule="exact"/>
        <w:rPr>
          <w:sz w:val="20"/>
          <w:szCs w:val="20"/>
          <w:color w:val="auto"/>
        </w:rPr>
      </w:pPr>
    </w:p>
    <w:p>
      <w:pPr>
        <w:ind w:left="540" w:right="620" w:hanging="532"/>
        <w:spacing w:after="0" w:line="275" w:lineRule="auto"/>
        <w:tabs>
          <w:tab w:leader="none" w:pos="54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solicit or encourage any officer or Associate of ADSI or its Affiliates to leave the employment of ADSI or its Affiliates or to otherwise harm their relationship with or commitment to ADSI or its Affiliates;</w:t>
      </w:r>
    </w:p>
    <w:p>
      <w:pPr>
        <w:spacing w:after="0" w:line="200" w:lineRule="exact"/>
        <w:rPr>
          <w:rFonts w:ascii="Times New Roman" w:cs="Times New Roman" w:eastAsia="Times New Roman" w:hAnsi="Times New Roman"/>
          <w:sz w:val="18"/>
          <w:szCs w:val="18"/>
          <w:color w:val="auto"/>
        </w:rPr>
      </w:pPr>
    </w:p>
    <w:p>
      <w:pPr>
        <w:ind w:left="540" w:right="260" w:hanging="532"/>
        <w:spacing w:after="0" w:line="275" w:lineRule="auto"/>
        <w:tabs>
          <w:tab w:leader="none" w:pos="54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any officer or Associate who has left the employment of ADSI or its Affiliates within six months of the termination of such officer's or Associate's employment with ADSI or its Affiliates;</w:t>
      </w:r>
    </w:p>
    <w:p>
      <w:pPr>
        <w:spacing w:after="0" w:line="187" w:lineRule="exact"/>
        <w:rPr>
          <w:rFonts w:ascii="Times New Roman" w:cs="Times New Roman" w:eastAsia="Times New Roman" w:hAnsi="Times New Roman"/>
          <w:sz w:val="18"/>
          <w:szCs w:val="18"/>
          <w:color w:val="auto"/>
        </w:rPr>
      </w:pPr>
    </w:p>
    <w:p>
      <w:pPr>
        <w:ind w:left="540" w:right="460" w:hanging="532"/>
        <w:spacing w:after="0" w:line="275" w:lineRule="auto"/>
        <w:tabs>
          <w:tab w:leader="none" w:pos="54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solicit or encourage any independent contractors, suppliers or referral sources performing services for ADSI or its Affiliates to cease or modify such performances or to otherwise harm their relationships with or commitment to ADSI or its Affiliates; or</w:t>
      </w:r>
    </w:p>
    <w:p>
      <w:pPr>
        <w:spacing w:after="0" w:line="187" w:lineRule="exact"/>
        <w:rPr>
          <w:rFonts w:ascii="Times New Roman" w:cs="Times New Roman" w:eastAsia="Times New Roman" w:hAnsi="Times New Roman"/>
          <w:sz w:val="18"/>
          <w:szCs w:val="18"/>
          <w:color w:val="auto"/>
        </w:rPr>
      </w:pPr>
    </w:p>
    <w:p>
      <w:pPr>
        <w:ind w:left="540" w:right="240" w:hanging="532"/>
        <w:spacing w:after="0" w:line="275" w:lineRule="auto"/>
        <w:tabs>
          <w:tab w:leader="none" w:pos="54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solicit, induce or attempt to induce any past, current or prospective customer or supplier of ADSI or its Affiliates to cease doing business in whole or in part with ADSI or its Affiliates.</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Incentive Stock Options.</w:t>
      </w:r>
    </w:p>
    <w:p>
      <w:pPr>
        <w:spacing w:after="0" w:line="227"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Associate hereby acknowledges that, in consideration for the covenants herein, Associate has been granted pursuant to a separate agreement on the date hereof the option(s) to purchase shares of common stock of Alliance Data Systems Corporation pursuant to the Amended and Restated Alliance Data Systems Corporation and its Subsidiaries Stock Option and Restricted Stock Plan.</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ADSI Property.</w:t>
      </w:r>
    </w:p>
    <w:p>
      <w:pPr>
        <w:spacing w:after="0" w:line="227" w:lineRule="exact"/>
        <w:rPr>
          <w:sz w:val="20"/>
          <w:szCs w:val="20"/>
          <w:color w:val="auto"/>
        </w:rPr>
      </w:pPr>
    </w:p>
    <w:p>
      <w:pPr>
        <w:ind w:right="120" w:firstLine="8"/>
        <w:spacing w:after="0" w:line="310" w:lineRule="auto"/>
        <w:tabs>
          <w:tab w:leader="none" w:pos="229" w:val="left"/>
        </w:tabs>
        <w:numPr>
          <w:ilvl w:val="0"/>
          <w:numId w:val="1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memoranda, notes, lists, records, e-mails, computer files and other documents and information (and all copies, versions, and translations thereof) made or compiled by the Associate or made available to the Associate concerning ADSI's Business or ADSI or its Affiliates shall be the property of ADSI and shall be delivered to ADSI at any time upon request. All such property shall be delivered to ADSI immediately upon the cessation of the Associate's employment.</w:t>
      </w:r>
    </w:p>
    <w:p>
      <w:pPr>
        <w:spacing w:after="0" w:line="151" w:lineRule="exact"/>
        <w:rPr>
          <w:rFonts w:ascii="Times New Roman" w:cs="Times New Roman" w:eastAsia="Times New Roman" w:hAnsi="Times New Roman"/>
          <w:sz w:val="16"/>
          <w:szCs w:val="16"/>
          <w:color w:val="auto"/>
        </w:rPr>
      </w:pPr>
    </w:p>
    <w:p>
      <w:pPr>
        <w:ind w:right="60" w:firstLine="8"/>
        <w:spacing w:after="0" w:line="258" w:lineRule="auto"/>
        <w:tabs>
          <w:tab w:leader="none" w:pos="239"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Associate agrees to return to ADSI all documents, materials, computer hardware and software, PDAs, supplies, calling or credit cards, keys, passes, cell phones, pagers and any other property or data that is the property of ADSI or its Affiliates or was used in the course of Associate's employment with ADSI at any time upon request by ADSI. The return of such items shall be made at or before the time of termination of employment or, if that is not possible, as soon thereafter as is possible.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Injunctive Relief.</w:t>
      </w:r>
    </w:p>
    <w:p>
      <w:pPr>
        <w:spacing w:after="0" w:line="227"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Each party acknowledges that the provisions of this Agreement are only such as are reasonably necessary for the protection of ADSI's and its Affiliates' rights in respect of the Confidential Information and ADSI Intellectual Property. Associate agrees that damages alone would not be an adequate remedy for the irreparable harm to ADSI, its affiliates and ADSI's Business that would result from violation of any of the provisions hereof, that ADSI shall be entitled to specific performance and/or similar equitable remedy in respect of by any such violation or any threatened violation of such provisions (and Associate hereby consents to the granting of such relief to enforce the provisions hereof) and that ADSI may enforce its rights under this Agreement by bringing suit for injunctive relief or specific performance without payment of bond or security in connection therewith.</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47" name="Picture 1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7"/>
                    <pic:cNvPicPr>
                      <a:picLocks noChangeAspect="1" noChangeArrowheads="1"/>
                    </pic:cNvPicPr>
                  </pic:nvPicPr>
                  <pic:blipFill>
                    <a:blip r:embed="rId14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Conflicting Obligations.</w:t>
      </w:r>
    </w:p>
    <w:p>
      <w:pPr>
        <w:spacing w:after="0" w:line="227" w:lineRule="exact"/>
        <w:rPr>
          <w:sz w:val="20"/>
          <w:szCs w:val="20"/>
          <w:color w:val="auto"/>
        </w:rPr>
      </w:pPr>
    </w:p>
    <w:p>
      <w:pPr>
        <w:ind w:right="640"/>
        <w:spacing w:after="0" w:line="275" w:lineRule="auto"/>
        <w:rPr>
          <w:sz w:val="20"/>
          <w:szCs w:val="20"/>
          <w:color w:val="auto"/>
        </w:rPr>
      </w:pPr>
      <w:r>
        <w:rPr>
          <w:rFonts w:ascii="Times New Roman" w:cs="Times New Roman" w:eastAsia="Times New Roman" w:hAnsi="Times New Roman"/>
          <w:sz w:val="18"/>
          <w:szCs w:val="18"/>
          <w:color w:val="auto"/>
        </w:rPr>
        <w:t>Associate has listed below all obligations associate has with others pertaining to the subject matter of this Agreement, or which would restrict Associate's acceptance of duty assignments by ADSI.</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General.</w:t>
      </w:r>
    </w:p>
    <w:p>
      <w:pPr>
        <w:spacing w:after="0" w:line="252" w:lineRule="exact"/>
        <w:rPr>
          <w:sz w:val="20"/>
          <w:szCs w:val="20"/>
          <w:color w:val="auto"/>
        </w:rPr>
      </w:pPr>
    </w:p>
    <w:p>
      <w:pPr>
        <w:ind w:left="540" w:right="720" w:hanging="532"/>
        <w:spacing w:after="0" w:line="277" w:lineRule="auto"/>
        <w:tabs>
          <w:tab w:leader="none" w:pos="54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Independent Legal Advice. </w:t>
      </w:r>
      <w:r>
        <w:rPr>
          <w:rFonts w:ascii="Times New Roman" w:cs="Times New Roman" w:eastAsia="Times New Roman" w:hAnsi="Times New Roman"/>
          <w:sz w:val="18"/>
          <w:szCs w:val="18"/>
          <w:color w:val="auto"/>
        </w:rPr>
        <w:t>Associate acknowledges that Associate has been advised by ADSI to obtain independent legal advice, and has had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opportunity to obtain such advice, with respect to the Agreement.</w:t>
      </w:r>
    </w:p>
    <w:p>
      <w:pPr>
        <w:spacing w:after="0" w:line="183" w:lineRule="exact"/>
        <w:rPr>
          <w:rFonts w:ascii="Times New Roman" w:cs="Times New Roman" w:eastAsia="Times New Roman" w:hAnsi="Times New Roman"/>
          <w:sz w:val="18"/>
          <w:szCs w:val="18"/>
          <w:color w:val="auto"/>
        </w:rPr>
      </w:pPr>
    </w:p>
    <w:p>
      <w:pPr>
        <w:ind w:left="540" w:right="140" w:hanging="532"/>
        <w:spacing w:after="0" w:line="259" w:lineRule="auto"/>
        <w:tabs>
          <w:tab w:leader="none" w:pos="54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Entire Agreement. </w:t>
      </w:r>
      <w:r>
        <w:rPr>
          <w:rFonts w:ascii="Times New Roman" w:cs="Times New Roman" w:eastAsia="Times New Roman" w:hAnsi="Times New Roman"/>
          <w:sz w:val="18"/>
          <w:szCs w:val="18"/>
          <w:color w:val="auto"/>
        </w:rPr>
        <w:t>This is the entire agreement and supercedes all prior agreements and understandings, whether oral or written, between the parties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 to the subject matter hereof. This Agreement may not be amended except by the written agreement of the parties hereto. Associate expressly warrants that no promise or agreement that is not herein expressed has been made to Associate in executing this Agreement and that Associate is not relying upon any statement or representation of ADSI or its Affiliates not expressly contained in this Agreement.</w:t>
      </w:r>
    </w:p>
    <w:p>
      <w:pPr>
        <w:spacing w:after="0" w:line="200" w:lineRule="exact"/>
        <w:rPr>
          <w:rFonts w:ascii="Times New Roman" w:cs="Times New Roman" w:eastAsia="Times New Roman" w:hAnsi="Times New Roman"/>
          <w:sz w:val="18"/>
          <w:szCs w:val="18"/>
          <w:color w:val="auto"/>
        </w:rPr>
      </w:pPr>
    </w:p>
    <w:p>
      <w:pPr>
        <w:ind w:left="540" w:hanging="532"/>
        <w:spacing w:after="0" w:line="277" w:lineRule="auto"/>
        <w:tabs>
          <w:tab w:leader="none" w:pos="54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Waiver. </w:t>
      </w:r>
      <w:r>
        <w:rPr>
          <w:rFonts w:ascii="Times New Roman" w:cs="Times New Roman" w:eastAsia="Times New Roman" w:hAnsi="Times New Roman"/>
          <w:sz w:val="18"/>
          <w:szCs w:val="18"/>
          <w:color w:val="auto"/>
        </w:rPr>
        <w:t>Any failure by any party to exercise its rights or remedies hereunder or any delay by such party in the exercise of any of its rights and remedies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hereunder shall not, to the extent permitted by law, operate as a waiver or variation of such or any other right or remedy hereunder.</w:t>
      </w:r>
    </w:p>
    <w:p>
      <w:pPr>
        <w:spacing w:after="0" w:line="197" w:lineRule="exact"/>
        <w:rPr>
          <w:rFonts w:ascii="Times New Roman" w:cs="Times New Roman" w:eastAsia="Times New Roman" w:hAnsi="Times New Roman"/>
          <w:sz w:val="18"/>
          <w:szCs w:val="18"/>
          <w:color w:val="auto"/>
        </w:rPr>
      </w:pPr>
    </w:p>
    <w:p>
      <w:pPr>
        <w:ind w:left="540" w:right="80" w:hanging="532"/>
        <w:spacing w:after="0" w:line="312" w:lineRule="auto"/>
        <w:tabs>
          <w:tab w:leader="none" w:pos="540" w:val="left"/>
        </w:tabs>
        <w:numPr>
          <w:ilvl w:val="0"/>
          <w:numId w:val="1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Severability. </w:t>
      </w:r>
      <w:r>
        <w:rPr>
          <w:rFonts w:ascii="Times New Roman" w:cs="Times New Roman" w:eastAsia="Times New Roman" w:hAnsi="Times New Roman"/>
          <w:sz w:val="16"/>
          <w:szCs w:val="16"/>
          <w:color w:val="auto"/>
        </w:rPr>
        <w:t>Each covenant by Associate contained herein shall be independent and severable from the others, and in the event that any provision of this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Agreement should be invalid, illegal or unenforceable in any respect, the validity, legality and enforceability of the remaining provisions contained herein shall not in any way be affected thereby. Should any provision of this Agreement be held invalid, illegal or unenforceable in any respect, the parties agree</w:t>
      </w:r>
    </w:p>
    <w:p>
      <w:pPr>
        <w:sectPr>
          <w:pgSz w:w="11900" w:h="16838" w:orient="portrait"/>
          <w:cols w:equalWidth="0" w:num="1">
            <w:col w:w="11420"/>
          </w:cols>
          <w:pgMar w:left="240" w:top="339" w:right="239" w:bottom="0" w:gutter="0" w:footer="0" w:header="0"/>
        </w:sectPr>
      </w:pPr>
    </w:p>
    <w:bookmarkStart w:id="88" w:name="page89"/>
    <w:bookmarkEnd w:id="88"/>
    <w:p>
      <w:pPr>
        <w:spacing w:after="0" w:line="3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to negotiate in good faith a valid, legal and enforceable provision effectuating the original intent of the parties.</w:t>
      </w:r>
    </w:p>
    <w:p>
      <w:pPr>
        <w:spacing w:after="0" w:line="237" w:lineRule="exact"/>
        <w:rPr>
          <w:sz w:val="20"/>
          <w:szCs w:val="20"/>
          <w:color w:val="auto"/>
        </w:rPr>
      </w:pPr>
    </w:p>
    <w:p>
      <w:pPr>
        <w:ind w:left="540" w:hanging="532"/>
        <w:spacing w:after="0"/>
        <w:tabs>
          <w:tab w:leader="none" w:pos="54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Assignment. </w:t>
      </w:r>
      <w:r>
        <w:rPr>
          <w:rFonts w:ascii="Times New Roman" w:cs="Times New Roman" w:eastAsia="Times New Roman" w:hAnsi="Times New Roman"/>
          <w:sz w:val="18"/>
          <w:szCs w:val="18"/>
          <w:color w:val="auto"/>
        </w:rPr>
        <w:t>Associate may not assign this Agreement or any of Associate's rights or obligations hereunder.</w:t>
      </w:r>
    </w:p>
    <w:p>
      <w:pPr>
        <w:spacing w:after="0" w:line="252" w:lineRule="exact"/>
        <w:rPr>
          <w:rFonts w:ascii="Times New Roman" w:cs="Times New Roman" w:eastAsia="Times New Roman" w:hAnsi="Times New Roman"/>
          <w:sz w:val="18"/>
          <w:szCs w:val="18"/>
          <w:color w:val="auto"/>
        </w:rPr>
      </w:pPr>
    </w:p>
    <w:p>
      <w:pPr>
        <w:ind w:left="540" w:right="100" w:hanging="532"/>
        <w:spacing w:after="0" w:line="277" w:lineRule="auto"/>
        <w:tabs>
          <w:tab w:leader="none" w:pos="54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Inurement. </w:t>
      </w:r>
      <w:r>
        <w:rPr>
          <w:rFonts w:ascii="Times New Roman" w:cs="Times New Roman" w:eastAsia="Times New Roman" w:hAnsi="Times New Roman"/>
          <w:sz w:val="18"/>
          <w:szCs w:val="18"/>
          <w:color w:val="auto"/>
        </w:rPr>
        <w:t>This Agreement shall inure to the benefit of and shall be binding upon the parties hereto and their respective successors, permitted assigns,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heirs, and personal representatives.</w:t>
      </w:r>
    </w:p>
    <w:p>
      <w:pPr>
        <w:spacing w:after="0" w:line="183" w:lineRule="exact"/>
        <w:rPr>
          <w:rFonts w:ascii="Times New Roman" w:cs="Times New Roman" w:eastAsia="Times New Roman" w:hAnsi="Times New Roman"/>
          <w:sz w:val="18"/>
          <w:szCs w:val="18"/>
          <w:color w:val="auto"/>
        </w:rPr>
      </w:pPr>
    </w:p>
    <w:p>
      <w:pPr>
        <w:ind w:left="540" w:hanging="532"/>
        <w:spacing w:after="0" w:line="259" w:lineRule="auto"/>
        <w:tabs>
          <w:tab w:leader="none" w:pos="54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Governing Law. </w:t>
      </w:r>
      <w:r>
        <w:rPr>
          <w:rFonts w:ascii="Times New Roman" w:cs="Times New Roman" w:eastAsia="Times New Roman" w:hAnsi="Times New Roman"/>
          <w:sz w:val="18"/>
          <w:szCs w:val="18"/>
          <w:color w:val="auto"/>
        </w:rPr>
        <w:t>This Agreement shall be governed by and construed in accordance with the laws of the State of Texas (without regard to such state's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choice of law rules) and the parties agree to the non-exclusive jurisdiction of the courts of the State of Texas to resolve any dispute which may arise between them concerning this Agreement and the subject matter hereof, without prejudice to ADSI's right to commence any action against Associate in any other applicable jurisdiction.</w:t>
      </w:r>
    </w:p>
    <w:p>
      <w:pPr>
        <w:spacing w:after="0" w:line="200" w:lineRule="exact"/>
        <w:rPr>
          <w:rFonts w:ascii="Times New Roman" w:cs="Times New Roman" w:eastAsia="Times New Roman" w:hAnsi="Times New Roman"/>
          <w:sz w:val="18"/>
          <w:szCs w:val="18"/>
          <w:color w:val="auto"/>
        </w:rPr>
      </w:pPr>
    </w:p>
    <w:p>
      <w:pPr>
        <w:ind w:left="540" w:hanging="532"/>
        <w:spacing w:after="0" w:line="342" w:lineRule="auto"/>
        <w:tabs>
          <w:tab w:leader="none" w:pos="540" w:val="left"/>
        </w:tabs>
        <w:numPr>
          <w:ilvl w:val="0"/>
          <w:numId w:val="1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Employment at Will. </w:t>
      </w:r>
      <w:r>
        <w:rPr>
          <w:rFonts w:ascii="Times New Roman" w:cs="Times New Roman" w:eastAsia="Times New Roman" w:hAnsi="Times New Roman"/>
          <w:sz w:val="16"/>
          <w:szCs w:val="16"/>
          <w:color w:val="auto"/>
        </w:rPr>
        <w:t>Associate agrees and acknowledges that Associate's employment may be terminated at any time, with or without cause. Nothing in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this Agreement or in any policy statement or manual shall be construed to limit ADSI's right to terminate this employment relationship at any time.</w:t>
      </w:r>
    </w:p>
    <w:p>
      <w:pPr>
        <w:spacing w:after="0" w:line="12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48" name="Picture 1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8"/>
                    <pic:cNvPicPr>
                      <a:picLocks noChangeAspect="1" noChangeArrowheads="1"/>
                    </pic:cNvPicPr>
                  </pic:nvPicPr>
                  <pic:blipFill>
                    <a:blip r:embed="rId14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ADSI and Associate have executed this agreement as of the date first above written.</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ADS ALLIANCE DATA SYSTEMS,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219710</wp:posOffset>
            </wp:positionV>
            <wp:extent cx="2928620" cy="21590"/>
            <wp:wrapNone/>
            <wp:docPr id="1449" name="Picture 1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9"/>
                    <pic:cNvPicPr>
                      <a:picLocks noChangeAspect="1" noChangeArrowheads="1"/>
                    </pic:cNvPicPr>
                  </pic:nvPicPr>
                  <pic:blipFill>
                    <a:blip r:embed="rId1456">
                      <a:extLst>
                        <a:ext uri="{28A0092B-C50C-407E-A947-70E740481C1C}"/>
                      </a:extLst>
                    </a:blip>
                    <a:srcRect/>
                    <a:stretch>
                      <a:fillRect/>
                    </a:stretch>
                  </pic:blipFill>
                  <pic:spPr bwMode="auto">
                    <a:xfrm>
                      <a:off x="0" y="0"/>
                      <a:ext cx="292862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236855</wp:posOffset>
            </wp:positionV>
            <wp:extent cx="2928620" cy="21590"/>
            <wp:wrapNone/>
            <wp:docPr id="1450" name="Picture 1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0"/>
                    <pic:cNvPicPr>
                      <a:picLocks noChangeAspect="1" noChangeArrowheads="1"/>
                    </pic:cNvPicPr>
                  </pic:nvPicPr>
                  <pic:blipFill>
                    <a:blip r:embed="rId1457">
                      <a:extLst>
                        <a:ext uri="{28A0092B-C50C-407E-A947-70E740481C1C}"/>
                      </a:extLst>
                    </a:blip>
                    <a:srcRect/>
                    <a:stretch>
                      <a:fillRect/>
                    </a:stretch>
                  </pic:blipFill>
                  <pic:spPr bwMode="auto">
                    <a:xfrm>
                      <a:off x="0" y="0"/>
                      <a:ext cx="2928620"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Printed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236855</wp:posOffset>
            </wp:positionV>
            <wp:extent cx="2928620" cy="21590"/>
            <wp:wrapNone/>
            <wp:docPr id="1451" name="Picture 1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1"/>
                    <pic:cNvPicPr>
                      <a:picLocks noChangeAspect="1" noChangeArrowheads="1"/>
                    </pic:cNvPicPr>
                  </pic:nvPicPr>
                  <pic:blipFill>
                    <a:blip r:embed="rId1458">
                      <a:extLst>
                        <a:ext uri="{28A0092B-C50C-407E-A947-70E740481C1C}"/>
                      </a:extLst>
                    </a:blip>
                    <a:srcRect/>
                    <a:stretch>
                      <a:fillRect/>
                    </a:stretch>
                  </pic:blipFill>
                  <pic:spPr bwMode="auto">
                    <a:xfrm>
                      <a:off x="0" y="0"/>
                      <a:ext cx="2928620"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236855</wp:posOffset>
            </wp:positionV>
            <wp:extent cx="2928620" cy="21590"/>
            <wp:wrapNone/>
            <wp:docPr id="1452" name="Picture 1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2"/>
                    <pic:cNvPicPr>
                      <a:picLocks noChangeAspect="1" noChangeArrowheads="1"/>
                    </pic:cNvPicPr>
                  </pic:nvPicPr>
                  <pic:blipFill>
                    <a:blip r:embed="rId1459">
                      <a:extLst>
                        <a:ext uri="{28A0092B-C50C-407E-A947-70E740481C1C}"/>
                      </a:extLst>
                    </a:blip>
                    <a:srcRect/>
                    <a:stretch>
                      <a:fillRect/>
                    </a:stretch>
                  </pic:blipFill>
                  <pic:spPr bwMode="auto">
                    <a:xfrm>
                      <a:off x="0" y="0"/>
                      <a:ext cx="2928620"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236855</wp:posOffset>
            </wp:positionV>
            <wp:extent cx="2928620" cy="21590"/>
            <wp:wrapNone/>
            <wp:docPr id="1453" name="Picture 1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3"/>
                    <pic:cNvPicPr>
                      <a:picLocks noChangeAspect="1" noChangeArrowheads="1"/>
                    </pic:cNvPicPr>
                  </pic:nvPicPr>
                  <pic:blipFill>
                    <a:blip r:embed="rId1460">
                      <a:extLst>
                        <a:ext uri="{28A0092B-C50C-407E-A947-70E740481C1C}"/>
                      </a:extLst>
                    </a:blip>
                    <a:srcRect/>
                    <a:stretch>
                      <a:fillRect/>
                    </a:stretch>
                  </pic:blipFill>
                  <pic:spPr bwMode="auto">
                    <a:xfrm>
                      <a:off x="0" y="0"/>
                      <a:ext cx="2928620"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ASSOCIATE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236855</wp:posOffset>
            </wp:positionV>
            <wp:extent cx="2928620" cy="21590"/>
            <wp:wrapNone/>
            <wp:docPr id="1454" name="Picture 1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4"/>
                    <pic:cNvPicPr>
                      <a:picLocks noChangeAspect="1" noChangeArrowheads="1"/>
                    </pic:cNvPicPr>
                  </pic:nvPicPr>
                  <pic:blipFill>
                    <a:blip r:embed="rId1461">
                      <a:extLst>
                        <a:ext uri="{28A0092B-C50C-407E-A947-70E740481C1C}"/>
                      </a:extLst>
                    </a:blip>
                    <a:srcRect/>
                    <a:stretch>
                      <a:fillRect/>
                    </a:stretch>
                  </pic:blipFill>
                  <pic:spPr bwMode="auto">
                    <a:xfrm>
                      <a:off x="0" y="0"/>
                      <a:ext cx="2928620"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Associate's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236855</wp:posOffset>
            </wp:positionV>
            <wp:extent cx="2928620" cy="21590"/>
            <wp:wrapNone/>
            <wp:docPr id="1455" name="Picture 1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5"/>
                    <pic:cNvPicPr>
                      <a:picLocks noChangeAspect="1" noChangeArrowheads="1"/>
                    </pic:cNvPicPr>
                  </pic:nvPicPr>
                  <pic:blipFill>
                    <a:blip r:embed="rId1462">
                      <a:extLst>
                        <a:ext uri="{28A0092B-C50C-407E-A947-70E740481C1C}"/>
                      </a:extLst>
                    </a:blip>
                    <a:srcRect/>
                    <a:stretch>
                      <a:fillRect/>
                    </a:stretch>
                  </pic:blipFill>
                  <pic:spPr bwMode="auto">
                    <a:xfrm>
                      <a:off x="0" y="0"/>
                      <a:ext cx="2928620"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Printed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236855</wp:posOffset>
            </wp:positionV>
            <wp:extent cx="2928620" cy="21590"/>
            <wp:wrapNone/>
            <wp:docPr id="1456" name="Picture 1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6"/>
                    <pic:cNvPicPr>
                      <a:picLocks noChangeAspect="1" noChangeArrowheads="1"/>
                    </pic:cNvPicPr>
                  </pic:nvPicPr>
                  <pic:blipFill>
                    <a:blip r:embed="rId1463">
                      <a:extLst>
                        <a:ext uri="{28A0092B-C50C-407E-A947-70E740481C1C}"/>
                      </a:extLst>
                    </a:blip>
                    <a:srcRect/>
                    <a:stretch>
                      <a:fillRect/>
                    </a:stretch>
                  </pic:blipFill>
                  <pic:spPr bwMode="auto">
                    <a:xfrm>
                      <a:off x="0" y="0"/>
                      <a:ext cx="2928620"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 OF CONFLICTING OBLIGATIONS, IF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82550</wp:posOffset>
            </wp:positionV>
            <wp:extent cx="2928620" cy="21590"/>
            <wp:wrapNone/>
            <wp:docPr id="1457" name="Picture 1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7"/>
                    <pic:cNvPicPr>
                      <a:picLocks noChangeAspect="1" noChangeArrowheads="1"/>
                    </pic:cNvPicPr>
                  </pic:nvPicPr>
                  <pic:blipFill>
                    <a:blip r:embed="rId1464">
                      <a:extLst>
                        <a:ext uri="{28A0092B-C50C-407E-A947-70E740481C1C}"/>
                      </a:extLst>
                    </a:blip>
                    <a:srcRect/>
                    <a:stretch>
                      <a:fillRect/>
                    </a:stretch>
                  </pic:blipFill>
                  <pic:spPr bwMode="auto">
                    <a:xfrm>
                      <a:off x="0" y="0"/>
                      <a:ext cx="2928620" cy="21590"/>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58" name="Picture 1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8"/>
                    <pic:cNvPicPr>
                      <a:picLocks noChangeAspect="1" noChangeArrowheads="1"/>
                    </pic:cNvPicPr>
                  </pic:nvPicPr>
                  <pic:blipFill>
                    <a:blip r:embed="rId14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QuickLinks</w:t>
      </w:r>
    </w:p>
    <w:p>
      <w:pPr>
        <w:spacing w:after="0" w:line="219" w:lineRule="exact"/>
        <w:rPr>
          <w:sz w:val="20"/>
          <w:szCs w:val="20"/>
          <w:color w:val="auto"/>
        </w:rPr>
      </w:pPr>
    </w:p>
    <w:p>
      <w:pPr>
        <w:ind w:left="540"/>
        <w:spacing w:after="0"/>
        <w:rPr>
          <w:rFonts w:ascii="Times New Roman" w:cs="Times New Roman" w:eastAsia="Times New Roman" w:hAnsi="Times New Roman"/>
          <w:sz w:val="18"/>
          <w:szCs w:val="18"/>
          <w:u w:val="single" w:color="auto"/>
          <w:color w:val="0000EE"/>
        </w:rPr>
      </w:pPr>
      <w:hyperlink w:anchor="page86">
        <w:r>
          <w:rPr>
            <w:rFonts w:ascii="Times New Roman" w:cs="Times New Roman" w:eastAsia="Times New Roman" w:hAnsi="Times New Roman"/>
            <w:sz w:val="18"/>
            <w:szCs w:val="18"/>
            <w:u w:val="single" w:color="auto"/>
            <w:color w:val="0000EE"/>
          </w:rPr>
          <w:t>Exhibit 10.24</w:t>
        </w:r>
      </w:hyperlink>
    </w:p>
    <w:p>
      <w:pPr>
        <w:spacing w:after="0" w:line="225"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86">
        <w:r>
          <w:rPr>
            <w:rFonts w:ascii="Times New Roman" w:cs="Times New Roman" w:eastAsia="Times New Roman" w:hAnsi="Times New Roman"/>
            <w:sz w:val="18"/>
            <w:szCs w:val="18"/>
            <w:u w:val="single" w:color="auto"/>
            <w:color w:val="0000EE"/>
          </w:rPr>
          <w:t>ADS ALLIANCE DATA SYSTEMS, INC. ASSOCIATE CONFIDENTIALITY AGREEMENT</w:t>
        </w:r>
      </w:hyperlink>
    </w:p>
    <w:p>
      <w:pPr>
        <w:spacing w:after="0" w:line="225" w:lineRule="exact"/>
        <w:rPr>
          <w:sz w:val="20"/>
          <w:szCs w:val="20"/>
          <w:color w:val="auto"/>
        </w:rPr>
      </w:pPr>
    </w:p>
    <w:p>
      <w:pPr>
        <w:ind w:left="720" w:hanging="172"/>
        <w:spacing w:after="0"/>
        <w:tabs>
          <w:tab w:leader="none" w:pos="720" w:val="left"/>
        </w:tabs>
        <w:numPr>
          <w:ilvl w:val="0"/>
          <w:numId w:val="127"/>
        </w:numPr>
        <w:rPr>
          <w:rFonts w:ascii="Times New Roman" w:cs="Times New Roman" w:eastAsia="Times New Roman" w:hAnsi="Times New Roman"/>
          <w:sz w:val="18"/>
          <w:szCs w:val="18"/>
          <w:u w:val="single" w:color="auto"/>
          <w:color w:val="0000EE"/>
        </w:rPr>
      </w:pPr>
      <w:hyperlink w:anchor="page86">
        <w:r>
          <w:rPr>
            <w:rFonts w:ascii="Times New Roman" w:cs="Times New Roman" w:eastAsia="Times New Roman" w:hAnsi="Times New Roman"/>
            <w:sz w:val="18"/>
            <w:szCs w:val="18"/>
            <w:u w:val="single" w:color="auto"/>
            <w:color w:val="0000EE"/>
          </w:rPr>
          <w:t>Interpretation.</w:t>
        </w:r>
      </w:hyperlink>
    </w:p>
    <w:p>
      <w:pPr>
        <w:spacing w:after="0" w:line="21" w:lineRule="exact"/>
        <w:rPr>
          <w:rFonts w:ascii="Times New Roman" w:cs="Times New Roman" w:eastAsia="Times New Roman" w:hAnsi="Times New Roman"/>
          <w:sz w:val="18"/>
          <w:szCs w:val="18"/>
          <w:u w:val="single" w:color="auto"/>
          <w:color w:val="0000EE"/>
        </w:rPr>
      </w:pPr>
    </w:p>
    <w:p>
      <w:pPr>
        <w:ind w:left="720" w:hanging="172"/>
        <w:spacing w:after="0"/>
        <w:tabs>
          <w:tab w:leader="none" w:pos="720" w:val="left"/>
        </w:tabs>
        <w:numPr>
          <w:ilvl w:val="0"/>
          <w:numId w:val="127"/>
        </w:numPr>
        <w:rPr>
          <w:rFonts w:ascii="Times New Roman" w:cs="Times New Roman" w:eastAsia="Times New Roman" w:hAnsi="Times New Roman"/>
          <w:sz w:val="18"/>
          <w:szCs w:val="18"/>
          <w:u w:val="single" w:color="auto"/>
          <w:color w:val="0000EE"/>
        </w:rPr>
      </w:pPr>
      <w:hyperlink w:anchor="page86">
        <w:r>
          <w:rPr>
            <w:rFonts w:ascii="Times New Roman" w:cs="Times New Roman" w:eastAsia="Times New Roman" w:hAnsi="Times New Roman"/>
            <w:sz w:val="18"/>
            <w:szCs w:val="18"/>
            <w:u w:val="single" w:color="auto"/>
            <w:color w:val="0000EE"/>
          </w:rPr>
          <w:t>Associate's Obligations.</w:t>
        </w:r>
      </w:hyperlink>
    </w:p>
    <w:p>
      <w:pPr>
        <w:spacing w:after="0" w:line="9" w:lineRule="exact"/>
        <w:rPr>
          <w:rFonts w:ascii="Times New Roman" w:cs="Times New Roman" w:eastAsia="Times New Roman" w:hAnsi="Times New Roman"/>
          <w:sz w:val="18"/>
          <w:szCs w:val="18"/>
          <w:u w:val="single" w:color="auto"/>
          <w:color w:val="0000EE"/>
        </w:rPr>
      </w:pPr>
    </w:p>
    <w:p>
      <w:pPr>
        <w:ind w:left="720" w:hanging="172"/>
        <w:spacing w:after="0"/>
        <w:tabs>
          <w:tab w:leader="none" w:pos="720" w:val="left"/>
        </w:tabs>
        <w:numPr>
          <w:ilvl w:val="0"/>
          <w:numId w:val="127"/>
        </w:numPr>
        <w:rPr>
          <w:rFonts w:ascii="Times New Roman" w:cs="Times New Roman" w:eastAsia="Times New Roman" w:hAnsi="Times New Roman"/>
          <w:sz w:val="18"/>
          <w:szCs w:val="18"/>
          <w:u w:val="single" w:color="auto"/>
          <w:color w:val="0000EE"/>
        </w:rPr>
      </w:pPr>
      <w:hyperlink w:anchor="page87">
        <w:r>
          <w:rPr>
            <w:rFonts w:ascii="Times New Roman" w:cs="Times New Roman" w:eastAsia="Times New Roman" w:hAnsi="Times New Roman"/>
            <w:sz w:val="18"/>
            <w:szCs w:val="18"/>
            <w:u w:val="single" w:color="auto"/>
            <w:color w:val="0000EE"/>
          </w:rPr>
          <w:t>Exceptions.</w:t>
        </w:r>
      </w:hyperlink>
    </w:p>
    <w:p>
      <w:pPr>
        <w:spacing w:after="0" w:line="9" w:lineRule="exact"/>
        <w:rPr>
          <w:rFonts w:ascii="Times New Roman" w:cs="Times New Roman" w:eastAsia="Times New Roman" w:hAnsi="Times New Roman"/>
          <w:sz w:val="18"/>
          <w:szCs w:val="18"/>
          <w:u w:val="single" w:color="auto"/>
          <w:color w:val="0000EE"/>
        </w:rPr>
      </w:pPr>
    </w:p>
    <w:p>
      <w:pPr>
        <w:ind w:left="720" w:hanging="172"/>
        <w:spacing w:after="0"/>
        <w:tabs>
          <w:tab w:leader="none" w:pos="720" w:val="left"/>
        </w:tabs>
        <w:numPr>
          <w:ilvl w:val="0"/>
          <w:numId w:val="127"/>
        </w:numPr>
        <w:rPr>
          <w:rFonts w:ascii="Times New Roman" w:cs="Times New Roman" w:eastAsia="Times New Roman" w:hAnsi="Times New Roman"/>
          <w:sz w:val="18"/>
          <w:szCs w:val="18"/>
          <w:u w:val="single" w:color="auto"/>
          <w:color w:val="0000EE"/>
        </w:rPr>
      </w:pPr>
      <w:hyperlink w:anchor="page87">
        <w:r>
          <w:rPr>
            <w:rFonts w:ascii="Times New Roman" w:cs="Times New Roman" w:eastAsia="Times New Roman" w:hAnsi="Times New Roman"/>
            <w:sz w:val="18"/>
            <w:szCs w:val="18"/>
            <w:u w:val="single" w:color="auto"/>
            <w:color w:val="0000EE"/>
          </w:rPr>
          <w:t>ADSI Intellectual Property.</w:t>
        </w:r>
      </w:hyperlink>
    </w:p>
    <w:p>
      <w:pPr>
        <w:spacing w:after="0" w:line="9" w:lineRule="exact"/>
        <w:rPr>
          <w:rFonts w:ascii="Times New Roman" w:cs="Times New Roman" w:eastAsia="Times New Roman" w:hAnsi="Times New Roman"/>
          <w:sz w:val="18"/>
          <w:szCs w:val="18"/>
          <w:u w:val="single" w:color="auto"/>
          <w:color w:val="0000EE"/>
        </w:rPr>
      </w:pPr>
    </w:p>
    <w:p>
      <w:pPr>
        <w:ind w:left="720" w:hanging="172"/>
        <w:spacing w:after="0"/>
        <w:tabs>
          <w:tab w:leader="none" w:pos="720" w:val="left"/>
        </w:tabs>
        <w:numPr>
          <w:ilvl w:val="0"/>
          <w:numId w:val="127"/>
        </w:numPr>
        <w:rPr>
          <w:rFonts w:ascii="Times New Roman" w:cs="Times New Roman" w:eastAsia="Times New Roman" w:hAnsi="Times New Roman"/>
          <w:sz w:val="18"/>
          <w:szCs w:val="18"/>
          <w:u w:val="single" w:color="auto"/>
          <w:color w:val="0000EE"/>
        </w:rPr>
      </w:pPr>
      <w:hyperlink w:anchor="page87">
        <w:r>
          <w:rPr>
            <w:rFonts w:ascii="Times New Roman" w:cs="Times New Roman" w:eastAsia="Times New Roman" w:hAnsi="Times New Roman"/>
            <w:sz w:val="18"/>
            <w:szCs w:val="18"/>
            <w:u w:val="single" w:color="auto"/>
            <w:color w:val="0000EE"/>
          </w:rPr>
          <w:t>Non-Competition.</w:t>
        </w:r>
      </w:hyperlink>
    </w:p>
    <w:p>
      <w:pPr>
        <w:spacing w:after="0" w:line="9" w:lineRule="exact"/>
        <w:rPr>
          <w:rFonts w:ascii="Times New Roman" w:cs="Times New Roman" w:eastAsia="Times New Roman" w:hAnsi="Times New Roman"/>
          <w:sz w:val="18"/>
          <w:szCs w:val="18"/>
          <w:u w:val="single" w:color="auto"/>
          <w:color w:val="0000EE"/>
        </w:rPr>
      </w:pPr>
    </w:p>
    <w:p>
      <w:pPr>
        <w:ind w:left="720" w:hanging="172"/>
        <w:spacing w:after="0"/>
        <w:tabs>
          <w:tab w:leader="none" w:pos="720" w:val="left"/>
        </w:tabs>
        <w:numPr>
          <w:ilvl w:val="0"/>
          <w:numId w:val="127"/>
        </w:numPr>
        <w:rPr>
          <w:rFonts w:ascii="Times New Roman" w:cs="Times New Roman" w:eastAsia="Times New Roman" w:hAnsi="Times New Roman"/>
          <w:sz w:val="18"/>
          <w:szCs w:val="18"/>
          <w:u w:val="single" w:color="auto"/>
          <w:color w:val="0000EE"/>
        </w:rPr>
      </w:pPr>
      <w:hyperlink w:anchor="page88">
        <w:r>
          <w:rPr>
            <w:rFonts w:ascii="Times New Roman" w:cs="Times New Roman" w:eastAsia="Times New Roman" w:hAnsi="Times New Roman"/>
            <w:sz w:val="18"/>
            <w:szCs w:val="18"/>
            <w:u w:val="single" w:color="auto"/>
            <w:color w:val="0000EE"/>
          </w:rPr>
          <w:t>Actions Contrary to Interests of ADSI.</w:t>
        </w:r>
      </w:hyperlink>
    </w:p>
    <w:p>
      <w:pPr>
        <w:spacing w:after="0" w:line="9" w:lineRule="exact"/>
        <w:rPr>
          <w:rFonts w:ascii="Times New Roman" w:cs="Times New Roman" w:eastAsia="Times New Roman" w:hAnsi="Times New Roman"/>
          <w:sz w:val="18"/>
          <w:szCs w:val="18"/>
          <w:u w:val="single" w:color="auto"/>
          <w:color w:val="0000EE"/>
        </w:rPr>
      </w:pPr>
    </w:p>
    <w:p>
      <w:pPr>
        <w:ind w:left="720" w:hanging="172"/>
        <w:spacing w:after="0"/>
        <w:tabs>
          <w:tab w:leader="none" w:pos="720" w:val="left"/>
        </w:tabs>
        <w:numPr>
          <w:ilvl w:val="0"/>
          <w:numId w:val="127"/>
        </w:numPr>
        <w:rPr>
          <w:rFonts w:ascii="Times New Roman" w:cs="Times New Roman" w:eastAsia="Times New Roman" w:hAnsi="Times New Roman"/>
          <w:sz w:val="18"/>
          <w:szCs w:val="18"/>
          <w:u w:val="single" w:color="auto"/>
          <w:color w:val="0000EE"/>
        </w:rPr>
      </w:pPr>
      <w:hyperlink w:anchor="page88">
        <w:r>
          <w:rPr>
            <w:rFonts w:ascii="Times New Roman" w:cs="Times New Roman" w:eastAsia="Times New Roman" w:hAnsi="Times New Roman"/>
            <w:sz w:val="18"/>
            <w:szCs w:val="18"/>
            <w:u w:val="single" w:color="auto"/>
            <w:color w:val="0000EE"/>
          </w:rPr>
          <w:t>Incentive Stock Options.</w:t>
        </w:r>
      </w:hyperlink>
    </w:p>
    <w:p>
      <w:pPr>
        <w:spacing w:after="0" w:line="9" w:lineRule="exact"/>
        <w:rPr>
          <w:rFonts w:ascii="Times New Roman" w:cs="Times New Roman" w:eastAsia="Times New Roman" w:hAnsi="Times New Roman"/>
          <w:sz w:val="18"/>
          <w:szCs w:val="18"/>
          <w:u w:val="single" w:color="auto"/>
          <w:color w:val="0000EE"/>
        </w:rPr>
      </w:pPr>
    </w:p>
    <w:p>
      <w:pPr>
        <w:ind w:left="720" w:hanging="172"/>
        <w:spacing w:after="0"/>
        <w:tabs>
          <w:tab w:leader="none" w:pos="720" w:val="left"/>
        </w:tabs>
        <w:numPr>
          <w:ilvl w:val="0"/>
          <w:numId w:val="127"/>
        </w:numPr>
        <w:rPr>
          <w:rFonts w:ascii="Times New Roman" w:cs="Times New Roman" w:eastAsia="Times New Roman" w:hAnsi="Times New Roman"/>
          <w:sz w:val="18"/>
          <w:szCs w:val="18"/>
          <w:u w:val="single" w:color="auto"/>
          <w:color w:val="0000EE"/>
        </w:rPr>
      </w:pPr>
      <w:hyperlink w:anchor="page88">
        <w:r>
          <w:rPr>
            <w:rFonts w:ascii="Times New Roman" w:cs="Times New Roman" w:eastAsia="Times New Roman" w:hAnsi="Times New Roman"/>
            <w:sz w:val="18"/>
            <w:szCs w:val="18"/>
            <w:u w:val="single" w:color="auto"/>
            <w:color w:val="0000EE"/>
          </w:rPr>
          <w:t>ADSI Property.</w:t>
        </w:r>
      </w:hyperlink>
    </w:p>
    <w:p>
      <w:pPr>
        <w:spacing w:after="0" w:line="9" w:lineRule="exact"/>
        <w:rPr>
          <w:rFonts w:ascii="Times New Roman" w:cs="Times New Roman" w:eastAsia="Times New Roman" w:hAnsi="Times New Roman"/>
          <w:sz w:val="18"/>
          <w:szCs w:val="18"/>
          <w:u w:val="single" w:color="auto"/>
          <w:color w:val="0000EE"/>
        </w:rPr>
      </w:pPr>
    </w:p>
    <w:p>
      <w:pPr>
        <w:ind w:left="720" w:hanging="172"/>
        <w:spacing w:after="0"/>
        <w:tabs>
          <w:tab w:leader="none" w:pos="720" w:val="left"/>
        </w:tabs>
        <w:numPr>
          <w:ilvl w:val="0"/>
          <w:numId w:val="127"/>
        </w:numPr>
        <w:rPr>
          <w:rFonts w:ascii="Times New Roman" w:cs="Times New Roman" w:eastAsia="Times New Roman" w:hAnsi="Times New Roman"/>
          <w:sz w:val="18"/>
          <w:szCs w:val="18"/>
          <w:u w:val="single" w:color="auto"/>
          <w:color w:val="0000EE"/>
        </w:rPr>
      </w:pPr>
      <w:hyperlink w:anchor="page88">
        <w:r>
          <w:rPr>
            <w:rFonts w:ascii="Times New Roman" w:cs="Times New Roman" w:eastAsia="Times New Roman" w:hAnsi="Times New Roman"/>
            <w:sz w:val="18"/>
            <w:szCs w:val="18"/>
            <w:u w:val="single" w:color="auto"/>
            <w:color w:val="0000EE"/>
          </w:rPr>
          <w:t>Injunctive Relief.</w:t>
        </w:r>
      </w:hyperlink>
    </w:p>
    <w:p>
      <w:pPr>
        <w:spacing w:after="0" w:line="9" w:lineRule="exact"/>
        <w:rPr>
          <w:rFonts w:ascii="Times New Roman" w:cs="Times New Roman" w:eastAsia="Times New Roman" w:hAnsi="Times New Roman"/>
          <w:sz w:val="18"/>
          <w:szCs w:val="18"/>
          <w:u w:val="single" w:color="auto"/>
          <w:color w:val="0000EE"/>
        </w:rPr>
      </w:pPr>
    </w:p>
    <w:p>
      <w:pPr>
        <w:ind w:left="820" w:hanging="272"/>
        <w:spacing w:after="0"/>
        <w:tabs>
          <w:tab w:leader="none" w:pos="820" w:val="left"/>
        </w:tabs>
        <w:numPr>
          <w:ilvl w:val="0"/>
          <w:numId w:val="127"/>
        </w:numPr>
        <w:rPr>
          <w:rFonts w:ascii="Times New Roman" w:cs="Times New Roman" w:eastAsia="Times New Roman" w:hAnsi="Times New Roman"/>
          <w:sz w:val="18"/>
          <w:szCs w:val="18"/>
          <w:u w:val="single" w:color="auto"/>
          <w:color w:val="0000EE"/>
        </w:rPr>
      </w:pPr>
      <w:hyperlink w:anchor="page88">
        <w:r>
          <w:rPr>
            <w:rFonts w:ascii="Times New Roman" w:cs="Times New Roman" w:eastAsia="Times New Roman" w:hAnsi="Times New Roman"/>
            <w:sz w:val="18"/>
            <w:szCs w:val="18"/>
            <w:u w:val="single" w:color="auto"/>
            <w:color w:val="0000EE"/>
          </w:rPr>
          <w:t>Conflicting Obligations.</w:t>
        </w:r>
      </w:hyperlink>
    </w:p>
    <w:p>
      <w:pPr>
        <w:spacing w:after="0" w:line="9" w:lineRule="exact"/>
        <w:rPr>
          <w:rFonts w:ascii="Times New Roman" w:cs="Times New Roman" w:eastAsia="Times New Roman" w:hAnsi="Times New Roman"/>
          <w:sz w:val="18"/>
          <w:szCs w:val="18"/>
          <w:u w:val="single" w:color="auto"/>
          <w:color w:val="0000EE"/>
        </w:rPr>
      </w:pPr>
    </w:p>
    <w:p>
      <w:pPr>
        <w:ind w:left="800" w:hanging="252"/>
        <w:spacing w:after="0"/>
        <w:tabs>
          <w:tab w:leader="none" w:pos="800" w:val="left"/>
        </w:tabs>
        <w:numPr>
          <w:ilvl w:val="0"/>
          <w:numId w:val="127"/>
        </w:numPr>
        <w:rPr>
          <w:rFonts w:ascii="Times New Roman" w:cs="Times New Roman" w:eastAsia="Times New Roman" w:hAnsi="Times New Roman"/>
          <w:sz w:val="18"/>
          <w:szCs w:val="18"/>
          <w:u w:val="single" w:color="auto"/>
          <w:color w:val="0000EE"/>
        </w:rPr>
      </w:pPr>
      <w:hyperlink w:anchor="page88">
        <w:r>
          <w:rPr>
            <w:rFonts w:ascii="Times New Roman" w:cs="Times New Roman" w:eastAsia="Times New Roman" w:hAnsi="Times New Roman"/>
            <w:sz w:val="18"/>
            <w:szCs w:val="18"/>
            <w:u w:val="single" w:color="auto"/>
            <w:color w:val="0000EE"/>
          </w:rPr>
          <w:t>General.</w:t>
        </w:r>
      </w:hyperlink>
    </w:p>
    <w:p>
      <w:pPr>
        <w:spacing w:after="0" w:line="9" w:lineRule="exact"/>
        <w:rPr>
          <w:rFonts w:ascii="Times New Roman" w:cs="Times New Roman" w:eastAsia="Times New Roman" w:hAnsi="Times New Roman"/>
          <w:sz w:val="18"/>
          <w:szCs w:val="18"/>
          <w:u w:val="single" w:color="auto"/>
          <w:color w:val="0000EE"/>
        </w:rPr>
      </w:pPr>
    </w:p>
    <w:p>
      <w:pPr>
        <w:ind w:left="540"/>
        <w:spacing w:after="0"/>
        <w:rPr>
          <w:rFonts w:ascii="Times New Roman" w:cs="Times New Roman" w:eastAsia="Times New Roman" w:hAnsi="Times New Roman"/>
          <w:sz w:val="18"/>
          <w:szCs w:val="18"/>
          <w:u w:val="single" w:color="auto"/>
          <w:color w:val="0000EE"/>
        </w:rPr>
      </w:pPr>
      <w:hyperlink w:anchor="page89">
        <w:r>
          <w:rPr>
            <w:rFonts w:ascii="Times New Roman" w:cs="Times New Roman" w:eastAsia="Times New Roman" w:hAnsi="Times New Roman"/>
            <w:sz w:val="18"/>
            <w:szCs w:val="18"/>
            <w:u w:val="single" w:color="auto"/>
            <w:color w:val="0000EE"/>
          </w:rPr>
          <w:t>ADS ALLIANCE DATA SYSTEMS, INC.</w:t>
        </w:r>
      </w:hyperlink>
    </w:p>
    <w:p>
      <w:pPr>
        <w:sectPr>
          <w:pgSz w:w="11900" w:h="16873" w:orient="portrait"/>
          <w:cols w:equalWidth="0" w:num="1">
            <w:col w:w="11200"/>
          </w:cols>
          <w:pgMar w:left="240" w:top="125" w:right="459" w:bottom="0" w:gutter="0" w:footer="0" w:header="0"/>
        </w:sectPr>
      </w:pPr>
    </w:p>
    <w:bookmarkStart w:id="89" w:name="page90"/>
    <w:bookmarkEnd w:id="89"/>
    <w:p>
      <w:pPr>
        <w:spacing w:after="0"/>
        <w:rPr>
          <w:rFonts w:ascii="Times New Roman" w:cs="Times New Roman" w:eastAsia="Times New Roman" w:hAnsi="Times New Roman"/>
          <w:sz w:val="22"/>
          <w:szCs w:val="22"/>
          <w:color w:val="0000EE"/>
        </w:rPr>
      </w:pPr>
      <w:hyperlink w:anchor="page90">
        <w:r>
          <w:rPr>
            <w:rFonts w:ascii="Times New Roman" w:cs="Times New Roman" w:eastAsia="Times New Roman" w:hAnsi="Times New Roman"/>
            <w:sz w:val="22"/>
            <w:szCs w:val="22"/>
            <w:u w:val="single" w:color="auto"/>
            <w:color w:val="0000EE"/>
          </w:rPr>
          <w:t>QuickLinks</w:t>
        </w:r>
        <w:r>
          <w:rPr>
            <w:rFonts w:ascii="Times New Roman" w:cs="Times New Roman" w:eastAsia="Times New Roman" w:hAnsi="Times New Roman"/>
            <w:sz w:val="22"/>
            <w:szCs w:val="22"/>
            <w:color w:val="0000EE"/>
          </w:rPr>
          <w:t xml:space="preserve"> </w:t>
        </w:r>
      </w:hyperlink>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22"/>
          <w:szCs w:val="22"/>
          <w:color w:val="000000"/>
        </w:rPr>
        <w:t>Click here to rapidly navigate through this document</w:t>
      </w:r>
    </w:p>
    <w:p>
      <w:pPr>
        <w:spacing w:after="0" w:line="200" w:lineRule="exact"/>
        <w:rPr>
          <w:sz w:val="20"/>
          <w:szCs w:val="20"/>
          <w:color w:val="auto"/>
        </w:rPr>
      </w:pPr>
    </w:p>
    <w:p>
      <w:pPr>
        <w:spacing w:after="0" w:line="233" w:lineRule="exact"/>
        <w:rPr>
          <w:sz w:val="20"/>
          <w:szCs w:val="20"/>
          <w:color w:val="auto"/>
        </w:rPr>
      </w:pPr>
    </w:p>
    <w:p>
      <w:pPr>
        <w:ind w:left="10600"/>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List of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Alliance Data Systems Corporation</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20" w:type="dxa"/>
            <w:vAlign w:val="bottom"/>
          </w:tcPr>
          <w:p>
            <w:pPr>
              <w:spacing w:after="0"/>
              <w:rPr>
                <w:sz w:val="13"/>
                <w:szCs w:val="13"/>
                <w:color w:val="auto"/>
              </w:rPr>
            </w:pPr>
          </w:p>
        </w:tc>
        <w:tc>
          <w:tcPr>
            <w:tcW w:w="220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State &amp;</w:t>
            </w:r>
          </w:p>
        </w:tc>
        <w:tc>
          <w:tcPr>
            <w:tcW w:w="20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940" w:type="dxa"/>
            <w:vAlign w:val="bottom"/>
          </w:tcPr>
          <w:p>
            <w:pPr>
              <w:spacing w:after="0"/>
              <w:rPr>
                <w:sz w:val="13"/>
                <w:szCs w:val="13"/>
                <w:color w:val="auto"/>
              </w:rPr>
            </w:pPr>
          </w:p>
        </w:tc>
      </w:tr>
      <w:tr>
        <w:trPr>
          <w:trHeight w:val="178"/>
        </w:trPr>
        <w:tc>
          <w:tcPr>
            <w:tcW w:w="2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 of Direct Subsidiary</w:t>
            </w:r>
          </w:p>
        </w:tc>
        <w:tc>
          <w:tcPr>
            <w:tcW w:w="220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Date of Inc.</w:t>
            </w:r>
          </w:p>
        </w:tc>
        <w:tc>
          <w:tcPr>
            <w:tcW w:w="200" w:type="dxa"/>
            <w:vAlign w:val="bottom"/>
          </w:tcPr>
          <w:p>
            <w:pPr>
              <w:spacing w:after="0"/>
              <w:rPr>
                <w:sz w:val="15"/>
                <w:szCs w:val="15"/>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Doing Business As</w:t>
            </w:r>
          </w:p>
        </w:tc>
        <w:tc>
          <w:tcPr>
            <w:tcW w:w="316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Subsidiaries</w:t>
            </w:r>
          </w:p>
        </w:tc>
      </w:tr>
      <w:tr>
        <w:trPr>
          <w:trHeight w:val="105"/>
        </w:trPr>
        <w:tc>
          <w:tcPr>
            <w:tcW w:w="29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9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940" w:type="dxa"/>
            <w:vAlign w:val="bottom"/>
            <w:tcBorders>
              <w:bottom w:val="single" w:sz="8" w:color="808080"/>
            </w:tcBorders>
          </w:tcPr>
          <w:p>
            <w:pPr>
              <w:spacing w:after="0"/>
              <w:rPr>
                <w:sz w:val="9"/>
                <w:szCs w:val="9"/>
                <w:color w:val="auto"/>
              </w:rPr>
            </w:pPr>
          </w:p>
        </w:tc>
      </w:tr>
      <w:tr>
        <w:trPr>
          <w:trHeight w:val="241"/>
        </w:trPr>
        <w:tc>
          <w:tcPr>
            <w:tcW w:w="2920" w:type="dxa"/>
            <w:vAlign w:val="bottom"/>
          </w:tcPr>
          <w:p>
            <w:pPr>
              <w:spacing w:after="0"/>
              <w:rPr>
                <w:sz w:val="20"/>
                <w:szCs w:val="20"/>
                <w:color w:val="auto"/>
              </w:rPr>
            </w:pPr>
            <w:r>
              <w:rPr>
                <w:rFonts w:ascii="Times New Roman" w:cs="Times New Roman" w:eastAsia="Times New Roman" w:hAnsi="Times New Roman"/>
                <w:sz w:val="14"/>
                <w:szCs w:val="14"/>
                <w:color w:val="auto"/>
              </w:rPr>
              <w:t>ADS Alliance Data Systems, Inc.</w:t>
            </w:r>
          </w:p>
        </w:tc>
        <w:tc>
          <w:tcPr>
            <w:tcW w:w="220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Delaware</w:t>
            </w:r>
          </w:p>
        </w:tc>
        <w:tc>
          <w:tcPr>
            <w:tcW w:w="200" w:type="dxa"/>
            <w:vAlign w:val="bottom"/>
          </w:tcPr>
          <w:p>
            <w:pPr>
              <w:spacing w:after="0"/>
              <w:rPr>
                <w:sz w:val="20"/>
                <w:szCs w:val="20"/>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14"/>
                <w:szCs w:val="14"/>
                <w:color w:val="auto"/>
              </w:rPr>
              <w:t>ADS Alliance Data Systems, Inc.</w:t>
            </w:r>
          </w:p>
        </w:tc>
        <w:tc>
          <w:tcPr>
            <w:tcW w:w="316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LoyaltyOne, Inc.</w:t>
            </w:r>
          </w:p>
        </w:tc>
      </w:tr>
      <w:tr>
        <w:trPr>
          <w:trHeight w:val="145"/>
        </w:trPr>
        <w:tc>
          <w:tcPr>
            <w:tcW w:w="2920" w:type="dxa"/>
            <w:vAlign w:val="bottom"/>
          </w:tcPr>
          <w:p>
            <w:pPr>
              <w:spacing w:after="0"/>
              <w:rPr>
                <w:sz w:val="12"/>
                <w:szCs w:val="12"/>
                <w:color w:val="auto"/>
              </w:rPr>
            </w:pPr>
          </w:p>
        </w:tc>
        <w:tc>
          <w:tcPr>
            <w:tcW w:w="2200" w:type="dxa"/>
            <w:vAlign w:val="bottom"/>
            <w:gridSpan w:val="2"/>
          </w:tcPr>
          <w:p>
            <w:pPr>
              <w:ind w:left="220"/>
              <w:spacing w:after="0" w:line="145" w:lineRule="exact"/>
              <w:rPr>
                <w:sz w:val="20"/>
                <w:szCs w:val="20"/>
                <w:color w:val="auto"/>
              </w:rPr>
            </w:pPr>
            <w:r>
              <w:rPr>
                <w:rFonts w:ascii="Times New Roman" w:cs="Times New Roman" w:eastAsia="Times New Roman" w:hAnsi="Times New Roman"/>
                <w:sz w:val="14"/>
                <w:szCs w:val="14"/>
                <w:color w:val="auto"/>
              </w:rPr>
              <w:t>4/22/83</w:t>
            </w:r>
          </w:p>
        </w:tc>
        <w:tc>
          <w:tcPr>
            <w:tcW w:w="20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3160" w:type="dxa"/>
            <w:vAlign w:val="bottom"/>
            <w:gridSpan w:val="2"/>
          </w:tcPr>
          <w:p>
            <w:pPr>
              <w:ind w:left="220"/>
              <w:spacing w:after="0" w:line="145" w:lineRule="exact"/>
              <w:rPr>
                <w:sz w:val="20"/>
                <w:szCs w:val="20"/>
                <w:color w:val="auto"/>
              </w:rPr>
            </w:pPr>
            <w:r>
              <w:rPr>
                <w:rFonts w:ascii="Times New Roman" w:cs="Times New Roman" w:eastAsia="Times New Roman" w:hAnsi="Times New Roman"/>
                <w:sz w:val="14"/>
                <w:szCs w:val="14"/>
                <w:color w:val="auto"/>
              </w:rPr>
              <w:t>(Ohio 12/13/00)</w:t>
            </w:r>
          </w:p>
        </w:tc>
      </w:tr>
      <w:tr>
        <w:trPr>
          <w:trHeight w:val="153"/>
        </w:trPr>
        <w:tc>
          <w:tcPr>
            <w:tcW w:w="2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940" w:type="dxa"/>
            <w:vAlign w:val="bottom"/>
          </w:tcPr>
          <w:p>
            <w:pPr>
              <w:ind w:left="140"/>
              <w:spacing w:after="0" w:line="153" w:lineRule="exact"/>
              <w:rPr>
                <w:sz w:val="20"/>
                <w:szCs w:val="20"/>
                <w:color w:val="auto"/>
              </w:rPr>
            </w:pPr>
            <w:r>
              <w:rPr>
                <w:rFonts w:ascii="Times New Roman" w:cs="Times New Roman" w:eastAsia="Times New Roman" w:hAnsi="Times New Roman"/>
                <w:sz w:val="14"/>
                <w:szCs w:val="14"/>
                <w:b w:val="1"/>
                <w:bCs w:val="1"/>
                <w:color w:val="auto"/>
              </w:rPr>
              <w:t>Subsidiary</w:t>
            </w:r>
          </w:p>
        </w:tc>
      </w:tr>
      <w:tr>
        <w:trPr>
          <w:trHeight w:val="149"/>
        </w:trPr>
        <w:tc>
          <w:tcPr>
            <w:tcW w:w="2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94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Frequency Marketing, Inc.</w:t>
            </w:r>
          </w:p>
        </w:tc>
      </w:tr>
      <w:tr>
        <w:trPr>
          <w:trHeight w:val="149"/>
        </w:trPr>
        <w:tc>
          <w:tcPr>
            <w:tcW w:w="2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94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(Ohio 10/05/81)</w:t>
            </w:r>
          </w:p>
        </w:tc>
      </w:tr>
      <w:tr>
        <w:trPr>
          <w:trHeight w:val="149"/>
        </w:trPr>
        <w:tc>
          <w:tcPr>
            <w:tcW w:w="2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316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Enlogix, Inc.</w:t>
            </w:r>
          </w:p>
        </w:tc>
      </w:tr>
      <w:tr>
        <w:trPr>
          <w:trHeight w:val="145"/>
        </w:trPr>
        <w:tc>
          <w:tcPr>
            <w:tcW w:w="2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3160" w:type="dxa"/>
            <w:vAlign w:val="bottom"/>
            <w:gridSpan w:val="2"/>
          </w:tcPr>
          <w:p>
            <w:pPr>
              <w:ind w:left="220"/>
              <w:spacing w:after="0" w:line="145" w:lineRule="exact"/>
              <w:rPr>
                <w:sz w:val="20"/>
                <w:szCs w:val="20"/>
                <w:color w:val="auto"/>
              </w:rPr>
            </w:pPr>
            <w:r>
              <w:rPr>
                <w:rFonts w:ascii="Times New Roman" w:cs="Times New Roman" w:eastAsia="Times New Roman" w:hAnsi="Times New Roman"/>
                <w:sz w:val="14"/>
                <w:szCs w:val="14"/>
                <w:color w:val="auto"/>
              </w:rPr>
              <w:t>(Canada, 03/01/02)</w:t>
            </w:r>
          </w:p>
        </w:tc>
      </w:tr>
      <w:tr>
        <w:trPr>
          <w:trHeight w:val="153"/>
        </w:trPr>
        <w:tc>
          <w:tcPr>
            <w:tcW w:w="2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940" w:type="dxa"/>
            <w:vAlign w:val="bottom"/>
          </w:tcPr>
          <w:p>
            <w:pPr>
              <w:ind w:left="140"/>
              <w:spacing w:after="0" w:line="153" w:lineRule="exact"/>
              <w:rPr>
                <w:sz w:val="20"/>
                <w:szCs w:val="20"/>
                <w:color w:val="auto"/>
              </w:rPr>
            </w:pPr>
            <w:r>
              <w:rPr>
                <w:rFonts w:ascii="Times New Roman" w:cs="Times New Roman" w:eastAsia="Times New Roman" w:hAnsi="Times New Roman"/>
                <w:sz w:val="14"/>
                <w:szCs w:val="14"/>
                <w:b w:val="1"/>
                <w:bCs w:val="1"/>
                <w:color w:val="auto"/>
              </w:rPr>
              <w:t>Subsidiary</w:t>
            </w:r>
          </w:p>
        </w:tc>
      </w:tr>
      <w:tr>
        <w:trPr>
          <w:trHeight w:val="149"/>
        </w:trPr>
        <w:tc>
          <w:tcPr>
            <w:tcW w:w="2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9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Alliance Data L.P.</w:t>
            </w:r>
          </w:p>
        </w:tc>
      </w:tr>
      <w:tr>
        <w:trPr>
          <w:trHeight w:val="174"/>
        </w:trPr>
        <w:tc>
          <w:tcPr>
            <w:tcW w:w="2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9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(Ontario, Canada 06/01/98)</w:t>
            </w:r>
          </w:p>
        </w:tc>
      </w:tr>
      <w:tr>
        <w:trPr>
          <w:trHeight w:val="271"/>
        </w:trPr>
        <w:tc>
          <w:tcPr>
            <w:tcW w:w="2920" w:type="dxa"/>
            <w:vAlign w:val="bottom"/>
          </w:tcPr>
          <w:p>
            <w:pPr>
              <w:spacing w:after="0"/>
              <w:rPr>
                <w:sz w:val="20"/>
                <w:szCs w:val="20"/>
                <w:color w:val="auto"/>
              </w:rPr>
            </w:pPr>
            <w:r>
              <w:rPr>
                <w:rFonts w:ascii="Times New Roman" w:cs="Times New Roman" w:eastAsia="Times New Roman" w:hAnsi="Times New Roman"/>
                <w:sz w:val="14"/>
                <w:szCs w:val="14"/>
                <w:color w:val="auto"/>
              </w:rPr>
              <w:t>World Financial Network National Bank</w:t>
            </w:r>
          </w:p>
        </w:tc>
        <w:tc>
          <w:tcPr>
            <w:tcW w:w="220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Federal Charter</w:t>
            </w:r>
          </w:p>
        </w:tc>
        <w:tc>
          <w:tcPr>
            <w:tcW w:w="200" w:type="dxa"/>
            <w:vAlign w:val="bottom"/>
          </w:tcPr>
          <w:p>
            <w:pPr>
              <w:spacing w:after="0"/>
              <w:rPr>
                <w:sz w:val="23"/>
                <w:szCs w:val="23"/>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14"/>
                <w:szCs w:val="14"/>
                <w:color w:val="auto"/>
              </w:rPr>
              <w:t>World Financial Network National Bank</w:t>
            </w:r>
          </w:p>
        </w:tc>
        <w:tc>
          <w:tcPr>
            <w:tcW w:w="316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WFN Credit Company, L.L.C.</w:t>
            </w:r>
          </w:p>
        </w:tc>
      </w:tr>
      <w:tr>
        <w:trPr>
          <w:trHeight w:val="174"/>
        </w:trPr>
        <w:tc>
          <w:tcPr>
            <w:tcW w:w="2920" w:type="dxa"/>
            <w:vAlign w:val="bottom"/>
          </w:tcPr>
          <w:p>
            <w:pPr>
              <w:spacing w:after="0"/>
              <w:rPr>
                <w:sz w:val="15"/>
                <w:szCs w:val="15"/>
                <w:color w:val="auto"/>
              </w:rPr>
            </w:pPr>
          </w:p>
        </w:tc>
        <w:tc>
          <w:tcPr>
            <w:tcW w:w="220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5/1/89</w:t>
            </w:r>
          </w:p>
        </w:tc>
        <w:tc>
          <w:tcPr>
            <w:tcW w:w="20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316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(Delaware Chartered 5/1/01)</w:t>
            </w:r>
          </w:p>
        </w:tc>
      </w:tr>
      <w:tr>
        <w:trPr>
          <w:trHeight w:val="271"/>
        </w:trPr>
        <w:tc>
          <w:tcPr>
            <w:tcW w:w="2920" w:type="dxa"/>
            <w:vAlign w:val="bottom"/>
          </w:tcPr>
          <w:p>
            <w:pPr>
              <w:spacing w:after="0"/>
              <w:rPr>
                <w:sz w:val="20"/>
                <w:szCs w:val="20"/>
                <w:color w:val="auto"/>
              </w:rPr>
            </w:pPr>
            <w:r>
              <w:rPr>
                <w:rFonts w:ascii="Times New Roman" w:cs="Times New Roman" w:eastAsia="Times New Roman" w:hAnsi="Times New Roman"/>
                <w:sz w:val="14"/>
                <w:szCs w:val="14"/>
                <w:color w:val="auto"/>
              </w:rPr>
              <w:t>Alliance Data Systems (New Zealand) Limited</w:t>
            </w:r>
          </w:p>
        </w:tc>
        <w:tc>
          <w:tcPr>
            <w:tcW w:w="220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New Zealand</w:t>
            </w:r>
          </w:p>
        </w:tc>
        <w:tc>
          <w:tcPr>
            <w:tcW w:w="200" w:type="dxa"/>
            <w:vAlign w:val="bottom"/>
          </w:tcPr>
          <w:p>
            <w:pPr>
              <w:spacing w:after="0"/>
              <w:rPr>
                <w:sz w:val="23"/>
                <w:szCs w:val="23"/>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14"/>
                <w:szCs w:val="14"/>
                <w:color w:val="auto"/>
              </w:rPr>
              <w:t>Alliance Data Systems (New Zealand) Limited</w:t>
            </w:r>
          </w:p>
        </w:tc>
        <w:tc>
          <w:tcPr>
            <w:tcW w:w="316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Financial Automation Limited</w:t>
            </w:r>
          </w:p>
        </w:tc>
      </w:tr>
      <w:tr>
        <w:trPr>
          <w:trHeight w:val="174"/>
        </w:trPr>
        <w:tc>
          <w:tcPr>
            <w:tcW w:w="2920" w:type="dxa"/>
            <w:vAlign w:val="bottom"/>
          </w:tcPr>
          <w:p>
            <w:pPr>
              <w:spacing w:after="0"/>
              <w:rPr>
                <w:sz w:val="15"/>
                <w:szCs w:val="15"/>
                <w:color w:val="auto"/>
              </w:rPr>
            </w:pPr>
          </w:p>
        </w:tc>
        <w:tc>
          <w:tcPr>
            <w:tcW w:w="220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11/7/97</w:t>
            </w:r>
          </w:p>
        </w:tc>
        <w:tc>
          <w:tcPr>
            <w:tcW w:w="20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316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(New Zealand 10/01/87)</w:t>
            </w:r>
          </w:p>
        </w:tc>
      </w:tr>
      <w:tr>
        <w:trPr>
          <w:trHeight w:val="271"/>
        </w:trPr>
        <w:tc>
          <w:tcPr>
            <w:tcW w:w="2920" w:type="dxa"/>
            <w:vAlign w:val="bottom"/>
          </w:tcPr>
          <w:p>
            <w:pPr>
              <w:spacing w:after="0"/>
              <w:rPr>
                <w:sz w:val="20"/>
                <w:szCs w:val="20"/>
                <w:color w:val="auto"/>
              </w:rPr>
            </w:pPr>
            <w:r>
              <w:rPr>
                <w:rFonts w:ascii="Times New Roman" w:cs="Times New Roman" w:eastAsia="Times New Roman" w:hAnsi="Times New Roman"/>
                <w:sz w:val="14"/>
                <w:szCs w:val="14"/>
                <w:color w:val="auto"/>
              </w:rPr>
              <w:t>Loyalty Management Group Canada, Inc.</w:t>
            </w:r>
          </w:p>
        </w:tc>
        <w:tc>
          <w:tcPr>
            <w:tcW w:w="220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Toronto, Canada</w:t>
            </w:r>
          </w:p>
        </w:tc>
        <w:tc>
          <w:tcPr>
            <w:tcW w:w="200" w:type="dxa"/>
            <w:vAlign w:val="bottom"/>
          </w:tcPr>
          <w:p>
            <w:pPr>
              <w:spacing w:after="0"/>
              <w:rPr>
                <w:sz w:val="23"/>
                <w:szCs w:val="23"/>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14"/>
                <w:szCs w:val="14"/>
                <w:color w:val="auto"/>
              </w:rPr>
              <w:t>Loyalty Management Group Canada, Inc.</w:t>
            </w:r>
          </w:p>
        </w:tc>
        <w:tc>
          <w:tcPr>
            <w:tcW w:w="316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LMG Travel Services, Ltd.</w:t>
            </w:r>
          </w:p>
        </w:tc>
      </w:tr>
      <w:tr>
        <w:trPr>
          <w:trHeight w:val="149"/>
        </w:trPr>
        <w:tc>
          <w:tcPr>
            <w:tcW w:w="2920" w:type="dxa"/>
            <w:vAlign w:val="bottom"/>
          </w:tcPr>
          <w:p>
            <w:pPr>
              <w:spacing w:after="0"/>
              <w:rPr>
                <w:sz w:val="12"/>
                <w:szCs w:val="12"/>
                <w:color w:val="auto"/>
              </w:rPr>
            </w:pPr>
          </w:p>
        </w:tc>
        <w:tc>
          <w:tcPr>
            <w:tcW w:w="220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amalgamated</w:t>
            </w:r>
          </w:p>
        </w:tc>
        <w:tc>
          <w:tcPr>
            <w:tcW w:w="20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316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(Toronto, Canada 02/21/92)</w:t>
            </w:r>
          </w:p>
        </w:tc>
      </w:tr>
      <w:tr>
        <w:trPr>
          <w:trHeight w:val="149"/>
        </w:trPr>
        <w:tc>
          <w:tcPr>
            <w:tcW w:w="2920" w:type="dxa"/>
            <w:vAlign w:val="bottom"/>
          </w:tcPr>
          <w:p>
            <w:pPr>
              <w:spacing w:after="0"/>
              <w:rPr>
                <w:sz w:val="12"/>
                <w:szCs w:val="12"/>
                <w:color w:val="auto"/>
              </w:rPr>
            </w:pPr>
          </w:p>
        </w:tc>
        <w:tc>
          <w:tcPr>
            <w:tcW w:w="220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07/24/98</w:t>
            </w:r>
          </w:p>
        </w:tc>
        <w:tc>
          <w:tcPr>
            <w:tcW w:w="20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316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Alliance Data L.P.</w:t>
            </w:r>
          </w:p>
        </w:tc>
      </w:tr>
      <w:tr>
        <w:trPr>
          <w:trHeight w:val="174"/>
        </w:trPr>
        <w:tc>
          <w:tcPr>
            <w:tcW w:w="2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316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(Ontario, Canada 06/01/98)</w:t>
            </w:r>
          </w:p>
        </w:tc>
      </w:tr>
      <w:tr>
        <w:trPr>
          <w:trHeight w:val="271"/>
        </w:trPr>
        <w:tc>
          <w:tcPr>
            <w:tcW w:w="2920" w:type="dxa"/>
            <w:vAlign w:val="bottom"/>
          </w:tcPr>
          <w:p>
            <w:pPr>
              <w:spacing w:after="0"/>
              <w:rPr>
                <w:sz w:val="20"/>
                <w:szCs w:val="20"/>
                <w:color w:val="auto"/>
              </w:rPr>
            </w:pPr>
            <w:r>
              <w:rPr>
                <w:rFonts w:ascii="Times New Roman" w:cs="Times New Roman" w:eastAsia="Times New Roman" w:hAnsi="Times New Roman"/>
                <w:sz w:val="14"/>
                <w:szCs w:val="14"/>
                <w:color w:val="auto"/>
              </w:rPr>
              <w:t>ADS Reinsurance Ltd.</w:t>
            </w:r>
          </w:p>
        </w:tc>
        <w:tc>
          <w:tcPr>
            <w:tcW w:w="220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Bermuda</w:t>
            </w:r>
          </w:p>
        </w:tc>
        <w:tc>
          <w:tcPr>
            <w:tcW w:w="200" w:type="dxa"/>
            <w:vAlign w:val="bottom"/>
          </w:tcPr>
          <w:p>
            <w:pPr>
              <w:spacing w:after="0"/>
              <w:rPr>
                <w:sz w:val="23"/>
                <w:szCs w:val="23"/>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14"/>
                <w:szCs w:val="14"/>
                <w:color w:val="auto"/>
              </w:rPr>
              <w:t>ADS Reinsurance Ltd.</w:t>
            </w:r>
          </w:p>
        </w:tc>
        <w:tc>
          <w:tcPr>
            <w:tcW w:w="316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NONE</w:t>
            </w:r>
          </w:p>
        </w:tc>
      </w:tr>
      <w:tr>
        <w:trPr>
          <w:trHeight w:val="174"/>
        </w:trPr>
        <w:tc>
          <w:tcPr>
            <w:tcW w:w="2920" w:type="dxa"/>
            <w:vAlign w:val="bottom"/>
          </w:tcPr>
          <w:p>
            <w:pPr>
              <w:spacing w:after="0"/>
              <w:rPr>
                <w:sz w:val="15"/>
                <w:szCs w:val="15"/>
                <w:color w:val="auto"/>
              </w:rPr>
            </w:pPr>
          </w:p>
        </w:tc>
        <w:tc>
          <w:tcPr>
            <w:tcW w:w="220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11/26/98</w:t>
            </w:r>
          </w:p>
        </w:tc>
        <w:tc>
          <w:tcPr>
            <w:tcW w:w="20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940" w:type="dxa"/>
            <w:vAlign w:val="bottom"/>
          </w:tcPr>
          <w:p>
            <w:pPr>
              <w:spacing w:after="0"/>
              <w:rPr>
                <w:sz w:val="15"/>
                <w:szCs w:val="15"/>
                <w:color w:val="auto"/>
              </w:rPr>
            </w:pPr>
          </w:p>
        </w:tc>
      </w:tr>
      <w:tr>
        <w:trPr>
          <w:trHeight w:val="271"/>
        </w:trPr>
        <w:tc>
          <w:tcPr>
            <w:tcW w:w="2920" w:type="dxa"/>
            <w:vAlign w:val="bottom"/>
          </w:tcPr>
          <w:p>
            <w:pPr>
              <w:spacing w:after="0"/>
              <w:rPr>
                <w:sz w:val="20"/>
                <w:szCs w:val="20"/>
                <w:color w:val="auto"/>
              </w:rPr>
            </w:pPr>
            <w:r>
              <w:rPr>
                <w:rFonts w:ascii="Times New Roman" w:cs="Times New Roman" w:eastAsia="Times New Roman" w:hAnsi="Times New Roman"/>
                <w:sz w:val="14"/>
                <w:szCs w:val="14"/>
                <w:color w:val="auto"/>
              </w:rPr>
              <w:t>ADS Commercial Services, Inc.</w:t>
            </w:r>
          </w:p>
        </w:tc>
        <w:tc>
          <w:tcPr>
            <w:tcW w:w="220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Delaware</w:t>
            </w:r>
          </w:p>
        </w:tc>
        <w:tc>
          <w:tcPr>
            <w:tcW w:w="200" w:type="dxa"/>
            <w:vAlign w:val="bottom"/>
          </w:tcPr>
          <w:p>
            <w:pPr>
              <w:spacing w:after="0"/>
              <w:rPr>
                <w:sz w:val="23"/>
                <w:szCs w:val="23"/>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14"/>
                <w:szCs w:val="14"/>
                <w:color w:val="auto"/>
              </w:rPr>
              <w:t>ADS Commercial Services, Inc.</w:t>
            </w:r>
          </w:p>
        </w:tc>
        <w:tc>
          <w:tcPr>
            <w:tcW w:w="316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NONE</w:t>
            </w:r>
          </w:p>
        </w:tc>
      </w:tr>
      <w:tr>
        <w:trPr>
          <w:trHeight w:val="174"/>
        </w:trPr>
        <w:tc>
          <w:tcPr>
            <w:tcW w:w="2920" w:type="dxa"/>
            <w:vAlign w:val="bottom"/>
          </w:tcPr>
          <w:p>
            <w:pPr>
              <w:spacing w:after="0"/>
              <w:rPr>
                <w:sz w:val="15"/>
                <w:szCs w:val="15"/>
                <w:color w:val="auto"/>
              </w:rPr>
            </w:pPr>
          </w:p>
        </w:tc>
        <w:tc>
          <w:tcPr>
            <w:tcW w:w="220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01/18/95</w:t>
            </w:r>
          </w:p>
        </w:tc>
        <w:tc>
          <w:tcPr>
            <w:tcW w:w="20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940" w:type="dxa"/>
            <w:vAlign w:val="bottom"/>
          </w:tcPr>
          <w:p>
            <w:pPr>
              <w:spacing w:after="0"/>
              <w:rPr>
                <w:sz w:val="15"/>
                <w:szCs w:val="15"/>
                <w:color w:val="auto"/>
              </w:rPr>
            </w:pPr>
          </w:p>
        </w:tc>
      </w:tr>
      <w:tr>
        <w:trPr>
          <w:trHeight w:val="271"/>
        </w:trPr>
        <w:tc>
          <w:tcPr>
            <w:tcW w:w="2920" w:type="dxa"/>
            <w:vAlign w:val="bottom"/>
          </w:tcPr>
          <w:p>
            <w:pPr>
              <w:spacing w:after="0"/>
              <w:rPr>
                <w:sz w:val="20"/>
                <w:szCs w:val="20"/>
                <w:color w:val="auto"/>
              </w:rPr>
            </w:pPr>
            <w:r>
              <w:rPr>
                <w:rFonts w:ascii="Times New Roman" w:cs="Times New Roman" w:eastAsia="Times New Roman" w:hAnsi="Times New Roman"/>
                <w:sz w:val="14"/>
                <w:szCs w:val="14"/>
                <w:color w:val="auto"/>
              </w:rPr>
              <w:t>ADS MB Corporation</w:t>
            </w:r>
          </w:p>
        </w:tc>
        <w:tc>
          <w:tcPr>
            <w:tcW w:w="220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Delaware</w:t>
            </w:r>
          </w:p>
        </w:tc>
        <w:tc>
          <w:tcPr>
            <w:tcW w:w="200" w:type="dxa"/>
            <w:vAlign w:val="bottom"/>
          </w:tcPr>
          <w:p>
            <w:pPr>
              <w:spacing w:after="0"/>
              <w:rPr>
                <w:sz w:val="23"/>
                <w:szCs w:val="23"/>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14"/>
                <w:szCs w:val="14"/>
                <w:color w:val="auto"/>
              </w:rPr>
              <w:t>The Mail Box</w:t>
            </w:r>
          </w:p>
        </w:tc>
        <w:tc>
          <w:tcPr>
            <w:tcW w:w="316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NONE</w:t>
            </w:r>
          </w:p>
        </w:tc>
      </w:tr>
      <w:tr>
        <w:trPr>
          <w:trHeight w:val="174"/>
        </w:trPr>
        <w:tc>
          <w:tcPr>
            <w:tcW w:w="2920" w:type="dxa"/>
            <w:vAlign w:val="bottom"/>
          </w:tcPr>
          <w:p>
            <w:pPr>
              <w:spacing w:after="0"/>
              <w:rPr>
                <w:sz w:val="15"/>
                <w:szCs w:val="15"/>
                <w:color w:val="auto"/>
              </w:rPr>
            </w:pPr>
          </w:p>
        </w:tc>
        <w:tc>
          <w:tcPr>
            <w:tcW w:w="220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08/29/01</w:t>
            </w:r>
          </w:p>
        </w:tc>
        <w:tc>
          <w:tcPr>
            <w:tcW w:w="20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940" w:type="dxa"/>
            <w:vAlign w:val="bottom"/>
          </w:tcPr>
          <w:p>
            <w:pPr>
              <w:spacing w:after="0"/>
              <w:rPr>
                <w:sz w:val="15"/>
                <w:szCs w:val="15"/>
                <w:color w:val="auto"/>
              </w:rPr>
            </w:pPr>
          </w:p>
        </w:tc>
      </w:tr>
      <w:tr>
        <w:trPr>
          <w:trHeight w:val="105"/>
        </w:trPr>
        <w:tc>
          <w:tcPr>
            <w:tcW w:w="29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9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9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94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1846580</wp:posOffset>
            </wp:positionH>
            <wp:positionV relativeFrom="paragraph">
              <wp:posOffset>-2998470</wp:posOffset>
            </wp:positionV>
            <wp:extent cx="12700" cy="8890"/>
            <wp:wrapNone/>
            <wp:docPr id="1459" name="Picture 1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9"/>
                    <pic:cNvPicPr>
                      <a:picLocks noChangeAspect="1" noChangeArrowheads="1"/>
                    </pic:cNvPicPr>
                  </pic:nvPicPr>
                  <pic:blipFill>
                    <a:blip r:embed="rId14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-2998470</wp:posOffset>
            </wp:positionV>
            <wp:extent cx="12700" cy="8890"/>
            <wp:wrapNone/>
            <wp:docPr id="1460" name="Picture 1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0"/>
                    <pic:cNvPicPr>
                      <a:picLocks noChangeAspect="1" noChangeArrowheads="1"/>
                    </pic:cNvPicPr>
                  </pic:nvPicPr>
                  <pic:blipFill>
                    <a:blip r:embed="rId14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3235960</wp:posOffset>
            </wp:positionH>
            <wp:positionV relativeFrom="paragraph">
              <wp:posOffset>-2998470</wp:posOffset>
            </wp:positionV>
            <wp:extent cx="12700" cy="8890"/>
            <wp:wrapNone/>
            <wp:docPr id="1461" name="Picture 1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1"/>
                    <pic:cNvPicPr>
                      <a:picLocks noChangeAspect="1" noChangeArrowheads="1"/>
                    </pic:cNvPicPr>
                  </pic:nvPicPr>
                  <pic:blipFill>
                    <a:blip r:embed="rId14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1992630</wp:posOffset>
            </wp:positionH>
            <wp:positionV relativeFrom="paragraph">
              <wp:posOffset>-2998470</wp:posOffset>
            </wp:positionV>
            <wp:extent cx="12700" cy="8890"/>
            <wp:wrapNone/>
            <wp:docPr id="1462" name="Picture 1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2"/>
                    <pic:cNvPicPr>
                      <a:picLocks noChangeAspect="1" noChangeArrowheads="1"/>
                    </pic:cNvPicPr>
                  </pic:nvPicPr>
                  <pic:blipFill>
                    <a:blip r:embed="rId14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-2998470</wp:posOffset>
            </wp:positionV>
            <wp:extent cx="12700" cy="8890"/>
            <wp:wrapNone/>
            <wp:docPr id="1463" name="Picture 1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3"/>
                    <pic:cNvPicPr>
                      <a:picLocks noChangeAspect="1" noChangeArrowheads="1"/>
                    </pic:cNvPicPr>
                  </pic:nvPicPr>
                  <pic:blipFill>
                    <a:blip r:embed="rId14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3382010</wp:posOffset>
            </wp:positionH>
            <wp:positionV relativeFrom="paragraph">
              <wp:posOffset>-2998470</wp:posOffset>
            </wp:positionV>
            <wp:extent cx="12700" cy="8890"/>
            <wp:wrapNone/>
            <wp:docPr id="1464" name="Picture 1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4"/>
                    <pic:cNvPicPr>
                      <a:picLocks noChangeAspect="1" noChangeArrowheads="1"/>
                    </pic:cNvPicPr>
                  </pic:nvPicPr>
                  <pic:blipFill>
                    <a:blip r:embed="rId14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-2998470</wp:posOffset>
            </wp:positionV>
            <wp:extent cx="12700" cy="8890"/>
            <wp:wrapNone/>
            <wp:docPr id="1465" name="Picture 1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5"/>
                    <pic:cNvPicPr>
                      <a:picLocks noChangeAspect="1" noChangeArrowheads="1"/>
                    </pic:cNvPicPr>
                  </pic:nvPicPr>
                  <pic:blipFill>
                    <a:blip r:embed="rId14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-2998470</wp:posOffset>
            </wp:positionV>
            <wp:extent cx="12700" cy="8890"/>
            <wp:wrapNone/>
            <wp:docPr id="1466" name="Picture 1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6"/>
                    <pic:cNvPicPr>
                      <a:picLocks noChangeAspect="1" noChangeArrowheads="1"/>
                    </pic:cNvPicPr>
                  </pic:nvPicPr>
                  <pic:blipFill>
                    <a:blip r:embed="rId14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67" name="Picture 1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7"/>
                    <pic:cNvPicPr>
                      <a:picLocks noChangeAspect="1" noChangeArrowheads="1"/>
                    </pic:cNvPicPr>
                  </pic:nvPicPr>
                  <pic:blipFill>
                    <a:blip r:embed="rId14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68" name="Picture 1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8"/>
                    <pic:cNvPicPr>
                      <a:picLocks noChangeAspect="1" noChangeArrowheads="1"/>
                    </pic:cNvPicPr>
                  </pic:nvPicPr>
                  <pic:blipFill>
                    <a:blip r:embed="rId147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QuickLinks</w:t>
      </w:r>
    </w:p>
    <w:p>
      <w:pPr>
        <w:spacing w:after="0" w:line="219" w:lineRule="exact"/>
        <w:rPr>
          <w:sz w:val="20"/>
          <w:szCs w:val="20"/>
          <w:color w:val="auto"/>
        </w:rPr>
      </w:pPr>
    </w:p>
    <w:p>
      <w:pPr>
        <w:ind w:left="540"/>
        <w:spacing w:after="0"/>
        <w:rPr>
          <w:rFonts w:ascii="Times New Roman" w:cs="Times New Roman" w:eastAsia="Times New Roman" w:hAnsi="Times New Roman"/>
          <w:sz w:val="18"/>
          <w:szCs w:val="18"/>
          <w:u w:val="single" w:color="auto"/>
          <w:color w:val="0000EE"/>
        </w:rPr>
      </w:pPr>
      <w:hyperlink w:anchor="page90">
        <w:r>
          <w:rPr>
            <w:rFonts w:ascii="Times New Roman" w:cs="Times New Roman" w:eastAsia="Times New Roman" w:hAnsi="Times New Roman"/>
            <w:sz w:val="18"/>
            <w:szCs w:val="18"/>
            <w:u w:val="single" w:color="auto"/>
            <w:color w:val="0000EE"/>
          </w:rPr>
          <w:t>Exhibit 21</w:t>
        </w:r>
      </w:hyperlink>
    </w:p>
    <w:p>
      <w:pPr>
        <w:spacing w:after="0" w:line="225"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90">
        <w:r>
          <w:rPr>
            <w:rFonts w:ascii="Times New Roman" w:cs="Times New Roman" w:eastAsia="Times New Roman" w:hAnsi="Times New Roman"/>
            <w:sz w:val="18"/>
            <w:szCs w:val="18"/>
            <w:u w:val="single" w:color="auto"/>
            <w:color w:val="0000EE"/>
          </w:rPr>
          <w:t>List of Subsidiaries of Alliance Data Systems Corporation</w:t>
        </w:r>
      </w:hyperlink>
    </w:p>
    <w:p>
      <w:pPr>
        <w:sectPr>
          <w:pgSz w:w="11900" w:h="16838" w:orient="portrait"/>
          <w:cols w:equalWidth="0" w:num="1">
            <w:col w:w="11420"/>
          </w:cols>
          <w:pgMar w:left="240" w:top="355" w:right="239" w:bottom="1440" w:gutter="0" w:footer="0" w:header="0"/>
        </w:sectPr>
      </w:pPr>
    </w:p>
    <w:bookmarkStart w:id="90" w:name="page91"/>
    <w:bookmarkEnd w:id="90"/>
    <w:p>
      <w:pPr>
        <w:spacing w:after="0"/>
        <w:rPr>
          <w:rFonts w:ascii="Times New Roman" w:cs="Times New Roman" w:eastAsia="Times New Roman" w:hAnsi="Times New Roman"/>
          <w:sz w:val="22"/>
          <w:szCs w:val="22"/>
          <w:color w:val="0000EE"/>
        </w:rPr>
      </w:pPr>
      <w:hyperlink w:anchor="page91">
        <w:r>
          <w:rPr>
            <w:rFonts w:ascii="Times New Roman" w:cs="Times New Roman" w:eastAsia="Times New Roman" w:hAnsi="Times New Roman"/>
            <w:sz w:val="22"/>
            <w:szCs w:val="22"/>
            <w:u w:val="single" w:color="auto"/>
            <w:color w:val="0000EE"/>
          </w:rPr>
          <w:t>QuickLinks</w:t>
        </w:r>
        <w:r>
          <w:rPr>
            <w:rFonts w:ascii="Times New Roman" w:cs="Times New Roman" w:eastAsia="Times New Roman" w:hAnsi="Times New Roman"/>
            <w:sz w:val="22"/>
            <w:szCs w:val="22"/>
            <w:color w:val="0000EE"/>
          </w:rPr>
          <w:t xml:space="preserve"> </w:t>
        </w:r>
      </w:hyperlink>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22"/>
          <w:szCs w:val="22"/>
          <w:color w:val="000000"/>
        </w:rPr>
        <w:t>Click here to rapidly navigate through this document</w:t>
      </w:r>
    </w:p>
    <w:p>
      <w:pPr>
        <w:spacing w:after="0" w:line="2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INDEPENDENT AUDITORS' CONSENT</w:t>
      </w:r>
    </w:p>
    <w:p>
      <w:pPr>
        <w:spacing w:after="0" w:line="227" w:lineRule="exact"/>
        <w:rPr>
          <w:sz w:val="20"/>
          <w:szCs w:val="20"/>
          <w:color w:val="auto"/>
        </w:rPr>
      </w:pPr>
    </w:p>
    <w:p>
      <w:pPr>
        <w:ind w:right="60" w:firstLine="348"/>
        <w:spacing w:after="0" w:line="258" w:lineRule="auto"/>
        <w:rPr>
          <w:sz w:val="20"/>
          <w:szCs w:val="20"/>
          <w:color w:val="auto"/>
        </w:rPr>
      </w:pPr>
      <w:r>
        <w:rPr>
          <w:rFonts w:ascii="Times New Roman" w:cs="Times New Roman" w:eastAsia="Times New Roman" w:hAnsi="Times New Roman"/>
          <w:sz w:val="18"/>
          <w:szCs w:val="18"/>
          <w:color w:val="auto"/>
        </w:rPr>
        <w:t>We consent to the incorporation by reference in Registration Statement Nos. 333-68134 and 333-65556 of Alliance Data Systems Corporation on Forms S-8 of our report dated February 28, 2003 (which report expresses an unqualified opinion and includes an explanatory paragraph relating to the adoption of Statement of Financial Accounting Standards No. 133 and No. 142), appearing in this Annual Report on Form 10-K of Alliance Data Systems Corporation for the year ended December 31, 2002.</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Deloitte &amp; Touche LLP</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Dallas, TX</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10,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469" name="Picture 1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9"/>
                    <pic:cNvPicPr>
                      <a:picLocks noChangeAspect="1" noChangeArrowheads="1"/>
                    </pic:cNvPicPr>
                  </pic:nvPicPr>
                  <pic:blipFill>
                    <a:blip r:embed="rId14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QuickLinks</w:t>
      </w:r>
    </w:p>
    <w:p>
      <w:pPr>
        <w:spacing w:after="0" w:line="21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91">
        <w:r>
          <w:rPr>
            <w:rFonts w:ascii="Times New Roman" w:cs="Times New Roman" w:eastAsia="Times New Roman" w:hAnsi="Times New Roman"/>
            <w:sz w:val="18"/>
            <w:szCs w:val="18"/>
            <w:u w:val="single" w:color="auto"/>
            <w:color w:val="0000EE"/>
          </w:rPr>
          <w:t>INDEPENDENT AUDITORS' CONSENT</w:t>
        </w:r>
      </w:hyperlink>
    </w:p>
    <w:p>
      <w:pPr>
        <w:sectPr>
          <w:pgSz w:w="11900" w:h="16838" w:orient="portrait"/>
          <w:cols w:equalWidth="0" w:num="1">
            <w:col w:w="11420"/>
          </w:cols>
          <w:pgMar w:left="240" w:top="355" w:right="239" w:bottom="1440" w:gutter="0" w:footer="0" w:header="0"/>
        </w:sectPr>
      </w:pPr>
    </w:p>
    <w:bookmarkStart w:id="91" w:name="page92"/>
    <w:bookmarkEnd w:id="91"/>
    <w:p>
      <w:pPr>
        <w:spacing w:after="0"/>
        <w:rPr>
          <w:rFonts w:ascii="Times New Roman" w:cs="Times New Roman" w:eastAsia="Times New Roman" w:hAnsi="Times New Roman"/>
          <w:sz w:val="22"/>
          <w:szCs w:val="22"/>
          <w:color w:val="0000EE"/>
        </w:rPr>
      </w:pPr>
      <w:hyperlink w:anchor="page92">
        <w:r>
          <w:rPr>
            <w:rFonts w:ascii="Times New Roman" w:cs="Times New Roman" w:eastAsia="Times New Roman" w:hAnsi="Times New Roman"/>
            <w:sz w:val="22"/>
            <w:szCs w:val="22"/>
            <w:u w:val="single" w:color="auto"/>
            <w:color w:val="0000EE"/>
          </w:rPr>
          <w:t>QuickLinks</w:t>
        </w:r>
        <w:r>
          <w:rPr>
            <w:rFonts w:ascii="Times New Roman" w:cs="Times New Roman" w:eastAsia="Times New Roman" w:hAnsi="Times New Roman"/>
            <w:sz w:val="22"/>
            <w:szCs w:val="22"/>
            <w:color w:val="0000EE"/>
          </w:rPr>
          <w:t xml:space="preserve"> </w:t>
        </w:r>
      </w:hyperlink>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22"/>
          <w:szCs w:val="22"/>
          <w:color w:val="000000"/>
        </w:rPr>
        <w:t>Click here to rapidly navigate through this document</w:t>
      </w:r>
    </w:p>
    <w:p>
      <w:pPr>
        <w:spacing w:after="0" w:line="200" w:lineRule="exact"/>
        <w:rPr>
          <w:sz w:val="20"/>
          <w:szCs w:val="20"/>
          <w:color w:val="auto"/>
        </w:rPr>
      </w:pPr>
    </w:p>
    <w:p>
      <w:pPr>
        <w:spacing w:after="0" w:line="23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CERTIFICATION OF</w:t>
      </w:r>
    </w:p>
    <w:p>
      <w:pPr>
        <w:spacing w:after="0" w:line="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ALLIANCE DATA SYSTEMS CORPORATION</w:t>
      </w:r>
    </w:p>
    <w:p>
      <w:pPr>
        <w:spacing w:after="0" w:line="213" w:lineRule="exact"/>
        <w:rPr>
          <w:sz w:val="20"/>
          <w:szCs w:val="20"/>
          <w:color w:val="auto"/>
        </w:rPr>
      </w:pPr>
    </w:p>
    <w:p>
      <w:pPr>
        <w:ind w:right="280"/>
        <w:spacing w:after="0" w:line="275" w:lineRule="auto"/>
        <w:rPr>
          <w:sz w:val="20"/>
          <w:szCs w:val="20"/>
          <w:color w:val="auto"/>
        </w:rPr>
      </w:pPr>
      <w:r>
        <w:rPr>
          <w:rFonts w:ascii="Times New Roman" w:cs="Times New Roman" w:eastAsia="Times New Roman" w:hAnsi="Times New Roman"/>
          <w:sz w:val="18"/>
          <w:szCs w:val="18"/>
          <w:color w:val="auto"/>
        </w:rPr>
        <w:t>This certification is provided pursuant to Section 906 of the Sarbanes-Oxley Act of 2002 and accompanies the annual report on Form 10-K for the year ended December 31, 2002 (the "Form 10-K") of Alliance Data Systems Corporation (the "Registrant").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 Michael Parks, the Chief Executive Officer of the Registrant certify that to the best of my knowledge:</w:t>
      </w:r>
    </w:p>
    <w:p>
      <w:pPr>
        <w:spacing w:after="0" w:line="225" w:lineRule="exact"/>
        <w:rPr>
          <w:sz w:val="20"/>
          <w:szCs w:val="20"/>
          <w:color w:val="auto"/>
        </w:rPr>
      </w:pPr>
    </w:p>
    <w:p>
      <w:pPr>
        <w:ind w:left="540" w:right="20" w:firstLine="447"/>
        <w:spacing w:after="0" w:line="275" w:lineRule="auto"/>
        <w:tabs>
          <w:tab w:leader="none" w:pos="1232"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10-K fully complies with the requirements of section 13(a) or section 15(d) of the Securities Exchange Act of 1934 (15 U.S.C. 78m(a) or 78o(d)); and</w:t>
      </w:r>
    </w:p>
    <w:p>
      <w:pPr>
        <w:spacing w:after="0" w:line="173" w:lineRule="exact"/>
        <w:rPr>
          <w:rFonts w:ascii="Times New Roman" w:cs="Times New Roman" w:eastAsia="Times New Roman" w:hAnsi="Times New Roman"/>
          <w:sz w:val="18"/>
          <w:szCs w:val="18"/>
          <w:color w:val="auto"/>
        </w:rPr>
      </w:pPr>
    </w:p>
    <w:p>
      <w:pPr>
        <w:ind w:left="540" w:right="500" w:firstLine="359"/>
        <w:spacing w:after="0" w:line="275" w:lineRule="auto"/>
        <w:tabs>
          <w:tab w:leader="none" w:pos="1194"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Form 10-K fairly presents, in all material respects, the financial condition and results of operations of the Registrant.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March 10, 2003</w:t>
      </w:r>
    </w:p>
    <w:p>
      <w:pPr>
        <w:spacing w:after="0" w:line="200" w:lineRule="exact"/>
        <w:rPr>
          <w:sz w:val="20"/>
          <w:szCs w:val="20"/>
          <w:color w:val="auto"/>
        </w:rPr>
      </w:pPr>
    </w:p>
    <w:p>
      <w:pPr>
        <w:spacing w:after="0" w:line="24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 J. Michael Parks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2867660</wp:posOffset>
            </wp:positionH>
            <wp:positionV relativeFrom="paragraph">
              <wp:posOffset>81280</wp:posOffset>
            </wp:positionV>
            <wp:extent cx="2645410" cy="21590"/>
            <wp:wrapNone/>
            <wp:docPr id="1470" name="Picture 1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0"/>
                    <pic:cNvPicPr>
                      <a:picLocks noChangeAspect="1" noChangeArrowheads="1"/>
                    </pic:cNvPicPr>
                  </pic:nvPicPr>
                  <pic:blipFill>
                    <a:blip r:embed="rId1477">
                      <a:extLst>
                        <a:ext uri="{28A0092B-C50C-407E-A947-70E740481C1C}"/>
                      </a:extLst>
                    </a:blip>
                    <a:srcRect/>
                    <a:stretch>
                      <a:fillRect/>
                    </a:stretch>
                  </pic:blipFill>
                  <pic:spPr bwMode="auto">
                    <a:xfrm>
                      <a:off x="0" y="0"/>
                      <a:ext cx="2645410" cy="21590"/>
                    </a:xfrm>
                    <a:prstGeom prst="rect">
                      <a:avLst/>
                    </a:prstGeom>
                    <a:noFill/>
                  </pic:spPr>
                </pic:pic>
              </a:graphicData>
            </a:graphic>
          </wp:anchor>
        </w:drawing>
      </w:r>
    </w:p>
    <w:p>
      <w:pPr>
        <w:spacing w:after="0" w:line="23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J. Michael Parks</w:t>
      </w:r>
    </w:p>
    <w:p>
      <w:pPr>
        <w:spacing w:after="0" w:line="2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Subscribed and sworn to before me this 10th day of March,</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2003.</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Jane Baedke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2705735" cy="21590"/>
            <wp:wrapNone/>
            <wp:docPr id="1471" name="Picture 1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1"/>
                    <pic:cNvPicPr>
                      <a:picLocks noChangeAspect="1" noChangeArrowheads="1"/>
                    </pic:cNvPicPr>
                  </pic:nvPicPr>
                  <pic:blipFill>
                    <a:blip r:embed="rId1478">
                      <a:extLst>
                        <a:ext uri="{28A0092B-C50C-407E-A947-70E740481C1C}"/>
                      </a:extLst>
                    </a:blip>
                    <a:srcRect/>
                    <a:stretch>
                      <a:fillRect/>
                    </a:stretch>
                  </pic:blipFill>
                  <pic:spPr bwMode="auto">
                    <a:xfrm>
                      <a:off x="0" y="0"/>
                      <a:ext cx="2705735" cy="215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Jane Baedke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Notary Public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My commission expires: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23,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2705735" cy="21590"/>
            <wp:wrapNone/>
            <wp:docPr id="1472" name="Picture 1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2"/>
                    <pic:cNvPicPr>
                      <a:picLocks noChangeAspect="1" noChangeArrowheads="1"/>
                    </pic:cNvPicPr>
                  </pic:nvPicPr>
                  <pic:blipFill>
                    <a:blip r:embed="rId1479">
                      <a:extLst>
                        <a:ext uri="{28A0092B-C50C-407E-A947-70E740481C1C}"/>
                      </a:extLst>
                    </a:blip>
                    <a:srcRect/>
                    <a:stretch>
                      <a:fillRect/>
                    </a:stretch>
                  </pic:blipFill>
                  <pic:spPr bwMode="auto">
                    <a:xfrm>
                      <a:off x="0" y="0"/>
                      <a:ext cx="2705735"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235585</wp:posOffset>
            </wp:positionV>
            <wp:extent cx="7250430" cy="21590"/>
            <wp:wrapNone/>
            <wp:docPr id="1473" name="Picture 1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3"/>
                    <pic:cNvPicPr>
                      <a:picLocks noChangeAspect="1" noChangeArrowheads="1"/>
                    </pic:cNvPicPr>
                  </pic:nvPicPr>
                  <pic:blipFill>
                    <a:blip r:embed="rId14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QuickLinks</w:t>
      </w:r>
    </w:p>
    <w:p>
      <w:pPr>
        <w:spacing w:after="0" w:line="219" w:lineRule="exact"/>
        <w:rPr>
          <w:sz w:val="20"/>
          <w:szCs w:val="20"/>
          <w:color w:val="auto"/>
        </w:rPr>
      </w:pPr>
    </w:p>
    <w:p>
      <w:pPr>
        <w:ind w:left="540"/>
        <w:spacing w:after="0"/>
        <w:rPr>
          <w:rFonts w:ascii="Times New Roman" w:cs="Times New Roman" w:eastAsia="Times New Roman" w:hAnsi="Times New Roman"/>
          <w:sz w:val="18"/>
          <w:szCs w:val="18"/>
          <w:u w:val="single" w:color="auto"/>
          <w:color w:val="0000EE"/>
        </w:rPr>
      </w:pPr>
      <w:hyperlink w:anchor="page92">
        <w:r>
          <w:rPr>
            <w:rFonts w:ascii="Times New Roman" w:cs="Times New Roman" w:eastAsia="Times New Roman" w:hAnsi="Times New Roman"/>
            <w:sz w:val="18"/>
            <w:szCs w:val="18"/>
            <w:u w:val="single" w:color="auto"/>
            <w:color w:val="0000EE"/>
          </w:rPr>
          <w:t>Exhibit 99.1</w:t>
        </w:r>
      </w:hyperlink>
    </w:p>
    <w:p>
      <w:pPr>
        <w:spacing w:after="0" w:line="225"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92">
        <w:r>
          <w:rPr>
            <w:rFonts w:ascii="Times New Roman" w:cs="Times New Roman" w:eastAsia="Times New Roman" w:hAnsi="Times New Roman"/>
            <w:sz w:val="18"/>
            <w:szCs w:val="18"/>
            <w:u w:val="single" w:color="auto"/>
            <w:color w:val="0000EE"/>
          </w:rPr>
          <w:t>CERTIFICATION OF CHIEF EXECUTIVE OFFICER OF ALLIANCE DATA SYSTEMS CORPORATION</w:t>
        </w:r>
      </w:hyperlink>
    </w:p>
    <w:p>
      <w:pPr>
        <w:sectPr>
          <w:pgSz w:w="11900" w:h="16838" w:orient="portrait"/>
          <w:cols w:equalWidth="0" w:num="1">
            <w:col w:w="11380"/>
          </w:cols>
          <w:pgMar w:left="240" w:top="355" w:right="279" w:bottom="1440" w:gutter="0" w:footer="0" w:header="0"/>
        </w:sectPr>
      </w:pPr>
    </w:p>
    <w:bookmarkStart w:id="92" w:name="page93"/>
    <w:bookmarkEnd w:id="92"/>
    <w:p>
      <w:pPr>
        <w:spacing w:after="0"/>
        <w:rPr>
          <w:rFonts w:ascii="Times New Roman" w:cs="Times New Roman" w:eastAsia="Times New Roman" w:hAnsi="Times New Roman"/>
          <w:sz w:val="22"/>
          <w:szCs w:val="22"/>
          <w:color w:val="0000EE"/>
        </w:rPr>
      </w:pPr>
      <w:hyperlink w:anchor="page93">
        <w:r>
          <w:rPr>
            <w:rFonts w:ascii="Times New Roman" w:cs="Times New Roman" w:eastAsia="Times New Roman" w:hAnsi="Times New Roman"/>
            <w:sz w:val="22"/>
            <w:szCs w:val="22"/>
            <w:u w:val="single" w:color="auto"/>
            <w:color w:val="0000EE"/>
          </w:rPr>
          <w:t>QuickLinks</w:t>
        </w:r>
        <w:r>
          <w:rPr>
            <w:rFonts w:ascii="Times New Roman" w:cs="Times New Roman" w:eastAsia="Times New Roman" w:hAnsi="Times New Roman"/>
            <w:sz w:val="22"/>
            <w:szCs w:val="22"/>
            <w:color w:val="0000EE"/>
          </w:rPr>
          <w:t xml:space="preserve"> </w:t>
        </w:r>
      </w:hyperlink>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22"/>
          <w:szCs w:val="22"/>
          <w:color w:val="000000"/>
        </w:rPr>
        <w:t>Click here to rapidly navigate through this document</w:t>
      </w:r>
    </w:p>
    <w:p>
      <w:pPr>
        <w:spacing w:after="0" w:line="200" w:lineRule="exact"/>
        <w:rPr>
          <w:sz w:val="20"/>
          <w:szCs w:val="20"/>
          <w:color w:val="auto"/>
        </w:rPr>
      </w:pPr>
    </w:p>
    <w:p>
      <w:pPr>
        <w:spacing w:after="0" w:line="23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CERTIFICATION OF</w:t>
      </w:r>
    </w:p>
    <w:p>
      <w:pPr>
        <w:spacing w:after="0" w:line="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ALLIANCE DATA SYSTEMS CORPORATION</w:t>
      </w:r>
    </w:p>
    <w:p>
      <w:pPr>
        <w:spacing w:after="0" w:line="213" w:lineRule="exact"/>
        <w:rPr>
          <w:sz w:val="20"/>
          <w:szCs w:val="20"/>
          <w:color w:val="auto"/>
        </w:rPr>
      </w:pPr>
    </w:p>
    <w:p>
      <w:pPr>
        <w:ind w:right="280"/>
        <w:spacing w:after="0" w:line="275" w:lineRule="auto"/>
        <w:rPr>
          <w:sz w:val="20"/>
          <w:szCs w:val="20"/>
          <w:color w:val="auto"/>
        </w:rPr>
      </w:pPr>
      <w:r>
        <w:rPr>
          <w:rFonts w:ascii="Times New Roman" w:cs="Times New Roman" w:eastAsia="Times New Roman" w:hAnsi="Times New Roman"/>
          <w:sz w:val="18"/>
          <w:szCs w:val="18"/>
          <w:color w:val="auto"/>
        </w:rPr>
        <w:t>This certification is provided pursuant to Section 906 of the Sarbanes-Oxley Act of 2002 and accompanies the annual report on Form 10-K for the year ended December 31, 2002 (the "Form 10-K") of Alliance Data Systems Corporation (the "Registrant").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Edward J. Heffernan, the Chief Financial Officer of the Registrant certify that to the best of my knowledge:</w:t>
      </w:r>
    </w:p>
    <w:p>
      <w:pPr>
        <w:spacing w:after="0" w:line="225" w:lineRule="exact"/>
        <w:rPr>
          <w:sz w:val="20"/>
          <w:szCs w:val="20"/>
          <w:color w:val="auto"/>
        </w:rPr>
      </w:pPr>
    </w:p>
    <w:p>
      <w:pPr>
        <w:ind w:left="540" w:right="20" w:firstLine="447"/>
        <w:spacing w:after="0" w:line="275" w:lineRule="auto"/>
        <w:tabs>
          <w:tab w:leader="none" w:pos="1232"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10-K fully complies with the requirements of section 13(a) or section 15(d) of the Securities Exchange Act of 1934 (15 U.S.C. 78m(a) or 78o(d)); and</w:t>
      </w:r>
    </w:p>
    <w:p>
      <w:pPr>
        <w:spacing w:after="0" w:line="173" w:lineRule="exact"/>
        <w:rPr>
          <w:rFonts w:ascii="Times New Roman" w:cs="Times New Roman" w:eastAsia="Times New Roman" w:hAnsi="Times New Roman"/>
          <w:sz w:val="18"/>
          <w:szCs w:val="18"/>
          <w:color w:val="auto"/>
        </w:rPr>
      </w:pPr>
    </w:p>
    <w:p>
      <w:pPr>
        <w:ind w:left="540" w:right="500" w:firstLine="359"/>
        <w:spacing w:after="0" w:line="275" w:lineRule="auto"/>
        <w:tabs>
          <w:tab w:leader="none" w:pos="1194"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Form 10-K fairly presents, in all material respects, the financial condition and results of operations of the Registrant.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March 10, 2003</w:t>
      </w:r>
    </w:p>
    <w:p>
      <w:pPr>
        <w:spacing w:after="0" w:line="200" w:lineRule="exact"/>
        <w:rPr>
          <w:sz w:val="20"/>
          <w:szCs w:val="20"/>
          <w:color w:val="auto"/>
        </w:rPr>
      </w:pPr>
    </w:p>
    <w:p>
      <w:pPr>
        <w:spacing w:after="0" w:line="24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 Edward J. Heffernan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2867660</wp:posOffset>
            </wp:positionH>
            <wp:positionV relativeFrom="paragraph">
              <wp:posOffset>81280</wp:posOffset>
            </wp:positionV>
            <wp:extent cx="2645410" cy="21590"/>
            <wp:wrapNone/>
            <wp:docPr id="1474" name="Picture 1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4"/>
                    <pic:cNvPicPr>
                      <a:picLocks noChangeAspect="1" noChangeArrowheads="1"/>
                    </pic:cNvPicPr>
                  </pic:nvPicPr>
                  <pic:blipFill>
                    <a:blip r:embed="rId1481">
                      <a:extLst>
                        <a:ext uri="{28A0092B-C50C-407E-A947-70E740481C1C}"/>
                      </a:extLst>
                    </a:blip>
                    <a:srcRect/>
                    <a:stretch>
                      <a:fillRect/>
                    </a:stretch>
                  </pic:blipFill>
                  <pic:spPr bwMode="auto">
                    <a:xfrm>
                      <a:off x="0" y="0"/>
                      <a:ext cx="2645410" cy="21590"/>
                    </a:xfrm>
                    <a:prstGeom prst="rect">
                      <a:avLst/>
                    </a:prstGeom>
                    <a:noFill/>
                  </pic:spPr>
                </pic:pic>
              </a:graphicData>
            </a:graphic>
          </wp:anchor>
        </w:drawing>
      </w:r>
    </w:p>
    <w:p>
      <w:pPr>
        <w:spacing w:after="0" w:line="23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Edward J. Heffernan</w:t>
      </w:r>
    </w:p>
    <w:p>
      <w:pPr>
        <w:spacing w:after="0" w:line="2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Subscribed and sworn to before me this 10th day of March,</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2003.</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Jane Baedke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2705735" cy="21590"/>
            <wp:wrapNone/>
            <wp:docPr id="1475" name="Picture 1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5"/>
                    <pic:cNvPicPr>
                      <a:picLocks noChangeAspect="1" noChangeArrowheads="1"/>
                    </pic:cNvPicPr>
                  </pic:nvPicPr>
                  <pic:blipFill>
                    <a:blip r:embed="rId1482">
                      <a:extLst>
                        <a:ext uri="{28A0092B-C50C-407E-A947-70E740481C1C}"/>
                      </a:extLst>
                    </a:blip>
                    <a:srcRect/>
                    <a:stretch>
                      <a:fillRect/>
                    </a:stretch>
                  </pic:blipFill>
                  <pic:spPr bwMode="auto">
                    <a:xfrm>
                      <a:off x="0" y="0"/>
                      <a:ext cx="2705735" cy="215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Jane Baedke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Notary Public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My commission expires: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23,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2705735" cy="21590"/>
            <wp:wrapNone/>
            <wp:docPr id="1476" name="Picture 1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6"/>
                    <pic:cNvPicPr>
                      <a:picLocks noChangeAspect="1" noChangeArrowheads="1"/>
                    </pic:cNvPicPr>
                  </pic:nvPicPr>
                  <pic:blipFill>
                    <a:blip r:embed="rId1483">
                      <a:extLst>
                        <a:ext uri="{28A0092B-C50C-407E-A947-70E740481C1C}"/>
                      </a:extLst>
                    </a:blip>
                    <a:srcRect/>
                    <a:stretch>
                      <a:fillRect/>
                    </a:stretch>
                  </pic:blipFill>
                  <pic:spPr bwMode="auto">
                    <a:xfrm>
                      <a:off x="0" y="0"/>
                      <a:ext cx="2705735"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235585</wp:posOffset>
            </wp:positionV>
            <wp:extent cx="7250430" cy="21590"/>
            <wp:wrapNone/>
            <wp:docPr id="1477" name="Picture 1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7"/>
                    <pic:cNvPicPr>
                      <a:picLocks noChangeAspect="1" noChangeArrowheads="1"/>
                    </pic:cNvPicPr>
                  </pic:nvPicPr>
                  <pic:blipFill>
                    <a:blip r:embed="rId14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QuickLinks</w:t>
      </w:r>
    </w:p>
    <w:p>
      <w:pPr>
        <w:spacing w:after="0" w:line="219" w:lineRule="exact"/>
        <w:rPr>
          <w:sz w:val="20"/>
          <w:szCs w:val="20"/>
          <w:color w:val="auto"/>
        </w:rPr>
      </w:pPr>
    </w:p>
    <w:p>
      <w:pPr>
        <w:ind w:left="540"/>
        <w:spacing w:after="0"/>
        <w:rPr>
          <w:rFonts w:ascii="Times New Roman" w:cs="Times New Roman" w:eastAsia="Times New Roman" w:hAnsi="Times New Roman"/>
          <w:sz w:val="18"/>
          <w:szCs w:val="18"/>
          <w:u w:val="single" w:color="auto"/>
          <w:color w:val="0000EE"/>
        </w:rPr>
      </w:pPr>
      <w:hyperlink w:anchor="page93">
        <w:r>
          <w:rPr>
            <w:rFonts w:ascii="Times New Roman" w:cs="Times New Roman" w:eastAsia="Times New Roman" w:hAnsi="Times New Roman"/>
            <w:sz w:val="18"/>
            <w:szCs w:val="18"/>
            <w:u w:val="single" w:color="auto"/>
            <w:color w:val="0000EE"/>
          </w:rPr>
          <w:t>Exhibit 99.2</w:t>
        </w:r>
      </w:hyperlink>
    </w:p>
    <w:p>
      <w:pPr>
        <w:spacing w:after="0" w:line="225"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93">
        <w:r>
          <w:rPr>
            <w:rFonts w:ascii="Times New Roman" w:cs="Times New Roman" w:eastAsia="Times New Roman" w:hAnsi="Times New Roman"/>
            <w:sz w:val="18"/>
            <w:szCs w:val="18"/>
            <w:u w:val="single" w:color="auto"/>
            <w:color w:val="0000EE"/>
          </w:rPr>
          <w:t>CERTIFICATION OF CHIEF FINANCIAL OFFICER OF ALLIANCE DATA SYSTEMS CORPORATION</w:t>
        </w:r>
      </w:hyperlink>
    </w:p>
    <w:sectPr>
      <w:pgSz w:w="11900" w:h="16838" w:orient="portrait"/>
      <w:cols w:equalWidth="0" w:num="1">
        <w:col w:w="11380"/>
      </w:cols>
      <w:pgMar w:left="240" w:top="355"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DBABF00"/>
    <w:multiLevelType w:val="hybridMultilevel"/>
    <w:lvl w:ilvl="0">
      <w:lvlJc w:val="left"/>
      <w:lvlText w:val="☒"/>
      <w:numFmt w:val="bullet"/>
      <w:start w:val="1"/>
    </w:lvl>
  </w:abstractNum>
  <w:abstractNum w:abstractNumId="1">
    <w:nsid w:val="4AD084E9"/>
    <w:multiLevelType w:val="hybridMultilevel"/>
    <w:lvl w:ilvl="0">
      <w:lvlJc w:val="left"/>
      <w:lvlText w:val="o"/>
      <w:numFmt w:val="bullet"/>
      <w:start w:val="1"/>
    </w:lvl>
  </w:abstractNum>
  <w:abstractNum w:abstractNumId="2">
    <w:nsid w:val="1F48EAA1"/>
    <w:multiLevelType w:val="hybridMultilevel"/>
    <w:lvl w:ilvl="0">
      <w:lvlJc w:val="left"/>
      <w:lvlText w:val="%1."/>
      <w:numFmt w:val="decimal"/>
      <w:start w:val="1"/>
    </w:lvl>
  </w:abstractNum>
  <w:abstractNum w:abstractNumId="3">
    <w:nsid w:val="1381823A"/>
    <w:multiLevelType w:val="hybridMultilevel"/>
    <w:lvl w:ilvl="0">
      <w:lvlJc w:val="left"/>
      <w:lvlText w:val="%1."/>
      <w:numFmt w:val="decimal"/>
      <w:start w:val="5"/>
    </w:lvl>
  </w:abstractNum>
  <w:abstractNum w:abstractNumId="4">
    <w:nsid w:val="5DB70AE5"/>
    <w:multiLevelType w:val="hybridMultilevel"/>
    <w:lvl w:ilvl="0">
      <w:lvlJc w:val="left"/>
      <w:lvlText w:val="%1."/>
      <w:numFmt w:val="decimal"/>
      <w:start w:val="10"/>
    </w:lvl>
  </w:abstractNum>
  <w:abstractNum w:abstractNumId="5">
    <w:nsid w:val="100F8FCA"/>
    <w:multiLevelType w:val="hybridMultilevel"/>
    <w:lvl w:ilvl="0">
      <w:lvlJc w:val="left"/>
      <w:lvlText w:val="%1."/>
      <w:numFmt w:val="decimal"/>
      <w:start w:val="15"/>
    </w:lvl>
  </w:abstractNum>
  <w:abstractNum w:abstractNumId="6">
    <w:nsid w:val="6590700B"/>
    <w:multiLevelType w:val="hybridMultilevel"/>
    <w:lvl w:ilvl="0">
      <w:lvlJc w:val="left"/>
      <w:lvlText w:val="•"/>
      <w:numFmt w:val="bullet"/>
      <w:start w:val="1"/>
    </w:lvl>
  </w:abstractNum>
  <w:abstractNum w:abstractNumId="7">
    <w:nsid w:val="15014ACB"/>
    <w:multiLevelType w:val="hybridMultilevel"/>
    <w:lvl w:ilvl="0">
      <w:lvlJc w:val="left"/>
      <w:lvlText w:val="•"/>
      <w:numFmt w:val="bullet"/>
      <w:start w:val="1"/>
    </w:lvl>
    <w:lvl w:ilvl="1">
      <w:lvlJc w:val="left"/>
      <w:lvlText w:val="\emdash "/>
      <w:numFmt w:val="bullet"/>
      <w:start w:val="1"/>
    </w:lvl>
  </w:abstractNum>
  <w:abstractNum w:abstractNumId="8">
    <w:nsid w:val="5F5E7FD0"/>
    <w:multiLevelType w:val="hybridMultilevel"/>
    <w:lvl w:ilvl="0">
      <w:lvlJc w:val="left"/>
      <w:lvlText w:val="•"/>
      <w:numFmt w:val="bullet"/>
      <w:start w:val="1"/>
    </w:lvl>
  </w:abstractNum>
  <w:abstractNum w:abstractNumId="9">
    <w:nsid w:val="98A3148"/>
    <w:multiLevelType w:val="hybridMultilevel"/>
    <w:lvl w:ilvl="0">
      <w:lvlJc w:val="left"/>
      <w:lvlText w:val="•"/>
      <w:numFmt w:val="bullet"/>
      <w:start w:val="1"/>
    </w:lvl>
  </w:abstractNum>
  <w:abstractNum w:abstractNumId="10">
    <w:nsid w:val="799D0247"/>
    <w:multiLevelType w:val="hybridMultilevel"/>
    <w:lvl w:ilvl="0">
      <w:lvlJc w:val="left"/>
      <w:lvlText w:val="•"/>
      <w:numFmt w:val="bullet"/>
      <w:start w:val="1"/>
    </w:lvl>
  </w:abstractNum>
  <w:abstractNum w:abstractNumId="11">
    <w:nsid w:val="6B94764"/>
    <w:multiLevelType w:val="hybridMultilevel"/>
    <w:lvl w:ilvl="0">
      <w:lvlJc w:val="left"/>
      <w:lvlText w:val="•"/>
      <w:numFmt w:val="bullet"/>
      <w:start w:val="1"/>
    </w:lvl>
  </w:abstractNum>
  <w:abstractNum w:abstractNumId="12">
    <w:nsid w:val="42C296BD"/>
    <w:multiLevelType w:val="hybridMultilevel"/>
    <w:lvl w:ilvl="0">
      <w:lvlJc w:val="left"/>
      <w:lvlText w:val="•"/>
      <w:numFmt w:val="bullet"/>
      <w:start w:val="1"/>
    </w:lvl>
  </w:abstractNum>
  <w:abstractNum w:abstractNumId="13">
    <w:nsid w:val="168E121F"/>
    <w:multiLevelType w:val="hybridMultilevel"/>
    <w:lvl w:ilvl="0">
      <w:lvlJc w:val="left"/>
      <w:lvlText w:val="(%1)"/>
      <w:numFmt w:val="decimal"/>
      <w:start w:val="2"/>
    </w:lvl>
  </w:abstractNum>
  <w:abstractNum w:abstractNumId="14">
    <w:nsid w:val="1EBA5D23"/>
    <w:multiLevelType w:val="hybridMultilevel"/>
    <w:lvl w:ilvl="0">
      <w:lvlJc w:val="left"/>
      <w:lvlText w:val="•"/>
      <w:numFmt w:val="bullet"/>
      <w:start w:val="1"/>
    </w:lvl>
  </w:abstractNum>
  <w:abstractNum w:abstractNumId="15">
    <w:nsid w:val="661E3F1E"/>
    <w:multiLevelType w:val="hybridMultilevel"/>
    <w:lvl w:ilvl="0">
      <w:lvlJc w:val="left"/>
      <w:lvlText w:val="•"/>
      <w:numFmt w:val="bullet"/>
      <w:start w:val="1"/>
    </w:lvl>
  </w:abstractNum>
  <w:abstractNum w:abstractNumId="16">
    <w:nsid w:val="5DC79EA8"/>
    <w:multiLevelType w:val="hybridMultilevel"/>
    <w:lvl w:ilvl="0">
      <w:lvlJc w:val="left"/>
      <w:lvlText w:val="•"/>
      <w:numFmt w:val="bullet"/>
      <w:start w:val="1"/>
    </w:lvl>
  </w:abstractNum>
  <w:abstractNum w:abstractNumId="17">
    <w:nsid w:val="540A471C"/>
    <w:multiLevelType w:val="hybridMultilevel"/>
    <w:lvl w:ilvl="0">
      <w:lvlJc w:val="left"/>
      <w:lvlText w:val="•"/>
      <w:numFmt w:val="bullet"/>
      <w:start w:val="1"/>
    </w:lvl>
  </w:abstractNum>
  <w:abstractNum w:abstractNumId="18">
    <w:nsid w:val="7BD3EE7B"/>
    <w:multiLevelType w:val="hybridMultilevel"/>
    <w:lvl w:ilvl="0">
      <w:lvlJc w:val="left"/>
      <w:lvlText w:val="•"/>
      <w:numFmt w:val="bullet"/>
      <w:start w:val="1"/>
    </w:lvl>
  </w:abstractNum>
  <w:abstractNum w:abstractNumId="19">
    <w:nsid w:val="51D9C564"/>
    <w:multiLevelType w:val="hybridMultilevel"/>
    <w:lvl w:ilvl="0">
      <w:lvlJc w:val="left"/>
      <w:lvlText w:val="•"/>
      <w:numFmt w:val="bullet"/>
      <w:start w:val="1"/>
    </w:lvl>
  </w:abstractNum>
  <w:abstractNum w:abstractNumId="20">
    <w:nsid w:val="613EFDC5"/>
    <w:multiLevelType w:val="hybridMultilevel"/>
    <w:lvl w:ilvl="0">
      <w:lvlJc w:val="left"/>
      <w:lvlText w:val="•"/>
      <w:numFmt w:val="bullet"/>
      <w:start w:val="1"/>
    </w:lvl>
  </w:abstractNum>
  <w:abstractNum w:abstractNumId="21">
    <w:nsid w:val="BF72B14"/>
    <w:multiLevelType w:val="hybridMultilevel"/>
    <w:lvl w:ilvl="0">
      <w:lvlJc w:val="left"/>
      <w:lvlText w:val="•"/>
      <w:numFmt w:val="bullet"/>
      <w:start w:val="1"/>
    </w:lvl>
  </w:abstractNum>
  <w:abstractNum w:abstractNumId="22">
    <w:nsid w:val="11447B73"/>
    <w:multiLevelType w:val="hybridMultilevel"/>
    <w:lvl w:ilvl="0">
      <w:lvlJc w:val="left"/>
      <w:lvlText w:val="•"/>
      <w:numFmt w:val="bullet"/>
      <w:start w:val="1"/>
    </w:lvl>
  </w:abstractNum>
  <w:abstractNum w:abstractNumId="23">
    <w:nsid w:val="42963E5A"/>
    <w:multiLevelType w:val="hybridMultilevel"/>
    <w:lvl w:ilvl="0">
      <w:lvlJc w:val="left"/>
      <w:lvlText w:val="•"/>
      <w:numFmt w:val="bullet"/>
      <w:start w:val="1"/>
    </w:lvl>
  </w:abstractNum>
  <w:abstractNum w:abstractNumId="24">
    <w:nsid w:val="A0382C5"/>
    <w:multiLevelType w:val="hybridMultilevel"/>
    <w:lvl w:ilvl="0">
      <w:lvlJc w:val="left"/>
      <w:lvlText w:val="•"/>
      <w:numFmt w:val="bullet"/>
      <w:start w:val="1"/>
    </w:lvl>
  </w:abstractNum>
  <w:abstractNum w:abstractNumId="25">
    <w:nsid w:val="8F2B15E"/>
    <w:multiLevelType w:val="hybridMultilevel"/>
    <w:lvl w:ilvl="0">
      <w:lvlJc w:val="left"/>
      <w:lvlText w:val="•"/>
      <w:numFmt w:val="bullet"/>
      <w:start w:val="1"/>
    </w:lvl>
  </w:abstractNum>
  <w:abstractNum w:abstractNumId="26">
    <w:nsid w:val="1A32234B"/>
    <w:multiLevelType w:val="hybridMultilevel"/>
    <w:lvl w:ilvl="0">
      <w:lvlJc w:val="left"/>
      <w:lvlText w:val="•"/>
      <w:numFmt w:val="bullet"/>
      <w:start w:val="1"/>
    </w:lvl>
  </w:abstractNum>
  <w:abstractNum w:abstractNumId="27">
    <w:nsid w:val="3B0FD379"/>
    <w:multiLevelType w:val="hybridMultilevel"/>
    <w:lvl w:ilvl="0">
      <w:lvlJc w:val="left"/>
      <w:lvlText w:val="•"/>
      <w:numFmt w:val="bullet"/>
      <w:start w:val="1"/>
    </w:lvl>
  </w:abstractNum>
  <w:abstractNum w:abstractNumId="28">
    <w:nsid w:val="68EB2F63"/>
    <w:multiLevelType w:val="hybridMultilevel"/>
    <w:lvl w:ilvl="0">
      <w:lvlJc w:val="left"/>
      <w:lvlText w:val="(%1)"/>
      <w:numFmt w:val="decimal"/>
      <w:start w:val="1"/>
    </w:lvl>
  </w:abstractNum>
  <w:abstractNum w:abstractNumId="29">
    <w:nsid w:val="4962813B"/>
    <w:multiLevelType w:val="hybridMultilevel"/>
    <w:lvl w:ilvl="0">
      <w:lvlJc w:val="left"/>
      <w:lvlText w:val="•"/>
      <w:numFmt w:val="bullet"/>
      <w:start w:val="1"/>
    </w:lvl>
  </w:abstractNum>
  <w:abstractNum w:abstractNumId="30">
    <w:nsid w:val="60B6DF70"/>
    <w:multiLevelType w:val="hybridMultilevel"/>
    <w:lvl w:ilvl="0">
      <w:lvlJc w:val="left"/>
      <w:lvlText w:val="(%1)"/>
      <w:numFmt w:val="lowerLetter"/>
      <w:start w:val="1"/>
    </w:lvl>
    <w:lvl w:ilvl="1">
      <w:lvlJc w:val="left"/>
      <w:lvlText w:val="(%2)"/>
      <w:numFmt w:val="decimal"/>
      <w:start w:val="1"/>
    </w:lvl>
  </w:abstractNum>
  <w:abstractNum w:abstractNumId="31">
    <w:nsid w:val="6A5EE64"/>
    <w:multiLevelType w:val="hybridMultilevel"/>
    <w:lvl w:ilvl="0">
      <w:lvlJc w:val="left"/>
      <w:lvlText w:val="2"/>
      <w:numFmt w:val="bullet"/>
      <w:start w:val="1"/>
    </w:lvl>
  </w:abstractNum>
  <w:abstractNum w:abstractNumId="32">
    <w:nsid w:val="14330624"/>
    <w:multiLevelType w:val="hybridMultilevel"/>
    <w:lvl w:ilvl="0">
      <w:lvlJc w:val="left"/>
      <w:lvlText w:val="4"/>
      <w:numFmt w:val="bullet"/>
      <w:start w:val="1"/>
    </w:lvl>
  </w:abstractNum>
  <w:abstractNum w:abstractNumId="33">
    <w:nsid w:val="7FFFCA11"/>
    <w:multiLevelType w:val="hybridMultilevel"/>
    <w:lvl w:ilvl="0">
      <w:lvlJc w:val="left"/>
      <w:lvlText w:val="*"/>
      <w:numFmt w:val="bullet"/>
      <w:start w:val="1"/>
    </w:lvl>
  </w:abstractNum>
  <w:abstractNum w:abstractNumId="34">
    <w:nsid w:val="1A27709E"/>
    <w:multiLevelType w:val="hybridMultilevel"/>
    <w:lvl w:ilvl="0">
      <w:lvlJc w:val="left"/>
      <w:lvlText w:val="+"/>
      <w:numFmt w:val="bullet"/>
      <w:start w:val="1"/>
    </w:lvl>
    <w:lvl w:ilvl="1">
      <w:lvlJc w:val="left"/>
      <w:lvlText w:val="(%2)"/>
      <w:numFmt w:val="lowerLetter"/>
      <w:start w:val="2"/>
    </w:lvl>
    <w:lvl w:ilvl="2">
      <w:lvlJc w:val="left"/>
      <w:lvlText w:val="(%3)"/>
      <w:numFmt w:val="decimal"/>
      <w:start w:val="1"/>
    </w:lvl>
  </w:abstractNum>
  <w:abstractNum w:abstractNumId="35">
    <w:nsid w:val="71EA1109"/>
    <w:multiLevelType w:val="hybridMultilevel"/>
    <w:lvl w:ilvl="0">
      <w:lvlJc w:val="left"/>
      <w:lvlText w:val="%1."/>
      <w:numFmt w:val="decimal"/>
      <w:start w:val="14"/>
    </w:lvl>
  </w:abstractNum>
  <w:abstractNum w:abstractNumId="36">
    <w:nsid w:val="100F59DC"/>
    <w:multiLevelType w:val="hybridMultilevel"/>
    <w:lvl w:ilvl="0">
      <w:lvlJc w:val="left"/>
      <w:lvlText w:val="•"/>
      <w:numFmt w:val="bullet"/>
      <w:start w:val="1"/>
    </w:lvl>
  </w:abstractNum>
  <w:abstractNum w:abstractNumId="37">
    <w:nsid w:val="7FB7E0AA"/>
    <w:multiLevelType w:val="hybridMultilevel"/>
    <w:lvl w:ilvl="0">
      <w:lvlJc w:val="left"/>
      <w:lvlText w:val="(%1)"/>
      <w:numFmt w:val="decimal"/>
      <w:start w:val="1"/>
    </w:lvl>
  </w:abstractNum>
  <w:abstractNum w:abstractNumId="38">
    <w:nsid w:val="6EB5BD4"/>
    <w:multiLevelType w:val="hybridMultilevel"/>
    <w:lvl w:ilvl="0">
      <w:lvlJc w:val="left"/>
      <w:lvlText w:val="•"/>
      <w:numFmt w:val="bullet"/>
      <w:start w:val="1"/>
    </w:lvl>
  </w:abstractNum>
  <w:abstractNum w:abstractNumId="39">
    <w:nsid w:val="6F6DD9AC"/>
    <w:multiLevelType w:val="hybridMultilevel"/>
    <w:lvl w:ilvl="0">
      <w:lvlJc w:val="left"/>
      <w:lvlText w:val="•"/>
      <w:numFmt w:val="bullet"/>
      <w:start w:val="1"/>
    </w:lvl>
  </w:abstractNum>
  <w:abstractNum w:abstractNumId="40">
    <w:nsid w:val="94211F2"/>
    <w:multiLevelType w:val="hybridMultilevel"/>
    <w:lvl w:ilvl="0">
      <w:lvlJc w:val="left"/>
      <w:lvlText w:val="(%1)"/>
      <w:numFmt w:val="decimal"/>
      <w:start w:val="1"/>
    </w:lvl>
  </w:abstractNum>
  <w:abstractNum w:abstractNumId="41">
    <w:nsid w:val="885E1B"/>
    <w:multiLevelType w:val="hybridMultilevel"/>
    <w:lvl w:ilvl="0">
      <w:lvlJc w:val="left"/>
      <w:lvlText w:val="%1."/>
      <w:numFmt w:val="decimal"/>
      <w:start w:val="1"/>
    </w:lvl>
    <w:lvl w:ilvl="1">
      <w:lvlJc w:val="left"/>
      <w:lvlText w:val="(%2)"/>
      <w:numFmt w:val="lowerLetter"/>
      <w:start w:val="1"/>
    </w:lvl>
  </w:abstractNum>
  <w:abstractNum w:abstractNumId="42">
    <w:nsid w:val="76272110"/>
    <w:multiLevelType w:val="hybridMultilevel"/>
    <w:lvl w:ilvl="0">
      <w:lvlJc w:val="left"/>
      <w:lvlText w:val="%1."/>
      <w:numFmt w:val="decimal"/>
      <w:start w:val="1"/>
    </w:lvl>
    <w:lvl w:ilvl="1">
      <w:lvlJc w:val="left"/>
      <w:lvlText w:val="(%2)"/>
      <w:numFmt w:val="lowerLetter"/>
      <w:start w:val="1"/>
    </w:lvl>
  </w:abstractNum>
  <w:abstractNum w:abstractNumId="43">
    <w:nsid w:val="4C04A8AF"/>
    <w:multiLevelType w:val="hybridMultilevel"/>
    <w:lvl w:ilvl="0">
      <w:lvlJc w:val="left"/>
      <w:lvlText w:val="%1."/>
      <w:numFmt w:val="decimal"/>
      <w:start w:val="1"/>
    </w:lvl>
  </w:abstractNum>
  <w:abstractNum w:abstractNumId="44">
    <w:nsid w:val="1716703B"/>
    <w:multiLevelType w:val="hybridMultilevel"/>
    <w:lvl w:ilvl="0">
      <w:lvlJc w:val="left"/>
      <w:lvlText w:val="%1."/>
      <w:numFmt w:val="decimal"/>
      <w:start w:val="7"/>
    </w:lvl>
  </w:abstractNum>
  <w:abstractNum w:abstractNumId="45">
    <w:nsid w:val="14E17E33"/>
    <w:multiLevelType w:val="hybridMultilevel"/>
    <w:lvl w:ilvl="0">
      <w:lvlJc w:val="left"/>
      <w:lvlText w:val="%1."/>
      <w:numFmt w:val="upperLetter"/>
      <w:start w:val="1"/>
    </w:lvl>
  </w:abstractNum>
  <w:abstractNum w:abstractNumId="46">
    <w:nsid w:val="3222E7CD"/>
    <w:multiLevelType w:val="hybridMultilevel"/>
    <w:lvl w:ilvl="0">
      <w:lvlJc w:val="left"/>
      <w:lvlText w:val="%1."/>
      <w:numFmt w:val="upperLetter"/>
      <w:start w:val="6"/>
    </w:lvl>
  </w:abstractNum>
  <w:abstractNum w:abstractNumId="47">
    <w:nsid w:val="74DE0EE3"/>
    <w:multiLevelType w:val="hybridMultilevel"/>
    <w:lvl w:ilvl="0">
      <w:lvlJc w:val="left"/>
      <w:lvlText w:val="%1."/>
      <w:numFmt w:val="decimal"/>
      <w:start w:val="1"/>
    </w:lvl>
  </w:abstractNum>
  <w:abstractNum w:abstractNumId="48">
    <w:nsid w:val="68EBC550"/>
    <w:multiLevelType w:val="hybridMultilevel"/>
    <w:lvl w:ilvl="0">
      <w:lvlJc w:val="left"/>
      <w:lvlText w:val="(%1)"/>
      <w:numFmt w:val="lowerLetter"/>
      <w:start w:val="1"/>
    </w:lvl>
    <w:lvl w:ilvl="1">
      <w:lvlJc w:val="left"/>
      <w:lvlText w:val="(%2)"/>
      <w:numFmt w:val="lowerRoman"/>
      <w:start w:val="1"/>
    </w:lvl>
  </w:abstractNum>
  <w:abstractNum w:abstractNumId="49">
    <w:nsid w:val="2DF6D648"/>
    <w:multiLevelType w:val="hybridMultilevel"/>
    <w:lvl w:ilvl="0">
      <w:lvlJc w:val="left"/>
      <w:lvlText w:val="(%1)"/>
      <w:numFmt w:val="lowerLetter"/>
      <w:start w:val="2"/>
    </w:lvl>
    <w:lvl w:ilvl="1">
      <w:lvlJc w:val="left"/>
      <w:lvlText w:val="(%2)"/>
      <w:numFmt w:val="lowerRoman"/>
      <w:start w:val="1"/>
    </w:lvl>
  </w:abstractNum>
  <w:abstractNum w:abstractNumId="50">
    <w:nsid w:val="46B7D447"/>
    <w:multiLevelType w:val="hybridMultilevel"/>
    <w:lvl w:ilvl="0">
      <w:lvlJc w:val="left"/>
      <w:lvlText w:val="(%1)"/>
      <w:numFmt w:val="upperLetter"/>
      <w:start w:val="1"/>
    </w:lvl>
  </w:abstractNum>
  <w:abstractNum w:abstractNumId="51">
    <w:nsid w:val="4A2AC315"/>
    <w:multiLevelType w:val="hybridMultilevel"/>
    <w:lvl w:ilvl="0">
      <w:lvlJc w:val="left"/>
      <w:lvlText w:val="%1"/>
      <w:numFmt w:val="decimal"/>
      <w:start w:val="1"/>
    </w:lvl>
    <w:lvl w:ilvl="1">
      <w:lvlJc w:val="left"/>
      <w:lvlText w:val="(%2)"/>
      <w:numFmt w:val="lowerLetter"/>
      <w:start w:val="6"/>
    </w:lvl>
  </w:abstractNum>
  <w:abstractNum w:abstractNumId="52">
    <w:nsid w:val="39EE015C"/>
    <w:multiLevelType w:val="hybridMultilevel"/>
    <w:lvl w:ilvl="0">
      <w:lvlJc w:val="left"/>
      <w:lvlText w:val="%1."/>
      <w:numFmt w:val="decimal"/>
      <w:start w:val="4"/>
    </w:lvl>
    <w:lvl w:ilvl="1">
      <w:lvlJc w:val="left"/>
      <w:lvlText w:val="(%2)"/>
      <w:numFmt w:val="lowerLetter"/>
      <w:start w:val="1"/>
    </w:lvl>
  </w:abstractNum>
  <w:abstractNum w:abstractNumId="53">
    <w:nsid w:val="57FC4FBB"/>
    <w:multiLevelType w:val="hybridMultilevel"/>
    <w:lvl w:ilvl="0">
      <w:lvlJc w:val="left"/>
      <w:lvlText w:val="%1."/>
      <w:numFmt w:val="upperLetter"/>
      <w:start w:val="1"/>
    </w:lvl>
  </w:abstractNum>
  <w:abstractNum w:abstractNumId="54">
    <w:nsid w:val="CC1016F"/>
    <w:multiLevelType w:val="hybridMultilevel"/>
    <w:lvl w:ilvl="0">
      <w:lvlJc w:val="left"/>
      <w:lvlText w:val="%1."/>
      <w:numFmt w:val="upperLetter"/>
      <w:start w:val="2"/>
    </w:lvl>
  </w:abstractNum>
  <w:abstractNum w:abstractNumId="55">
    <w:nsid w:val="43F18422"/>
    <w:multiLevelType w:val="hybridMultilevel"/>
    <w:lvl w:ilvl="0">
      <w:lvlJc w:val="left"/>
      <w:lvlText w:val="%1."/>
      <w:numFmt w:val="upperLetter"/>
      <w:start w:val="3"/>
    </w:lvl>
  </w:abstractNum>
  <w:abstractNum w:abstractNumId="56">
    <w:nsid w:val="60EF0119"/>
    <w:multiLevelType w:val="hybridMultilevel"/>
    <w:lvl w:ilvl="0">
      <w:lvlJc w:val="left"/>
      <w:lvlText w:val="%1."/>
      <w:numFmt w:val="upperLetter"/>
      <w:start w:val="4"/>
    </w:lvl>
  </w:abstractNum>
  <w:abstractNum w:abstractNumId="57">
    <w:nsid w:val="26F324BA"/>
    <w:multiLevelType w:val="hybridMultilevel"/>
    <w:lvl w:ilvl="0">
      <w:lvlJc w:val="left"/>
      <w:lvlText w:val="%1."/>
      <w:numFmt w:val="upperLetter"/>
      <w:start w:val="5"/>
    </w:lvl>
  </w:abstractNum>
  <w:abstractNum w:abstractNumId="58">
    <w:nsid w:val="7F01579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59">
    <w:nsid w:val="49DA307D"/>
    <w:multiLevelType w:val="hybridMultilevel"/>
    <w:lvl w:ilvl="0">
      <w:lvlJc w:val="left"/>
      <w:lvlText w:val="(%1)"/>
      <w:numFmt w:val="lowerRoman"/>
      <w:start w:val="4"/>
    </w:lvl>
  </w:abstractNum>
  <w:abstractNum w:abstractNumId="60">
    <w:nsid w:val="7055A5F5"/>
    <w:multiLevelType w:val="hybridMultilevel"/>
    <w:lvl w:ilvl="0">
      <w:lvlJc w:val="left"/>
      <w:lvlText w:val="(%1)"/>
      <w:numFmt w:val="lowerLetter"/>
      <w:start w:val="4"/>
    </w:lvl>
  </w:abstractNum>
  <w:abstractNum w:abstractNumId="61">
    <w:nsid w:val="5FB8370B"/>
    <w:multiLevelType w:val="hybridMultilevel"/>
    <w:lvl w:ilvl="0">
      <w:lvlJc w:val="left"/>
      <w:lvlText w:val="(%1)"/>
      <w:numFmt w:val="lowerLetter"/>
      <w:start w:val="5"/>
    </w:lvl>
  </w:abstractNum>
  <w:abstractNum w:abstractNumId="62">
    <w:nsid w:val="50801EE1"/>
    <w:multiLevelType w:val="hybridMultilevel"/>
    <w:lvl w:ilvl="0">
      <w:lvlJc w:val="left"/>
      <w:lvlText w:val="%1"/>
      <w:numFmt w:val="decimal"/>
      <w:start w:val="1"/>
    </w:lvl>
    <w:lvl w:ilvl="1">
      <w:lvlJc w:val="left"/>
      <w:lvlText w:val="(%2)"/>
      <w:numFmt w:val="lowerLetter"/>
      <w:start w:val="10"/>
    </w:lvl>
  </w:abstractNum>
  <w:abstractNum w:abstractNumId="63">
    <w:nsid w:val="488AC1A"/>
    <w:multiLevelType w:val="hybridMultilevel"/>
    <w:lvl w:ilvl="0">
      <w:lvlJc w:val="left"/>
      <w:lvlText w:val="%1."/>
      <w:numFmt w:val="decimal"/>
      <w:start w:val="3"/>
    </w:lvl>
    <w:lvl w:ilvl="1">
      <w:lvlJc w:val="left"/>
      <w:lvlText w:val="%2"/>
      <w:numFmt w:val="lowerLetter"/>
      <w:start w:val="1"/>
    </w:lvl>
  </w:abstractNum>
  <w:abstractNum w:abstractNumId="64">
    <w:nsid w:val="5FB8011C"/>
    <w:multiLevelType w:val="hybridMultilevel"/>
    <w:lvl w:ilvl="0">
      <w:lvlJc w:val="left"/>
      <w:lvlText w:val="%1."/>
      <w:numFmt w:val="upperLetter"/>
      <w:start w:val="1"/>
    </w:lvl>
  </w:abstractNum>
  <w:abstractNum w:abstractNumId="65">
    <w:nsid w:val="6AA78F7F"/>
    <w:multiLevelType w:val="hybridMultilevel"/>
    <w:lvl w:ilvl="0">
      <w:lvlJc w:val="left"/>
      <w:lvlText w:val="%1."/>
      <w:numFmt w:val="upperLetter"/>
      <w:start w:val="2"/>
    </w:lvl>
  </w:abstractNum>
  <w:abstractNum w:abstractNumId="66">
    <w:nsid w:val="7672BD23"/>
    <w:multiLevelType w:val="hybridMultilevel"/>
    <w:lvl w:ilvl="0">
      <w:lvlJc w:val="left"/>
      <w:lvlText w:val="%1."/>
      <w:numFmt w:val="upperLetter"/>
      <w:start w:val="3"/>
    </w:lvl>
  </w:abstractNum>
  <w:abstractNum w:abstractNumId="67">
    <w:nsid w:val="6FC75AF8"/>
    <w:multiLevelType w:val="hybridMultilevel"/>
    <w:lvl w:ilvl="0">
      <w:lvlJc w:val="left"/>
      <w:lvlText w:val="%1."/>
      <w:numFmt w:val="upperLetter"/>
      <w:start w:val="4"/>
    </w:lvl>
  </w:abstractNum>
  <w:abstractNum w:abstractNumId="68">
    <w:nsid w:val="6A5F7029"/>
    <w:multiLevelType w:val="hybridMultilevel"/>
    <w:lvl w:ilvl="0">
      <w:lvlJc w:val="left"/>
      <w:lvlText w:val="%1."/>
      <w:numFmt w:val="upperLetter"/>
      <w:start w:val="5"/>
    </w:lvl>
  </w:abstractNum>
  <w:abstractNum w:abstractNumId="69">
    <w:nsid w:val="7D5E18F8"/>
    <w:multiLevelType w:val="hybridMultilevel"/>
    <w:lvl w:ilvl="0">
      <w:lvlJc w:val="left"/>
      <w:lvlText w:val="%1."/>
      <w:numFmt w:val="upperLetter"/>
      <w:start w:val="6"/>
    </w:lvl>
  </w:abstractNum>
  <w:abstractNum w:abstractNumId="70">
    <w:nsid w:val="5F3534A4"/>
    <w:multiLevelType w:val="hybridMultilevel"/>
    <w:lvl w:ilvl="0">
      <w:lvlJc w:val="left"/>
      <w:lvlText w:val="%1."/>
      <w:numFmt w:val="decimal"/>
      <w:start w:val="1"/>
    </w:lvl>
  </w:abstractNum>
  <w:abstractNum w:abstractNumId="71">
    <w:nsid w:val="73A1821B"/>
    <w:multiLevelType w:val="hybridMultilevel"/>
    <w:lvl w:ilvl="0">
      <w:lvlJc w:val="left"/>
      <w:lvlText w:val="%1."/>
      <w:numFmt w:val="decimal"/>
      <w:start w:val="3"/>
    </w:lvl>
  </w:abstractNum>
  <w:abstractNum w:abstractNumId="72">
    <w:nsid w:val="7DE67713"/>
    <w:multiLevelType w:val="hybridMultilevel"/>
    <w:lvl w:ilvl="0">
      <w:lvlJc w:val="left"/>
      <w:lvlText w:val=")"/>
      <w:numFmt w:val="bullet"/>
      <w:start w:val="1"/>
    </w:lvl>
  </w:abstractNum>
  <w:abstractNum w:abstractNumId="73">
    <w:nsid w:val="555C55B5"/>
    <w:multiLevelType w:val="hybridMultilevel"/>
    <w:lvl w:ilvl="0">
      <w:lvlJc w:val="left"/>
      <w:lvlText w:val=")"/>
      <w:numFmt w:val="bullet"/>
      <w:start w:val="1"/>
    </w:lvl>
  </w:abstractNum>
  <w:abstractNum w:abstractNumId="74">
    <w:nsid w:val="3FA62ACA"/>
    <w:multiLevelType w:val="hybridMultilevel"/>
    <w:lvl w:ilvl="0">
      <w:lvlJc w:val="left"/>
      <w:lvlText w:val=")"/>
      <w:numFmt w:val="bullet"/>
      <w:start w:val="1"/>
    </w:lvl>
  </w:abstractNum>
  <w:abstractNum w:abstractNumId="75">
    <w:nsid w:val="14FCE74E"/>
    <w:multiLevelType w:val="hybridMultilevel"/>
    <w:lvl w:ilvl="0">
      <w:lvlJc w:val="left"/>
      <w:lvlText w:val=")"/>
      <w:numFmt w:val="bullet"/>
      <w:start w:val="1"/>
    </w:lvl>
  </w:abstractNum>
  <w:abstractNum w:abstractNumId="76">
    <w:nsid w:val="6A3DD3E8"/>
    <w:multiLevelType w:val="hybridMultilevel"/>
    <w:lvl w:ilvl="0">
      <w:lvlJc w:val="left"/>
      <w:lvlText w:val=")"/>
      <w:numFmt w:val="bullet"/>
      <w:start w:val="1"/>
    </w:lvl>
  </w:abstractNum>
  <w:abstractNum w:abstractNumId="77">
    <w:nsid w:val="71C91298"/>
    <w:multiLevelType w:val="hybridMultilevel"/>
    <w:lvl w:ilvl="0">
      <w:lvlJc w:val="left"/>
      <w:lvlText w:val=")"/>
      <w:numFmt w:val="bullet"/>
      <w:start w:val="1"/>
    </w:lvl>
  </w:abstractNum>
  <w:abstractNum w:abstractNumId="78">
    <w:nsid w:val="9DAF632"/>
    <w:multiLevelType w:val="hybridMultilevel"/>
    <w:lvl w:ilvl="0">
      <w:lvlJc w:val="left"/>
      <w:lvlText w:val=")"/>
      <w:numFmt w:val="bullet"/>
      <w:start w:val="1"/>
    </w:lvl>
  </w:abstractNum>
  <w:abstractNum w:abstractNumId="79">
    <w:nsid w:val="53299938"/>
    <w:multiLevelType w:val="hybridMultilevel"/>
    <w:lvl w:ilvl="0">
      <w:lvlJc w:val="left"/>
      <w:lvlText w:val=")"/>
      <w:numFmt w:val="bullet"/>
      <w:start w:val="1"/>
    </w:lvl>
  </w:abstractNum>
  <w:abstractNum w:abstractNumId="80">
    <w:nsid w:val="1FBFE8E0"/>
    <w:multiLevelType w:val="hybridMultilevel"/>
    <w:lvl w:ilvl="0">
      <w:lvlJc w:val="left"/>
      <w:lvlText w:val=")"/>
      <w:numFmt w:val="bullet"/>
      <w:start w:val="1"/>
    </w:lvl>
  </w:abstractNum>
  <w:abstractNum w:abstractNumId="81">
    <w:nsid w:val="5092CA79"/>
    <w:multiLevelType w:val="hybridMultilevel"/>
    <w:lvl w:ilvl="0">
      <w:lvlJc w:val="left"/>
      <w:lvlText w:val=")"/>
      <w:numFmt w:val="bullet"/>
      <w:start w:val="1"/>
    </w:lvl>
  </w:abstractNum>
  <w:abstractNum w:abstractNumId="82">
    <w:nsid w:val="1D545C4D"/>
    <w:multiLevelType w:val="hybridMultilevel"/>
    <w:lvl w:ilvl="0">
      <w:lvlJc w:val="left"/>
      <w:lvlText w:val="%1."/>
      <w:numFmt w:val="decimal"/>
      <w:start w:val="1"/>
    </w:lvl>
    <w:lvl w:ilvl="1">
      <w:lvlJc w:val="left"/>
      <w:lvlText w:val="(%2)"/>
      <w:numFmt w:val="lowerLetter"/>
      <w:start w:val="1"/>
    </w:lvl>
  </w:abstractNum>
  <w:abstractNum w:abstractNumId="83">
    <w:nsid w:val="59ADEA3D"/>
    <w:multiLevelType w:val="hybridMultilevel"/>
    <w:lvl w:ilvl="0">
      <w:lvlJc w:val="left"/>
      <w:lvlText w:val="%1"/>
      <w:numFmt w:val="decimal"/>
      <w:start w:val="1"/>
    </w:lvl>
    <w:lvl w:ilvl="1">
      <w:lvlJc w:val="left"/>
      <w:lvlText w:val="(%2)"/>
      <w:numFmt w:val="decimal"/>
      <w:start w:val="1"/>
    </w:lvl>
  </w:abstractNum>
  <w:abstractNum w:abstractNumId="84">
    <w:nsid w:val="288F1A34"/>
    <w:multiLevelType w:val="hybridMultilevel"/>
    <w:lvl w:ilvl="0">
      <w:lvlJc w:val="left"/>
      <w:lvlText w:val="%1."/>
      <w:numFmt w:val="decimal"/>
      <w:start w:val="3"/>
    </w:lvl>
    <w:lvl w:ilvl="1">
      <w:lvlJc w:val="left"/>
      <w:lvlText w:val="%2"/>
      <w:numFmt w:val="decimal"/>
      <w:start w:val="1"/>
    </w:lvl>
  </w:abstractNum>
  <w:abstractNum w:abstractNumId="85">
    <w:nsid w:val="2A155DBC"/>
    <w:multiLevelType w:val="hybridMultilevel"/>
    <w:lvl w:ilvl="0">
      <w:lvlJc w:val="left"/>
      <w:lvlText w:val="(%1)"/>
      <w:numFmt w:val="lowerLetter"/>
      <w:start w:val="1"/>
    </w:lvl>
  </w:abstractNum>
  <w:abstractNum w:abstractNumId="86">
    <w:nsid w:val="1D9F6E5F"/>
    <w:multiLevelType w:val="hybridMultilevel"/>
    <w:lvl w:ilvl="0">
      <w:lvlJc w:val="left"/>
      <w:lvlText w:val="(%1)"/>
      <w:numFmt w:val="lowerRoman"/>
      <w:start w:val="1"/>
    </w:lvl>
  </w:abstractNum>
  <w:abstractNum w:abstractNumId="87">
    <w:nsid w:val="97E1B4E"/>
    <w:multiLevelType w:val="hybridMultilevel"/>
    <w:lvl w:ilvl="0">
      <w:lvlJc w:val="left"/>
      <w:lvlText w:val="(%1)"/>
      <w:numFmt w:val="lowerLetter"/>
      <w:start w:val="2"/>
    </w:lvl>
    <w:lvl w:ilvl="1">
      <w:lvlJc w:val="left"/>
      <w:lvlText w:val="(%2)"/>
      <w:numFmt w:val="lowerRoman"/>
      <w:start w:val="1"/>
    </w:lvl>
  </w:abstractNum>
  <w:abstractNum w:abstractNumId="88">
    <w:nsid w:val="51088277"/>
    <w:multiLevelType w:val="hybridMultilevel"/>
    <w:lvl w:ilvl="0">
      <w:lvlJc w:val="left"/>
      <w:lvlText w:val="(%1)"/>
      <w:numFmt w:val="lowerLetter"/>
      <w:start w:val="5"/>
    </w:lvl>
  </w:abstractNum>
  <w:abstractNum w:abstractNumId="89">
    <w:nsid w:val="1CA0C5FA"/>
    <w:multiLevelType w:val="hybridMultilevel"/>
    <w:lvl w:ilvl="0">
      <w:lvlJc w:val="left"/>
      <w:lvlText w:val="(%1)"/>
      <w:numFmt w:val="lowerLetter"/>
      <w:start w:val="6"/>
    </w:lvl>
  </w:abstractNum>
  <w:abstractNum w:abstractNumId="90">
    <w:nsid w:val="53584BCB"/>
    <w:multiLevelType w:val="hybridMultilevel"/>
    <w:lvl w:ilvl="0">
      <w:lvlJc w:val="left"/>
      <w:lvlText w:val="(%1)"/>
      <w:numFmt w:val="lowerLetter"/>
      <w:start w:val="9"/>
    </w:lvl>
  </w:abstractNum>
  <w:abstractNum w:abstractNumId="91">
    <w:nsid w:val="415E286C"/>
    <w:multiLevelType w:val="hybridMultilevel"/>
    <w:lvl w:ilvl="0">
      <w:lvlJc w:val="left"/>
      <w:lvlText w:val="(%1)"/>
      <w:numFmt w:val="lowerLetter"/>
      <w:start w:val="12"/>
    </w:lvl>
  </w:abstractNum>
  <w:abstractNum w:abstractNumId="92">
    <w:nsid w:val="7C58FD05"/>
    <w:multiLevelType w:val="hybridMultilevel"/>
    <w:lvl w:ilvl="0">
      <w:lvlJc w:val="left"/>
      <w:lvlText w:val="(%1)"/>
      <w:numFmt w:val="lowerLetter"/>
      <w:start w:val="13"/>
    </w:lvl>
  </w:abstractNum>
  <w:abstractNum w:abstractNumId="93">
    <w:nsid w:val="23D86AAC"/>
    <w:multiLevelType w:val="hybridMultilevel"/>
    <w:lvl w:ilvl="0">
      <w:lvlJc w:val="left"/>
      <w:lvlText w:val="%1."/>
      <w:numFmt w:val="decimal"/>
      <w:start w:val="4"/>
    </w:lvl>
    <w:lvl w:ilvl="1">
      <w:lvlJc w:val="left"/>
      <w:lvlText w:val="(%2)"/>
      <w:numFmt w:val="lowerLetter"/>
      <w:start w:val="1"/>
    </w:lvl>
  </w:abstractNum>
  <w:abstractNum w:abstractNumId="94">
    <w:nsid w:val="45E6D486"/>
    <w:multiLevelType w:val="hybridMultilevel"/>
    <w:lvl w:ilvl="0">
      <w:lvlJc w:val="left"/>
      <w:lvlText w:val="(%1)"/>
      <w:numFmt w:val="lowerLetter"/>
      <w:start w:val="8"/>
    </w:lvl>
    <w:lvl w:ilvl="1">
      <w:lvlJc w:val="left"/>
      <w:lvlText w:val="(%2)"/>
      <w:numFmt w:val="upperLetter"/>
      <w:start w:val="1"/>
    </w:lvl>
  </w:abstractNum>
  <w:abstractNum w:abstractNumId="95">
    <w:nsid w:val="5C10FE21"/>
    <w:multiLevelType w:val="hybridMultilevel"/>
    <w:lvl w:ilvl="0">
      <w:lvlJc w:val="left"/>
      <w:lvlText w:val="%1"/>
      <w:numFmt w:val="lowerLetter"/>
      <w:start w:val="1"/>
    </w:lvl>
    <w:lvl w:ilvl="1">
      <w:lvlJc w:val="left"/>
      <w:lvlText w:val="(%2)"/>
      <w:numFmt w:val="lowerRoman"/>
      <w:start w:val="2"/>
    </w:lvl>
  </w:abstractNum>
  <w:abstractNum w:abstractNumId="96">
    <w:nsid w:val="E7FFA2B"/>
    <w:multiLevelType w:val="hybridMultilevel"/>
    <w:lvl w:ilvl="0">
      <w:lvlJc w:val="left"/>
      <w:lvlText w:val="(%1)"/>
      <w:numFmt w:val="lowerLetter"/>
      <w:start w:val="9"/>
    </w:lvl>
    <w:lvl w:ilvl="1">
      <w:lvlJc w:val="left"/>
      <w:lvlText w:val="%2"/>
      <w:numFmt w:val="lowerRoman"/>
      <w:start w:val="1"/>
    </w:lvl>
  </w:abstractNum>
  <w:abstractNum w:abstractNumId="97">
    <w:nsid w:val="3C5991AA"/>
    <w:multiLevelType w:val="hybridMultilevel"/>
    <w:lvl w:ilvl="0">
      <w:lvlJc w:val="left"/>
      <w:lvlText w:val="(%1)"/>
      <w:numFmt w:val="lowerLetter"/>
      <w:start w:val="11"/>
    </w:lvl>
  </w:abstractNum>
  <w:abstractNum w:abstractNumId="98">
    <w:nsid w:val="4BD8591A"/>
    <w:multiLevelType w:val="hybridMultilevel"/>
    <w:lvl w:ilvl="0">
      <w:lvlJc w:val="left"/>
      <w:lvlText w:val="(%1)"/>
      <w:numFmt w:val="lowerRoman"/>
      <w:start w:val="5"/>
    </w:lvl>
  </w:abstractNum>
  <w:abstractNum w:abstractNumId="99">
    <w:nsid w:val="78DF6A55"/>
    <w:multiLevelType w:val="hybridMultilevel"/>
    <w:lvl w:ilvl="0">
      <w:lvlJc w:val="left"/>
      <w:lvlText w:val="(%1)"/>
      <w:numFmt w:val="decimal"/>
      <w:start w:val="60"/>
    </w:lvl>
  </w:abstractNum>
  <w:abstractNum w:abstractNumId="100">
    <w:nsid w:val="39B7AAA2"/>
    <w:multiLevelType w:val="hybridMultilevel"/>
    <w:lvl w:ilvl="0">
      <w:lvlJc w:val="left"/>
      <w:lvlText w:val="•"/>
      <w:numFmt w:val="bullet"/>
      <w:start w:val="1"/>
    </w:lvl>
  </w:abstractNum>
  <w:abstractNum w:abstractNumId="101">
    <w:nsid w:val="2B0D8DBE"/>
    <w:multiLevelType w:val="hybridMultilevel"/>
    <w:lvl w:ilvl="0">
      <w:lvlJc w:val="left"/>
      <w:lvlText w:val="•"/>
      <w:numFmt w:val="bullet"/>
      <w:start w:val="1"/>
    </w:lvl>
  </w:abstractNum>
  <w:abstractNum w:abstractNumId="102">
    <w:nsid w:val="6C80EC70"/>
    <w:multiLevelType w:val="hybridMultilevel"/>
    <w:lvl w:ilvl="0">
      <w:lvlJc w:val="left"/>
      <w:lvlText w:val="•"/>
      <w:numFmt w:val="bullet"/>
      <w:start w:val="1"/>
    </w:lvl>
  </w:abstractNum>
  <w:abstractNum w:abstractNumId="103">
    <w:nsid w:val="379E21B5"/>
    <w:multiLevelType w:val="hybridMultilevel"/>
    <w:lvl w:ilvl="0">
      <w:lvlJc w:val="left"/>
      <w:lvlText w:val="1"/>
      <w:numFmt w:val="bullet"/>
      <w:start w:val="1"/>
    </w:lvl>
  </w:abstractNum>
  <w:abstractNum w:abstractNumId="104">
    <w:nsid w:val="69E373"/>
    <w:multiLevelType w:val="hybridMultilevel"/>
    <w:lvl w:ilvl="0">
      <w:lvlJc w:val="left"/>
      <w:lvlText w:val="2"/>
      <w:numFmt w:val="bullet"/>
      <w:start w:val="1"/>
    </w:lvl>
  </w:abstractNum>
  <w:abstractNum w:abstractNumId="105">
    <w:nsid w:val="2C27173B"/>
    <w:multiLevelType w:val="hybridMultilevel"/>
    <w:lvl w:ilvl="0">
      <w:lvlJc w:val="left"/>
      <w:lvlText w:val="3"/>
      <w:numFmt w:val="bullet"/>
      <w:start w:val="1"/>
    </w:lvl>
  </w:abstractNum>
  <w:abstractNum w:abstractNumId="106">
    <w:nsid w:val="4C9B0904"/>
    <w:multiLevelType w:val="hybridMultilevel"/>
    <w:lvl w:ilvl="0">
      <w:lvlJc w:val="left"/>
      <w:lvlText w:val="4"/>
      <w:numFmt w:val="bullet"/>
      <w:start w:val="1"/>
    </w:lvl>
  </w:abstractNum>
  <w:abstractNum w:abstractNumId="107">
    <w:nsid w:val="6AA7B75C"/>
    <w:multiLevelType w:val="hybridMultilevel"/>
    <w:lvl w:ilvl="0">
      <w:lvlJc w:val="left"/>
      <w:lvlText w:val="•"/>
      <w:numFmt w:val="bullet"/>
      <w:start w:val="1"/>
    </w:lvl>
  </w:abstractNum>
  <w:abstractNum w:abstractNumId="108">
    <w:nsid w:val="1DF029D3"/>
    <w:multiLevelType w:val="hybridMultilevel"/>
    <w:lvl w:ilvl="0">
      <w:lvlJc w:val="left"/>
      <w:lvlText w:val="•"/>
      <w:numFmt w:val="bullet"/>
      <w:start w:val="1"/>
    </w:lvl>
  </w:abstractNum>
  <w:abstractNum w:abstractNumId="109">
    <w:nsid w:val="5675FF36"/>
    <w:multiLevelType w:val="hybridMultilevel"/>
    <w:lvl w:ilvl="0">
      <w:lvlJc w:val="left"/>
      <w:lvlText w:val="•"/>
      <w:numFmt w:val="bullet"/>
      <w:start w:val="1"/>
    </w:lvl>
  </w:abstractNum>
  <w:abstractNum w:abstractNumId="110">
    <w:nsid w:val="3DD15094"/>
    <w:multiLevelType w:val="hybridMultilevel"/>
    <w:lvl w:ilvl="0">
      <w:lvlJc w:val="left"/>
      <w:lvlText w:val="•"/>
      <w:numFmt w:val="bullet"/>
      <w:start w:val="1"/>
    </w:lvl>
  </w:abstractNum>
  <w:abstractNum w:abstractNumId="111">
    <w:nsid w:val="3DB012B3"/>
    <w:multiLevelType w:val="hybridMultilevel"/>
    <w:lvl w:ilvl="0">
      <w:lvlJc w:val="left"/>
      <w:lvlText w:val="•"/>
      <w:numFmt w:val="bullet"/>
      <w:start w:val="1"/>
    </w:lvl>
  </w:abstractNum>
  <w:abstractNum w:abstractNumId="112">
    <w:nsid w:val="2708C9AF"/>
    <w:multiLevelType w:val="hybridMultilevel"/>
    <w:lvl w:ilvl="0">
      <w:lvlJc w:val="left"/>
      <w:lvlText w:val="*"/>
      <w:numFmt w:val="bullet"/>
      <w:start w:val="1"/>
    </w:lvl>
  </w:abstractNum>
  <w:abstractNum w:abstractNumId="113">
    <w:nsid w:val="5B25ACE2"/>
    <w:multiLevelType w:val="hybridMultilevel"/>
    <w:lvl w:ilvl="0">
      <w:lvlJc w:val="left"/>
      <w:lvlText w:val="*"/>
      <w:numFmt w:val="bullet"/>
      <w:start w:val="1"/>
    </w:lvl>
  </w:abstractNum>
  <w:abstractNum w:abstractNumId="114">
    <w:nsid w:val="175DFCF0"/>
    <w:multiLevelType w:val="hybridMultilevel"/>
    <w:lvl w:ilvl="0">
      <w:lvlJc w:val="left"/>
      <w:lvlText w:val="(%1)"/>
      <w:numFmt w:val="lowerLetter"/>
      <w:start w:val="1"/>
    </w:lvl>
  </w:abstractNum>
  <w:abstractNum w:abstractNumId="115">
    <w:nsid w:val="4F97E3E4"/>
    <w:multiLevelType w:val="hybridMultilevel"/>
    <w:lvl w:ilvl="0">
      <w:lvlJc w:val="left"/>
      <w:lvlText w:val="%1"/>
      <w:numFmt w:val="decimal"/>
      <w:start w:val="1"/>
    </w:lvl>
    <w:lvl w:ilvl="1">
      <w:lvlJc w:val="left"/>
      <w:lvlText w:val="(%2)"/>
      <w:numFmt w:val="lowerLetter"/>
      <w:start w:val="1"/>
    </w:lvl>
  </w:abstractNum>
  <w:abstractNum w:abstractNumId="116">
    <w:nsid w:val="53B0A9E"/>
    <w:multiLevelType w:val="hybridMultilevel"/>
    <w:lvl w:ilvl="0">
      <w:lvlJc w:val="left"/>
      <w:lvlText w:val="%1."/>
      <w:numFmt w:val="decimal"/>
      <w:start w:val="4"/>
    </w:lvl>
    <w:lvl w:ilvl="1">
      <w:lvlJc w:val="left"/>
      <w:lvlText w:val="%2"/>
      <w:numFmt w:val="lowerLetter"/>
      <w:start w:val="1"/>
    </w:lvl>
  </w:abstractNum>
  <w:abstractNum w:abstractNumId="117">
    <w:nsid w:val="34FD6B4F"/>
    <w:multiLevelType w:val="hybridMultilevel"/>
    <w:lvl w:ilvl="0">
      <w:lvlJc w:val="left"/>
      <w:lvlText w:val="(%1)"/>
      <w:numFmt w:val="lowerLetter"/>
      <w:start w:val="1"/>
    </w:lvl>
  </w:abstractNum>
  <w:abstractNum w:abstractNumId="118">
    <w:nsid w:val="5915FF32"/>
    <w:multiLevelType w:val="hybridMultilevel"/>
    <w:lvl w:ilvl="0">
      <w:lvlJc w:val="left"/>
      <w:lvlText w:val="(%1)"/>
      <w:numFmt w:val="lowerLetter"/>
      <w:start w:val="3"/>
    </w:lvl>
  </w:abstractNum>
  <w:abstractNum w:abstractNumId="119">
    <w:nsid w:val="56438D15"/>
    <w:multiLevelType w:val="hybridMultilevel"/>
    <w:lvl w:ilvl="0">
      <w:lvlJc w:val="left"/>
      <w:lvlText w:val="(%1)"/>
      <w:numFmt w:val="lowerLetter"/>
      <w:start w:val="9"/>
    </w:lvl>
  </w:abstractNum>
  <w:abstractNum w:abstractNumId="120">
    <w:nsid w:val="519E3149"/>
    <w:multiLevelType w:val="hybridMultilevel"/>
    <w:lvl w:ilvl="0">
      <w:lvlJc w:val="left"/>
      <w:lvlText w:val="(%1)"/>
      <w:numFmt w:val="lowerLetter"/>
      <w:start w:val="4"/>
    </w:lvl>
  </w:abstractNum>
  <w:abstractNum w:abstractNumId="121">
    <w:nsid w:val="2C6E4AFD"/>
    <w:multiLevelType w:val="hybridMultilevel"/>
    <w:lvl w:ilvl="0">
      <w:lvlJc w:val="left"/>
      <w:lvlText w:val="(%1)"/>
      <w:numFmt w:val="lowerLetter"/>
      <w:start w:val="1"/>
    </w:lvl>
  </w:abstractNum>
  <w:abstractNum w:abstractNumId="122">
    <w:nsid w:val="17A1B582"/>
    <w:multiLevelType w:val="hybridMultilevel"/>
    <w:lvl w:ilvl="0">
      <w:lvlJc w:val="left"/>
      <w:lvlText w:val="(%1)"/>
      <w:numFmt w:val="lowerLetter"/>
      <w:start w:val="1"/>
    </w:lvl>
  </w:abstractNum>
  <w:abstractNum w:abstractNumId="123">
    <w:nsid w:val="4DF72E4E"/>
    <w:multiLevelType w:val="hybridMultilevel"/>
    <w:lvl w:ilvl="0">
      <w:lvlJc w:val="left"/>
      <w:lvlText w:val="(%1)"/>
      <w:numFmt w:val="lowerLetter"/>
      <w:start w:val="1"/>
    </w:lvl>
  </w:abstractNum>
  <w:abstractNum w:abstractNumId="124">
    <w:nsid w:val="5046B5A9"/>
    <w:multiLevelType w:val="hybridMultilevel"/>
    <w:lvl w:ilvl="0">
      <w:lvlJc w:val="left"/>
      <w:lvlText w:val="(%1)"/>
      <w:numFmt w:val="lowerLetter"/>
      <w:start w:val="1"/>
    </w:lvl>
  </w:abstractNum>
  <w:abstractNum w:abstractNumId="125">
    <w:nsid w:val="5D888A08"/>
    <w:multiLevelType w:val="hybridMultilevel"/>
    <w:lvl w:ilvl="0">
      <w:lvlJc w:val="left"/>
      <w:lvlText w:val="(%1)"/>
      <w:numFmt w:val="lowerLetter"/>
      <w:start w:val="5"/>
    </w:lvl>
  </w:abstractNum>
  <w:abstractNum w:abstractNumId="126">
    <w:nsid w:val="2A082C70"/>
    <w:multiLevelType w:val="hybridMultilevel"/>
    <w:lvl w:ilvl="0">
      <w:lvlJc w:val="left"/>
      <w:lvlText w:val="%1."/>
      <w:numFmt w:val="decimal"/>
      <w:start w:val="1"/>
    </w:lvl>
  </w:abstractNum>
  <w:abstractNum w:abstractNumId="127">
    <w:nsid w:val="5EC6AFD4"/>
    <w:multiLevelType w:val="hybridMultilevel"/>
    <w:lvl w:ilvl="0">
      <w:lvlJc w:val="left"/>
      <w:lvlText w:val="%1"/>
      <w:numFmt w:val="lowerRoman"/>
      <w:start w:val="1"/>
    </w:lvl>
    <w:lvl w:ilvl="1">
      <w:lvlJc w:val="left"/>
      <w:lvlText w:val="(%2)"/>
      <w:numFmt w:val="lowerRoman"/>
      <w:start w:val="1"/>
    </w:lvl>
  </w:abstractNum>
  <w:abstractNum w:abstractNumId="128">
    <w:nsid w:val="19E21BB2"/>
    <w:multiLevelType w:val="hybridMultilevel"/>
    <w:lvl w:ilvl="0">
      <w:lvlJc w:val="left"/>
      <w:lvlText w:val="(%1)"/>
      <w:numFmt w:val="lowerRoman"/>
      <w:start w:val="2"/>
    </w:lvl>
    <w:lvl w:ilvl="1">
      <w:lvlJc w:val="left"/>
      <w:lvlText w:val="%2"/>
      <w:numFmt w:val="lowerRoman"/>
      <w:start w:val="1"/>
    </w:lvl>
  </w:abstractNum>
  <w:abstractNum w:abstractNumId="129">
    <w:nsid w:val="75E0858A"/>
    <w:multiLevelType w:val="hybridMultilevel"/>
    <w:lvl w:ilvl="0">
      <w:lvlJc w:val="left"/>
      <w:lvlText w:val="%1"/>
      <w:numFmt w:val="lowerRoman"/>
      <w:start w:val="1"/>
    </w:lvl>
    <w:lvl w:ilvl="1">
      <w:lvlJc w:val="left"/>
      <w:lvlText w:val="(%2)"/>
      <w:numFmt w:val="lowerRoman"/>
      <w:start w:val="1"/>
    </w:lvl>
  </w:abstractNum>
  <w:abstractNum w:abstractNumId="130">
    <w:nsid w:val="57A61A29"/>
    <w:multiLevelType w:val="hybridMultilevel"/>
    <w:lvl w:ilvl="0">
      <w:lvlJc w:val="left"/>
      <w:lvlText w:val="(%1)"/>
      <w:numFmt w:val="lowerRoman"/>
      <w:start w:val="2"/>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png"/><Relationship Id="rId863" Type="http://schemas.openxmlformats.org/officeDocument/2006/relationships/image" Target="media/image856.png"/><Relationship Id="rId864" Type="http://schemas.openxmlformats.org/officeDocument/2006/relationships/image" Target="media/image857.png"/><Relationship Id="rId865" Type="http://schemas.openxmlformats.org/officeDocument/2006/relationships/image" Target="media/image858.png"/><Relationship Id="rId866" Type="http://schemas.openxmlformats.org/officeDocument/2006/relationships/image" Target="media/image859.png"/><Relationship Id="rId867" Type="http://schemas.openxmlformats.org/officeDocument/2006/relationships/image" Target="media/image860.png"/><Relationship Id="rId868" Type="http://schemas.openxmlformats.org/officeDocument/2006/relationships/image" Target="media/image861.png"/><Relationship Id="rId869" Type="http://schemas.openxmlformats.org/officeDocument/2006/relationships/image" Target="media/image862.png"/><Relationship Id="rId870" Type="http://schemas.openxmlformats.org/officeDocument/2006/relationships/image" Target="media/image863.png"/><Relationship Id="rId871" Type="http://schemas.openxmlformats.org/officeDocument/2006/relationships/image" Target="media/image864.png"/><Relationship Id="rId872" Type="http://schemas.openxmlformats.org/officeDocument/2006/relationships/image" Target="media/image865.png"/><Relationship Id="rId873" Type="http://schemas.openxmlformats.org/officeDocument/2006/relationships/image" Target="media/image866.png"/><Relationship Id="rId874" Type="http://schemas.openxmlformats.org/officeDocument/2006/relationships/image" Target="media/image867.png"/><Relationship Id="rId875" Type="http://schemas.openxmlformats.org/officeDocument/2006/relationships/image" Target="media/image868.png"/><Relationship Id="rId876" Type="http://schemas.openxmlformats.org/officeDocument/2006/relationships/image" Target="media/image869.png"/><Relationship Id="rId877" Type="http://schemas.openxmlformats.org/officeDocument/2006/relationships/image" Target="media/image870.png"/><Relationship Id="rId878" Type="http://schemas.openxmlformats.org/officeDocument/2006/relationships/image" Target="media/image871.png"/><Relationship Id="rId879" Type="http://schemas.openxmlformats.org/officeDocument/2006/relationships/image" Target="media/image872.png"/><Relationship Id="rId880" Type="http://schemas.openxmlformats.org/officeDocument/2006/relationships/image" Target="media/image873.png"/><Relationship Id="rId881" Type="http://schemas.openxmlformats.org/officeDocument/2006/relationships/image" Target="media/image874.png"/><Relationship Id="rId882" Type="http://schemas.openxmlformats.org/officeDocument/2006/relationships/image" Target="media/image875.png"/><Relationship Id="rId883" Type="http://schemas.openxmlformats.org/officeDocument/2006/relationships/image" Target="media/image876.png"/><Relationship Id="rId884" Type="http://schemas.openxmlformats.org/officeDocument/2006/relationships/image" Target="media/image877.png"/><Relationship Id="rId885" Type="http://schemas.openxmlformats.org/officeDocument/2006/relationships/image" Target="media/image878.png"/><Relationship Id="rId886" Type="http://schemas.openxmlformats.org/officeDocument/2006/relationships/image" Target="media/image879.png"/><Relationship Id="rId887" Type="http://schemas.openxmlformats.org/officeDocument/2006/relationships/image" Target="media/image880.png"/><Relationship Id="rId888" Type="http://schemas.openxmlformats.org/officeDocument/2006/relationships/image" Target="media/image881.png"/><Relationship Id="rId889" Type="http://schemas.openxmlformats.org/officeDocument/2006/relationships/image" Target="media/image882.png"/><Relationship Id="rId890" Type="http://schemas.openxmlformats.org/officeDocument/2006/relationships/image" Target="media/image883.png"/><Relationship Id="rId891" Type="http://schemas.openxmlformats.org/officeDocument/2006/relationships/image" Target="media/image884.png"/><Relationship Id="rId892" Type="http://schemas.openxmlformats.org/officeDocument/2006/relationships/image" Target="media/image885.png"/><Relationship Id="rId893" Type="http://schemas.openxmlformats.org/officeDocument/2006/relationships/image" Target="media/image886.png"/><Relationship Id="rId894" Type="http://schemas.openxmlformats.org/officeDocument/2006/relationships/image" Target="media/image887.png"/><Relationship Id="rId895" Type="http://schemas.openxmlformats.org/officeDocument/2006/relationships/image" Target="media/image888.png"/><Relationship Id="rId896" Type="http://schemas.openxmlformats.org/officeDocument/2006/relationships/image" Target="media/image889.png"/><Relationship Id="rId897" Type="http://schemas.openxmlformats.org/officeDocument/2006/relationships/image" Target="media/image890.png"/><Relationship Id="rId898" Type="http://schemas.openxmlformats.org/officeDocument/2006/relationships/image" Target="media/image891.png"/><Relationship Id="rId899" Type="http://schemas.openxmlformats.org/officeDocument/2006/relationships/image" Target="media/image892.png"/><Relationship Id="rId900" Type="http://schemas.openxmlformats.org/officeDocument/2006/relationships/image" Target="media/image893.png"/><Relationship Id="rId901" Type="http://schemas.openxmlformats.org/officeDocument/2006/relationships/image" Target="media/image894.png"/><Relationship Id="rId902" Type="http://schemas.openxmlformats.org/officeDocument/2006/relationships/image" Target="media/image895.png"/><Relationship Id="rId903" Type="http://schemas.openxmlformats.org/officeDocument/2006/relationships/image" Target="media/image896.png"/><Relationship Id="rId904" Type="http://schemas.openxmlformats.org/officeDocument/2006/relationships/image" Target="media/image897.png"/><Relationship Id="rId905" Type="http://schemas.openxmlformats.org/officeDocument/2006/relationships/image" Target="media/image898.png"/><Relationship Id="rId906" Type="http://schemas.openxmlformats.org/officeDocument/2006/relationships/image" Target="media/image899.png"/><Relationship Id="rId907" Type="http://schemas.openxmlformats.org/officeDocument/2006/relationships/image" Target="media/image900.png"/><Relationship Id="rId908" Type="http://schemas.openxmlformats.org/officeDocument/2006/relationships/image" Target="media/image901.png"/><Relationship Id="rId909" Type="http://schemas.openxmlformats.org/officeDocument/2006/relationships/image" Target="media/image902.png"/><Relationship Id="rId910" Type="http://schemas.openxmlformats.org/officeDocument/2006/relationships/image" Target="media/image903.png"/><Relationship Id="rId911" Type="http://schemas.openxmlformats.org/officeDocument/2006/relationships/image" Target="media/image904.png"/><Relationship Id="rId912" Type="http://schemas.openxmlformats.org/officeDocument/2006/relationships/image" Target="media/image905.png"/><Relationship Id="rId913" Type="http://schemas.openxmlformats.org/officeDocument/2006/relationships/image" Target="media/image906.png"/><Relationship Id="rId914" Type="http://schemas.openxmlformats.org/officeDocument/2006/relationships/image" Target="media/image907.png"/><Relationship Id="rId915" Type="http://schemas.openxmlformats.org/officeDocument/2006/relationships/image" Target="media/image908.png"/><Relationship Id="rId916" Type="http://schemas.openxmlformats.org/officeDocument/2006/relationships/image" Target="media/image909.png"/><Relationship Id="rId917" Type="http://schemas.openxmlformats.org/officeDocument/2006/relationships/image" Target="media/image910.png"/><Relationship Id="rId918" Type="http://schemas.openxmlformats.org/officeDocument/2006/relationships/image" Target="media/image911.png"/><Relationship Id="rId919" Type="http://schemas.openxmlformats.org/officeDocument/2006/relationships/image" Target="media/image912.png"/><Relationship Id="rId920" Type="http://schemas.openxmlformats.org/officeDocument/2006/relationships/image" Target="media/image913.png"/><Relationship Id="rId921" Type="http://schemas.openxmlformats.org/officeDocument/2006/relationships/image" Target="media/image914.png"/><Relationship Id="rId922" Type="http://schemas.openxmlformats.org/officeDocument/2006/relationships/image" Target="media/image915.png"/><Relationship Id="rId923" Type="http://schemas.openxmlformats.org/officeDocument/2006/relationships/image" Target="media/image916.png"/><Relationship Id="rId924" Type="http://schemas.openxmlformats.org/officeDocument/2006/relationships/image" Target="media/image917.png"/><Relationship Id="rId925" Type="http://schemas.openxmlformats.org/officeDocument/2006/relationships/image" Target="media/image918.png"/><Relationship Id="rId926" Type="http://schemas.openxmlformats.org/officeDocument/2006/relationships/image" Target="media/image919.png"/><Relationship Id="rId927" Type="http://schemas.openxmlformats.org/officeDocument/2006/relationships/image" Target="media/image920.png"/><Relationship Id="rId928" Type="http://schemas.openxmlformats.org/officeDocument/2006/relationships/image" Target="media/image921.png"/><Relationship Id="rId929" Type="http://schemas.openxmlformats.org/officeDocument/2006/relationships/image" Target="media/image922.png"/><Relationship Id="rId930" Type="http://schemas.openxmlformats.org/officeDocument/2006/relationships/image" Target="media/image923.png"/><Relationship Id="rId931" Type="http://schemas.openxmlformats.org/officeDocument/2006/relationships/image" Target="media/image924.png"/><Relationship Id="rId932" Type="http://schemas.openxmlformats.org/officeDocument/2006/relationships/image" Target="media/image925.png"/><Relationship Id="rId933" Type="http://schemas.openxmlformats.org/officeDocument/2006/relationships/image" Target="media/image926.png"/><Relationship Id="rId934" Type="http://schemas.openxmlformats.org/officeDocument/2006/relationships/image" Target="media/image927.png"/><Relationship Id="rId935" Type="http://schemas.openxmlformats.org/officeDocument/2006/relationships/image" Target="media/image928.png"/><Relationship Id="rId936" Type="http://schemas.openxmlformats.org/officeDocument/2006/relationships/image" Target="media/image929.png"/><Relationship Id="rId937" Type="http://schemas.openxmlformats.org/officeDocument/2006/relationships/image" Target="media/image930.png"/><Relationship Id="rId938" Type="http://schemas.openxmlformats.org/officeDocument/2006/relationships/image" Target="media/image931.png"/><Relationship Id="rId939" Type="http://schemas.openxmlformats.org/officeDocument/2006/relationships/image" Target="media/image932.png"/><Relationship Id="rId940" Type="http://schemas.openxmlformats.org/officeDocument/2006/relationships/image" Target="media/image933.png"/><Relationship Id="rId941" Type="http://schemas.openxmlformats.org/officeDocument/2006/relationships/image" Target="media/image934.png"/><Relationship Id="rId942" Type="http://schemas.openxmlformats.org/officeDocument/2006/relationships/image" Target="media/image935.png"/><Relationship Id="rId943" Type="http://schemas.openxmlformats.org/officeDocument/2006/relationships/image" Target="media/image936.png"/><Relationship Id="rId944" Type="http://schemas.openxmlformats.org/officeDocument/2006/relationships/image" Target="media/image937.png"/><Relationship Id="rId945" Type="http://schemas.openxmlformats.org/officeDocument/2006/relationships/image" Target="media/image938.png"/><Relationship Id="rId946" Type="http://schemas.openxmlformats.org/officeDocument/2006/relationships/image" Target="media/image939.png"/><Relationship Id="rId947" Type="http://schemas.openxmlformats.org/officeDocument/2006/relationships/image" Target="media/image940.png"/><Relationship Id="rId948" Type="http://schemas.openxmlformats.org/officeDocument/2006/relationships/image" Target="media/image941.png"/><Relationship Id="rId949" Type="http://schemas.openxmlformats.org/officeDocument/2006/relationships/image" Target="media/image942.png"/><Relationship Id="rId950" Type="http://schemas.openxmlformats.org/officeDocument/2006/relationships/image" Target="media/image943.png"/><Relationship Id="rId951" Type="http://schemas.openxmlformats.org/officeDocument/2006/relationships/image" Target="media/image944.png"/><Relationship Id="rId952" Type="http://schemas.openxmlformats.org/officeDocument/2006/relationships/image" Target="media/image945.png"/><Relationship Id="rId953" Type="http://schemas.openxmlformats.org/officeDocument/2006/relationships/image" Target="media/image946.png"/><Relationship Id="rId954" Type="http://schemas.openxmlformats.org/officeDocument/2006/relationships/image" Target="media/image947.png"/><Relationship Id="rId955" Type="http://schemas.openxmlformats.org/officeDocument/2006/relationships/image" Target="media/image948.png"/><Relationship Id="rId956" Type="http://schemas.openxmlformats.org/officeDocument/2006/relationships/image" Target="media/image949.png"/><Relationship Id="rId957" Type="http://schemas.openxmlformats.org/officeDocument/2006/relationships/image" Target="media/image950.png"/><Relationship Id="rId958" Type="http://schemas.openxmlformats.org/officeDocument/2006/relationships/image" Target="media/image951.png"/><Relationship Id="rId959" Type="http://schemas.openxmlformats.org/officeDocument/2006/relationships/image" Target="media/image952.png"/><Relationship Id="rId960" Type="http://schemas.openxmlformats.org/officeDocument/2006/relationships/image" Target="media/image953.png"/><Relationship Id="rId961" Type="http://schemas.openxmlformats.org/officeDocument/2006/relationships/image" Target="media/image954.png"/><Relationship Id="rId962" Type="http://schemas.openxmlformats.org/officeDocument/2006/relationships/image" Target="media/image955.png"/><Relationship Id="rId963" Type="http://schemas.openxmlformats.org/officeDocument/2006/relationships/image" Target="media/image956.png"/><Relationship Id="rId964" Type="http://schemas.openxmlformats.org/officeDocument/2006/relationships/image" Target="media/image957.png"/><Relationship Id="rId965" Type="http://schemas.openxmlformats.org/officeDocument/2006/relationships/image" Target="media/image958.png"/><Relationship Id="rId966" Type="http://schemas.openxmlformats.org/officeDocument/2006/relationships/image" Target="media/image959.png"/><Relationship Id="rId967" Type="http://schemas.openxmlformats.org/officeDocument/2006/relationships/image" Target="media/image960.png"/><Relationship Id="rId968" Type="http://schemas.openxmlformats.org/officeDocument/2006/relationships/image" Target="media/image961.png"/><Relationship Id="rId969" Type="http://schemas.openxmlformats.org/officeDocument/2006/relationships/image" Target="media/image962.png"/><Relationship Id="rId970" Type="http://schemas.openxmlformats.org/officeDocument/2006/relationships/image" Target="media/image963.png"/><Relationship Id="rId971" Type="http://schemas.openxmlformats.org/officeDocument/2006/relationships/image" Target="media/image964.png"/><Relationship Id="rId972" Type="http://schemas.openxmlformats.org/officeDocument/2006/relationships/image" Target="media/image965.png"/><Relationship Id="rId973" Type="http://schemas.openxmlformats.org/officeDocument/2006/relationships/image" Target="media/image966.png"/><Relationship Id="rId974" Type="http://schemas.openxmlformats.org/officeDocument/2006/relationships/image" Target="media/image967.png"/><Relationship Id="rId975" Type="http://schemas.openxmlformats.org/officeDocument/2006/relationships/image" Target="media/image968.png"/><Relationship Id="rId976" Type="http://schemas.openxmlformats.org/officeDocument/2006/relationships/image" Target="media/image969.png"/><Relationship Id="rId977" Type="http://schemas.openxmlformats.org/officeDocument/2006/relationships/image" Target="media/image970.png"/><Relationship Id="rId978" Type="http://schemas.openxmlformats.org/officeDocument/2006/relationships/image" Target="media/image971.png"/><Relationship Id="rId979" Type="http://schemas.openxmlformats.org/officeDocument/2006/relationships/image" Target="media/image972.png"/><Relationship Id="rId980" Type="http://schemas.openxmlformats.org/officeDocument/2006/relationships/image" Target="media/image973.png"/><Relationship Id="rId981" Type="http://schemas.openxmlformats.org/officeDocument/2006/relationships/image" Target="media/image974.png"/><Relationship Id="rId982" Type="http://schemas.openxmlformats.org/officeDocument/2006/relationships/image" Target="media/image975.png"/><Relationship Id="rId983" Type="http://schemas.openxmlformats.org/officeDocument/2006/relationships/image" Target="media/image976.png"/><Relationship Id="rId984" Type="http://schemas.openxmlformats.org/officeDocument/2006/relationships/image" Target="media/image977.png"/><Relationship Id="rId985" Type="http://schemas.openxmlformats.org/officeDocument/2006/relationships/image" Target="media/image978.png"/><Relationship Id="rId986" Type="http://schemas.openxmlformats.org/officeDocument/2006/relationships/image" Target="media/image979.png"/><Relationship Id="rId987" Type="http://schemas.openxmlformats.org/officeDocument/2006/relationships/image" Target="media/image980.png"/><Relationship Id="rId988" Type="http://schemas.openxmlformats.org/officeDocument/2006/relationships/image" Target="media/image981.png"/><Relationship Id="rId989" Type="http://schemas.openxmlformats.org/officeDocument/2006/relationships/image" Target="media/image982.png"/><Relationship Id="rId990" Type="http://schemas.openxmlformats.org/officeDocument/2006/relationships/image" Target="media/image983.png"/><Relationship Id="rId991" Type="http://schemas.openxmlformats.org/officeDocument/2006/relationships/image" Target="media/image984.png"/><Relationship Id="rId992" Type="http://schemas.openxmlformats.org/officeDocument/2006/relationships/image" Target="media/image985.png"/><Relationship Id="rId993" Type="http://schemas.openxmlformats.org/officeDocument/2006/relationships/image" Target="media/image986.png"/><Relationship Id="rId994" Type="http://schemas.openxmlformats.org/officeDocument/2006/relationships/image" Target="media/image987.png"/><Relationship Id="rId995" Type="http://schemas.openxmlformats.org/officeDocument/2006/relationships/image" Target="media/image988.png"/><Relationship Id="rId996" Type="http://schemas.openxmlformats.org/officeDocument/2006/relationships/image" Target="media/image989.png"/><Relationship Id="rId997" Type="http://schemas.openxmlformats.org/officeDocument/2006/relationships/image" Target="media/image990.png"/><Relationship Id="rId998" Type="http://schemas.openxmlformats.org/officeDocument/2006/relationships/image" Target="media/image991.png"/><Relationship Id="rId999" Type="http://schemas.openxmlformats.org/officeDocument/2006/relationships/image" Target="media/image992.png"/><Relationship Id="rId1000" Type="http://schemas.openxmlformats.org/officeDocument/2006/relationships/image" Target="media/image993.png"/><Relationship Id="rId1001" Type="http://schemas.openxmlformats.org/officeDocument/2006/relationships/image" Target="media/image994.png"/><Relationship Id="rId1002" Type="http://schemas.openxmlformats.org/officeDocument/2006/relationships/image" Target="media/image995.png"/><Relationship Id="rId1003" Type="http://schemas.openxmlformats.org/officeDocument/2006/relationships/image" Target="media/image996.png"/><Relationship Id="rId1004" Type="http://schemas.openxmlformats.org/officeDocument/2006/relationships/image" Target="media/image997.png"/><Relationship Id="rId1005" Type="http://schemas.openxmlformats.org/officeDocument/2006/relationships/image" Target="media/image998.png"/><Relationship Id="rId1006" Type="http://schemas.openxmlformats.org/officeDocument/2006/relationships/image" Target="media/image999.png"/><Relationship Id="rId1007" Type="http://schemas.openxmlformats.org/officeDocument/2006/relationships/image" Target="media/image1000.png"/><Relationship Id="rId1008" Type="http://schemas.openxmlformats.org/officeDocument/2006/relationships/image" Target="media/image1001.png"/><Relationship Id="rId1009" Type="http://schemas.openxmlformats.org/officeDocument/2006/relationships/image" Target="media/image1002.png"/><Relationship Id="rId1010" Type="http://schemas.openxmlformats.org/officeDocument/2006/relationships/image" Target="media/image1003.png"/><Relationship Id="rId1011" Type="http://schemas.openxmlformats.org/officeDocument/2006/relationships/image" Target="media/image1004.png"/><Relationship Id="rId1012" Type="http://schemas.openxmlformats.org/officeDocument/2006/relationships/image" Target="media/image1005.png"/><Relationship Id="rId1013" Type="http://schemas.openxmlformats.org/officeDocument/2006/relationships/image" Target="media/image1006.png"/><Relationship Id="rId1014" Type="http://schemas.openxmlformats.org/officeDocument/2006/relationships/image" Target="media/image1007.png"/><Relationship Id="rId1015" Type="http://schemas.openxmlformats.org/officeDocument/2006/relationships/image" Target="media/image1008.png"/><Relationship Id="rId1016" Type="http://schemas.openxmlformats.org/officeDocument/2006/relationships/image" Target="media/image1009.png"/><Relationship Id="rId1017" Type="http://schemas.openxmlformats.org/officeDocument/2006/relationships/image" Target="media/image1010.png"/><Relationship Id="rId1018" Type="http://schemas.openxmlformats.org/officeDocument/2006/relationships/image" Target="media/image1011.png"/><Relationship Id="rId1019" Type="http://schemas.openxmlformats.org/officeDocument/2006/relationships/image" Target="media/image1012.png"/><Relationship Id="rId1020" Type="http://schemas.openxmlformats.org/officeDocument/2006/relationships/image" Target="media/image1013.png"/><Relationship Id="rId1021" Type="http://schemas.openxmlformats.org/officeDocument/2006/relationships/image" Target="media/image1014.png"/><Relationship Id="rId1022" Type="http://schemas.openxmlformats.org/officeDocument/2006/relationships/image" Target="media/image1015.png"/><Relationship Id="rId1023" Type="http://schemas.openxmlformats.org/officeDocument/2006/relationships/image" Target="media/image1016.png"/><Relationship Id="rId1024" Type="http://schemas.openxmlformats.org/officeDocument/2006/relationships/image" Target="media/image1017.png"/><Relationship Id="rId1025" Type="http://schemas.openxmlformats.org/officeDocument/2006/relationships/image" Target="media/image1018.png"/><Relationship Id="rId1026" Type="http://schemas.openxmlformats.org/officeDocument/2006/relationships/image" Target="media/image1019.png"/><Relationship Id="rId1027" Type="http://schemas.openxmlformats.org/officeDocument/2006/relationships/image" Target="media/image1020.png"/><Relationship Id="rId1028" Type="http://schemas.openxmlformats.org/officeDocument/2006/relationships/image" Target="media/image1021.png"/><Relationship Id="rId1029" Type="http://schemas.openxmlformats.org/officeDocument/2006/relationships/image" Target="media/image1022.png"/><Relationship Id="rId1030" Type="http://schemas.openxmlformats.org/officeDocument/2006/relationships/image" Target="media/image1023.png"/><Relationship Id="rId1031" Type="http://schemas.openxmlformats.org/officeDocument/2006/relationships/image" Target="media/image1024.png"/><Relationship Id="rId1032" Type="http://schemas.openxmlformats.org/officeDocument/2006/relationships/image" Target="media/image1025.png"/><Relationship Id="rId1033" Type="http://schemas.openxmlformats.org/officeDocument/2006/relationships/image" Target="media/image1026.png"/><Relationship Id="rId1034" Type="http://schemas.openxmlformats.org/officeDocument/2006/relationships/image" Target="media/image1027.png"/><Relationship Id="rId1035" Type="http://schemas.openxmlformats.org/officeDocument/2006/relationships/image" Target="media/image1028.png"/><Relationship Id="rId1036" Type="http://schemas.openxmlformats.org/officeDocument/2006/relationships/image" Target="media/image1029.png"/><Relationship Id="rId1037" Type="http://schemas.openxmlformats.org/officeDocument/2006/relationships/image" Target="media/image1030.png"/><Relationship Id="rId1038" Type="http://schemas.openxmlformats.org/officeDocument/2006/relationships/image" Target="media/image1031.png"/><Relationship Id="rId1039" Type="http://schemas.openxmlformats.org/officeDocument/2006/relationships/image" Target="media/image1032.png"/><Relationship Id="rId1040" Type="http://schemas.openxmlformats.org/officeDocument/2006/relationships/image" Target="media/image1033.png"/><Relationship Id="rId1041" Type="http://schemas.openxmlformats.org/officeDocument/2006/relationships/image" Target="media/image1034.png"/><Relationship Id="rId1042" Type="http://schemas.openxmlformats.org/officeDocument/2006/relationships/image" Target="media/image1035.png"/><Relationship Id="rId1043" Type="http://schemas.openxmlformats.org/officeDocument/2006/relationships/image" Target="media/image1036.png"/><Relationship Id="rId1044" Type="http://schemas.openxmlformats.org/officeDocument/2006/relationships/image" Target="media/image1037.png"/><Relationship Id="rId1045" Type="http://schemas.openxmlformats.org/officeDocument/2006/relationships/image" Target="media/image1038.png"/><Relationship Id="rId1046" Type="http://schemas.openxmlformats.org/officeDocument/2006/relationships/image" Target="media/image1039.png"/><Relationship Id="rId1047" Type="http://schemas.openxmlformats.org/officeDocument/2006/relationships/image" Target="media/image1040.png"/><Relationship Id="rId1048" Type="http://schemas.openxmlformats.org/officeDocument/2006/relationships/image" Target="media/image1041.png"/><Relationship Id="rId1049" Type="http://schemas.openxmlformats.org/officeDocument/2006/relationships/image" Target="media/image1042.png"/><Relationship Id="rId1050" Type="http://schemas.openxmlformats.org/officeDocument/2006/relationships/image" Target="media/image1043.png"/><Relationship Id="rId1051" Type="http://schemas.openxmlformats.org/officeDocument/2006/relationships/image" Target="media/image1044.png"/><Relationship Id="rId1052" Type="http://schemas.openxmlformats.org/officeDocument/2006/relationships/image" Target="media/image1045.png"/><Relationship Id="rId1053" Type="http://schemas.openxmlformats.org/officeDocument/2006/relationships/image" Target="media/image1046.png"/><Relationship Id="rId1054" Type="http://schemas.openxmlformats.org/officeDocument/2006/relationships/image" Target="media/image1047.png"/><Relationship Id="rId1055" Type="http://schemas.openxmlformats.org/officeDocument/2006/relationships/image" Target="media/image1048.png"/><Relationship Id="rId1056" Type="http://schemas.openxmlformats.org/officeDocument/2006/relationships/image" Target="media/image1049.png"/><Relationship Id="rId1057" Type="http://schemas.openxmlformats.org/officeDocument/2006/relationships/image" Target="media/image1050.png"/><Relationship Id="rId1058" Type="http://schemas.openxmlformats.org/officeDocument/2006/relationships/image" Target="media/image1051.png"/><Relationship Id="rId1059" Type="http://schemas.openxmlformats.org/officeDocument/2006/relationships/image" Target="media/image1052.png"/><Relationship Id="rId1060" Type="http://schemas.openxmlformats.org/officeDocument/2006/relationships/image" Target="media/image1053.png"/><Relationship Id="rId1061" Type="http://schemas.openxmlformats.org/officeDocument/2006/relationships/image" Target="media/image1054.png"/><Relationship Id="rId1062" Type="http://schemas.openxmlformats.org/officeDocument/2006/relationships/image" Target="media/image1055.png"/><Relationship Id="rId1063" Type="http://schemas.openxmlformats.org/officeDocument/2006/relationships/image" Target="media/image1056.png"/><Relationship Id="rId1064" Type="http://schemas.openxmlformats.org/officeDocument/2006/relationships/image" Target="media/image1057.png"/><Relationship Id="rId1065" Type="http://schemas.openxmlformats.org/officeDocument/2006/relationships/image" Target="media/image1058.png"/><Relationship Id="rId1066" Type="http://schemas.openxmlformats.org/officeDocument/2006/relationships/image" Target="media/image1059.png"/><Relationship Id="rId1067" Type="http://schemas.openxmlformats.org/officeDocument/2006/relationships/image" Target="media/image1060.png"/><Relationship Id="rId1068" Type="http://schemas.openxmlformats.org/officeDocument/2006/relationships/image" Target="media/image1061.png"/><Relationship Id="rId1069" Type="http://schemas.openxmlformats.org/officeDocument/2006/relationships/image" Target="media/image1062.png"/><Relationship Id="rId1070" Type="http://schemas.openxmlformats.org/officeDocument/2006/relationships/image" Target="media/image1063.png"/><Relationship Id="rId1071" Type="http://schemas.openxmlformats.org/officeDocument/2006/relationships/image" Target="media/image1064.png"/><Relationship Id="rId1072" Type="http://schemas.openxmlformats.org/officeDocument/2006/relationships/image" Target="media/image1065.png"/><Relationship Id="rId1073" Type="http://schemas.openxmlformats.org/officeDocument/2006/relationships/image" Target="media/image1066.png"/><Relationship Id="rId1074" Type="http://schemas.openxmlformats.org/officeDocument/2006/relationships/image" Target="media/image1067.png"/><Relationship Id="rId1075" Type="http://schemas.openxmlformats.org/officeDocument/2006/relationships/image" Target="media/image1068.png"/><Relationship Id="rId1076" Type="http://schemas.openxmlformats.org/officeDocument/2006/relationships/image" Target="media/image1069.png"/><Relationship Id="rId1077" Type="http://schemas.openxmlformats.org/officeDocument/2006/relationships/image" Target="media/image1070.png"/><Relationship Id="rId1078" Type="http://schemas.openxmlformats.org/officeDocument/2006/relationships/image" Target="media/image1071.png"/><Relationship Id="rId1079" Type="http://schemas.openxmlformats.org/officeDocument/2006/relationships/image" Target="media/image1072.png"/><Relationship Id="rId1080" Type="http://schemas.openxmlformats.org/officeDocument/2006/relationships/image" Target="media/image1073.png"/><Relationship Id="rId1081" Type="http://schemas.openxmlformats.org/officeDocument/2006/relationships/image" Target="media/image1074.png"/><Relationship Id="rId1082" Type="http://schemas.openxmlformats.org/officeDocument/2006/relationships/image" Target="media/image1075.png"/><Relationship Id="rId1083" Type="http://schemas.openxmlformats.org/officeDocument/2006/relationships/image" Target="media/image1076.png"/><Relationship Id="rId1084" Type="http://schemas.openxmlformats.org/officeDocument/2006/relationships/image" Target="media/image1077.png"/><Relationship Id="rId1085" Type="http://schemas.openxmlformats.org/officeDocument/2006/relationships/image" Target="media/image1078.png"/><Relationship Id="rId1086" Type="http://schemas.openxmlformats.org/officeDocument/2006/relationships/image" Target="media/image1079.png"/><Relationship Id="rId1087" Type="http://schemas.openxmlformats.org/officeDocument/2006/relationships/image" Target="media/image1080.png"/><Relationship Id="rId1088" Type="http://schemas.openxmlformats.org/officeDocument/2006/relationships/image" Target="media/image1081.png"/><Relationship Id="rId1089" Type="http://schemas.openxmlformats.org/officeDocument/2006/relationships/image" Target="media/image1082.png"/><Relationship Id="rId1090" Type="http://schemas.openxmlformats.org/officeDocument/2006/relationships/image" Target="media/image1083.png"/><Relationship Id="rId1091" Type="http://schemas.openxmlformats.org/officeDocument/2006/relationships/image" Target="media/image1084.png"/><Relationship Id="rId1092" Type="http://schemas.openxmlformats.org/officeDocument/2006/relationships/image" Target="media/image1085.png"/><Relationship Id="rId1093" Type="http://schemas.openxmlformats.org/officeDocument/2006/relationships/image" Target="media/image1086.png"/><Relationship Id="rId1094" Type="http://schemas.openxmlformats.org/officeDocument/2006/relationships/image" Target="media/image1087.png"/><Relationship Id="rId1095" Type="http://schemas.openxmlformats.org/officeDocument/2006/relationships/image" Target="media/image1088.png"/><Relationship Id="rId1096" Type="http://schemas.openxmlformats.org/officeDocument/2006/relationships/image" Target="media/image1089.png"/><Relationship Id="rId1097" Type="http://schemas.openxmlformats.org/officeDocument/2006/relationships/image" Target="media/image1090.png"/><Relationship Id="rId1098" Type="http://schemas.openxmlformats.org/officeDocument/2006/relationships/image" Target="media/image1091.png"/><Relationship Id="rId1099" Type="http://schemas.openxmlformats.org/officeDocument/2006/relationships/image" Target="media/image1092.png"/><Relationship Id="rId1100" Type="http://schemas.openxmlformats.org/officeDocument/2006/relationships/image" Target="media/image1093.png"/><Relationship Id="rId1101" Type="http://schemas.openxmlformats.org/officeDocument/2006/relationships/image" Target="media/image1094.png"/><Relationship Id="rId1102" Type="http://schemas.openxmlformats.org/officeDocument/2006/relationships/image" Target="media/image1095.png"/><Relationship Id="rId1103" Type="http://schemas.openxmlformats.org/officeDocument/2006/relationships/image" Target="media/image1096.png"/><Relationship Id="rId1104" Type="http://schemas.openxmlformats.org/officeDocument/2006/relationships/image" Target="media/image1097.png"/><Relationship Id="rId1105" Type="http://schemas.openxmlformats.org/officeDocument/2006/relationships/image" Target="media/image1098.png"/><Relationship Id="rId1106" Type="http://schemas.openxmlformats.org/officeDocument/2006/relationships/image" Target="media/image1099.png"/><Relationship Id="rId1107" Type="http://schemas.openxmlformats.org/officeDocument/2006/relationships/image" Target="media/image1100.png"/><Relationship Id="rId1108" Type="http://schemas.openxmlformats.org/officeDocument/2006/relationships/image" Target="media/image1101.png"/><Relationship Id="rId1109" Type="http://schemas.openxmlformats.org/officeDocument/2006/relationships/image" Target="media/image1102.png"/><Relationship Id="rId1110" Type="http://schemas.openxmlformats.org/officeDocument/2006/relationships/image" Target="media/image1103.png"/><Relationship Id="rId1111" Type="http://schemas.openxmlformats.org/officeDocument/2006/relationships/image" Target="media/image1104.png"/><Relationship Id="rId1112" Type="http://schemas.openxmlformats.org/officeDocument/2006/relationships/image" Target="media/image1105.png"/><Relationship Id="rId1113" Type="http://schemas.openxmlformats.org/officeDocument/2006/relationships/image" Target="media/image1106.png"/><Relationship Id="rId1114" Type="http://schemas.openxmlformats.org/officeDocument/2006/relationships/image" Target="media/image1107.png"/><Relationship Id="rId1115" Type="http://schemas.openxmlformats.org/officeDocument/2006/relationships/image" Target="media/image1108.png"/><Relationship Id="rId1116" Type="http://schemas.openxmlformats.org/officeDocument/2006/relationships/image" Target="media/image1109.png"/><Relationship Id="rId1117" Type="http://schemas.openxmlformats.org/officeDocument/2006/relationships/image" Target="media/image1110.png"/><Relationship Id="rId1118" Type="http://schemas.openxmlformats.org/officeDocument/2006/relationships/image" Target="media/image1111.png"/><Relationship Id="rId1119" Type="http://schemas.openxmlformats.org/officeDocument/2006/relationships/image" Target="media/image1112.png"/><Relationship Id="rId1120" Type="http://schemas.openxmlformats.org/officeDocument/2006/relationships/image" Target="media/image1113.png"/><Relationship Id="rId1121" Type="http://schemas.openxmlformats.org/officeDocument/2006/relationships/image" Target="media/image1114.png"/><Relationship Id="rId1122" Type="http://schemas.openxmlformats.org/officeDocument/2006/relationships/image" Target="media/image1115.png"/><Relationship Id="rId1123" Type="http://schemas.openxmlformats.org/officeDocument/2006/relationships/image" Target="media/image1116.png"/><Relationship Id="rId1124" Type="http://schemas.openxmlformats.org/officeDocument/2006/relationships/image" Target="media/image1117.png"/><Relationship Id="rId1125" Type="http://schemas.openxmlformats.org/officeDocument/2006/relationships/image" Target="media/image1118.png"/><Relationship Id="rId1126" Type="http://schemas.openxmlformats.org/officeDocument/2006/relationships/image" Target="media/image1119.png"/><Relationship Id="rId1127" Type="http://schemas.openxmlformats.org/officeDocument/2006/relationships/image" Target="media/image1120.png"/><Relationship Id="rId1128" Type="http://schemas.openxmlformats.org/officeDocument/2006/relationships/image" Target="media/image1121.png"/><Relationship Id="rId1129" Type="http://schemas.openxmlformats.org/officeDocument/2006/relationships/image" Target="media/image1122.png"/><Relationship Id="rId1130" Type="http://schemas.openxmlformats.org/officeDocument/2006/relationships/image" Target="media/image1123.png"/><Relationship Id="rId1131" Type="http://schemas.openxmlformats.org/officeDocument/2006/relationships/image" Target="media/image1124.png"/><Relationship Id="rId1132" Type="http://schemas.openxmlformats.org/officeDocument/2006/relationships/image" Target="media/image1125.png"/><Relationship Id="rId1133" Type="http://schemas.openxmlformats.org/officeDocument/2006/relationships/image" Target="media/image1126.png"/><Relationship Id="rId1134" Type="http://schemas.openxmlformats.org/officeDocument/2006/relationships/image" Target="media/image1127.png"/><Relationship Id="rId1135" Type="http://schemas.openxmlformats.org/officeDocument/2006/relationships/image" Target="media/image1128.png"/><Relationship Id="rId1136" Type="http://schemas.openxmlformats.org/officeDocument/2006/relationships/image" Target="media/image1129.png"/><Relationship Id="rId1137" Type="http://schemas.openxmlformats.org/officeDocument/2006/relationships/image" Target="media/image1130.png"/><Relationship Id="rId1138" Type="http://schemas.openxmlformats.org/officeDocument/2006/relationships/image" Target="media/image1131.png"/><Relationship Id="rId1139" Type="http://schemas.openxmlformats.org/officeDocument/2006/relationships/image" Target="media/image1132.png"/><Relationship Id="rId1140" Type="http://schemas.openxmlformats.org/officeDocument/2006/relationships/image" Target="media/image1133.png"/><Relationship Id="rId1141" Type="http://schemas.openxmlformats.org/officeDocument/2006/relationships/image" Target="media/image1134.png"/><Relationship Id="rId1142" Type="http://schemas.openxmlformats.org/officeDocument/2006/relationships/image" Target="media/image1135.png"/><Relationship Id="rId1143" Type="http://schemas.openxmlformats.org/officeDocument/2006/relationships/image" Target="media/image1136.png"/><Relationship Id="rId1144" Type="http://schemas.openxmlformats.org/officeDocument/2006/relationships/image" Target="media/image1137.png"/><Relationship Id="rId1145" Type="http://schemas.openxmlformats.org/officeDocument/2006/relationships/image" Target="media/image1138.png"/><Relationship Id="rId1146" Type="http://schemas.openxmlformats.org/officeDocument/2006/relationships/image" Target="media/image1139.png"/><Relationship Id="rId1147" Type="http://schemas.openxmlformats.org/officeDocument/2006/relationships/image" Target="media/image1140.png"/><Relationship Id="rId1148" Type="http://schemas.openxmlformats.org/officeDocument/2006/relationships/image" Target="media/image1141.png"/><Relationship Id="rId1149" Type="http://schemas.openxmlformats.org/officeDocument/2006/relationships/image" Target="media/image1142.png"/><Relationship Id="rId1150" Type="http://schemas.openxmlformats.org/officeDocument/2006/relationships/image" Target="media/image1143.png"/><Relationship Id="rId1151" Type="http://schemas.openxmlformats.org/officeDocument/2006/relationships/image" Target="media/image1144.png"/><Relationship Id="rId1152" Type="http://schemas.openxmlformats.org/officeDocument/2006/relationships/image" Target="media/image1145.png"/><Relationship Id="rId1153" Type="http://schemas.openxmlformats.org/officeDocument/2006/relationships/image" Target="media/image1146.png"/><Relationship Id="rId1154" Type="http://schemas.openxmlformats.org/officeDocument/2006/relationships/image" Target="media/image1147.png"/><Relationship Id="rId1155" Type="http://schemas.openxmlformats.org/officeDocument/2006/relationships/image" Target="media/image1148.png"/><Relationship Id="rId1156" Type="http://schemas.openxmlformats.org/officeDocument/2006/relationships/image" Target="media/image1149.png"/><Relationship Id="rId1157" Type="http://schemas.openxmlformats.org/officeDocument/2006/relationships/image" Target="media/image1150.png"/><Relationship Id="rId1158" Type="http://schemas.openxmlformats.org/officeDocument/2006/relationships/image" Target="media/image1151.png"/><Relationship Id="rId1159" Type="http://schemas.openxmlformats.org/officeDocument/2006/relationships/image" Target="media/image1152.png"/><Relationship Id="rId1160" Type="http://schemas.openxmlformats.org/officeDocument/2006/relationships/image" Target="media/image1153.png"/><Relationship Id="rId1161" Type="http://schemas.openxmlformats.org/officeDocument/2006/relationships/image" Target="media/image1154.png"/><Relationship Id="rId1162" Type="http://schemas.openxmlformats.org/officeDocument/2006/relationships/image" Target="media/image1155.png"/><Relationship Id="rId1163" Type="http://schemas.openxmlformats.org/officeDocument/2006/relationships/image" Target="media/image1156.png"/><Relationship Id="rId1164" Type="http://schemas.openxmlformats.org/officeDocument/2006/relationships/image" Target="media/image1157.png"/><Relationship Id="rId1165" Type="http://schemas.openxmlformats.org/officeDocument/2006/relationships/image" Target="media/image1158.png"/><Relationship Id="rId1166" Type="http://schemas.openxmlformats.org/officeDocument/2006/relationships/image" Target="media/image1159.png"/><Relationship Id="rId1167" Type="http://schemas.openxmlformats.org/officeDocument/2006/relationships/image" Target="media/image1160.png"/><Relationship Id="rId1168" Type="http://schemas.openxmlformats.org/officeDocument/2006/relationships/image" Target="media/image1161.png"/><Relationship Id="rId1169" Type="http://schemas.openxmlformats.org/officeDocument/2006/relationships/image" Target="media/image1162.png"/><Relationship Id="rId1170" Type="http://schemas.openxmlformats.org/officeDocument/2006/relationships/image" Target="media/image1163.png"/><Relationship Id="rId1171" Type="http://schemas.openxmlformats.org/officeDocument/2006/relationships/image" Target="media/image1164.png"/><Relationship Id="rId1172" Type="http://schemas.openxmlformats.org/officeDocument/2006/relationships/image" Target="media/image1165.png"/><Relationship Id="rId1173" Type="http://schemas.openxmlformats.org/officeDocument/2006/relationships/image" Target="media/image1166.png"/><Relationship Id="rId1174" Type="http://schemas.openxmlformats.org/officeDocument/2006/relationships/image" Target="media/image1167.png"/><Relationship Id="rId1175" Type="http://schemas.openxmlformats.org/officeDocument/2006/relationships/image" Target="media/image1168.png"/><Relationship Id="rId1176" Type="http://schemas.openxmlformats.org/officeDocument/2006/relationships/image" Target="media/image1169.png"/><Relationship Id="rId1177" Type="http://schemas.openxmlformats.org/officeDocument/2006/relationships/image" Target="media/image1170.png"/><Relationship Id="rId1178" Type="http://schemas.openxmlformats.org/officeDocument/2006/relationships/image" Target="media/image1171.png"/><Relationship Id="rId1179" Type="http://schemas.openxmlformats.org/officeDocument/2006/relationships/image" Target="media/image1172.png"/><Relationship Id="rId1180" Type="http://schemas.openxmlformats.org/officeDocument/2006/relationships/image" Target="media/image1173.png"/><Relationship Id="rId1181" Type="http://schemas.openxmlformats.org/officeDocument/2006/relationships/image" Target="media/image1174.png"/><Relationship Id="rId1182" Type="http://schemas.openxmlformats.org/officeDocument/2006/relationships/image" Target="media/image1175.png"/><Relationship Id="rId1183" Type="http://schemas.openxmlformats.org/officeDocument/2006/relationships/image" Target="media/image1176.png"/><Relationship Id="rId1184" Type="http://schemas.openxmlformats.org/officeDocument/2006/relationships/image" Target="media/image1177.png"/><Relationship Id="rId1185" Type="http://schemas.openxmlformats.org/officeDocument/2006/relationships/image" Target="media/image1178.png"/><Relationship Id="rId1186" Type="http://schemas.openxmlformats.org/officeDocument/2006/relationships/image" Target="media/image1179.png"/><Relationship Id="rId1187" Type="http://schemas.openxmlformats.org/officeDocument/2006/relationships/image" Target="media/image1180.png"/><Relationship Id="rId1188" Type="http://schemas.openxmlformats.org/officeDocument/2006/relationships/image" Target="media/image1181.png"/><Relationship Id="rId1189" Type="http://schemas.openxmlformats.org/officeDocument/2006/relationships/image" Target="media/image1182.png"/><Relationship Id="rId1190" Type="http://schemas.openxmlformats.org/officeDocument/2006/relationships/image" Target="media/image1183.png"/><Relationship Id="rId1191" Type="http://schemas.openxmlformats.org/officeDocument/2006/relationships/image" Target="media/image1184.png"/><Relationship Id="rId1192" Type="http://schemas.openxmlformats.org/officeDocument/2006/relationships/image" Target="media/image1185.png"/><Relationship Id="rId1193" Type="http://schemas.openxmlformats.org/officeDocument/2006/relationships/image" Target="media/image1186.png"/><Relationship Id="rId1194" Type="http://schemas.openxmlformats.org/officeDocument/2006/relationships/image" Target="media/image1187.png"/><Relationship Id="rId1195" Type="http://schemas.openxmlformats.org/officeDocument/2006/relationships/image" Target="media/image1188.png"/><Relationship Id="rId1196" Type="http://schemas.openxmlformats.org/officeDocument/2006/relationships/image" Target="media/image1189.png"/><Relationship Id="rId1197" Type="http://schemas.openxmlformats.org/officeDocument/2006/relationships/image" Target="media/image1190.png"/><Relationship Id="rId1198" Type="http://schemas.openxmlformats.org/officeDocument/2006/relationships/image" Target="media/image1191.png"/><Relationship Id="rId1199" Type="http://schemas.openxmlformats.org/officeDocument/2006/relationships/image" Target="media/image1192.png"/><Relationship Id="rId1200" Type="http://schemas.openxmlformats.org/officeDocument/2006/relationships/image" Target="media/image1193.png"/><Relationship Id="rId1201" Type="http://schemas.openxmlformats.org/officeDocument/2006/relationships/image" Target="media/image1194.png"/><Relationship Id="rId1202" Type="http://schemas.openxmlformats.org/officeDocument/2006/relationships/image" Target="media/image1195.png"/><Relationship Id="rId1203" Type="http://schemas.openxmlformats.org/officeDocument/2006/relationships/image" Target="media/image1196.png"/><Relationship Id="rId1204" Type="http://schemas.openxmlformats.org/officeDocument/2006/relationships/image" Target="media/image1197.png"/><Relationship Id="rId1205" Type="http://schemas.openxmlformats.org/officeDocument/2006/relationships/image" Target="media/image1198.png"/><Relationship Id="rId1206" Type="http://schemas.openxmlformats.org/officeDocument/2006/relationships/image" Target="media/image1199.png"/><Relationship Id="rId1207" Type="http://schemas.openxmlformats.org/officeDocument/2006/relationships/image" Target="media/image1200.png"/><Relationship Id="rId1208" Type="http://schemas.openxmlformats.org/officeDocument/2006/relationships/image" Target="media/image1201.png"/><Relationship Id="rId1209" Type="http://schemas.openxmlformats.org/officeDocument/2006/relationships/image" Target="media/image1202.png"/><Relationship Id="rId1210" Type="http://schemas.openxmlformats.org/officeDocument/2006/relationships/image" Target="media/image1203.png"/><Relationship Id="rId1211" Type="http://schemas.openxmlformats.org/officeDocument/2006/relationships/image" Target="media/image1204.png"/><Relationship Id="rId1212" Type="http://schemas.openxmlformats.org/officeDocument/2006/relationships/image" Target="media/image1205.png"/><Relationship Id="rId1213" Type="http://schemas.openxmlformats.org/officeDocument/2006/relationships/image" Target="media/image1206.png"/><Relationship Id="rId1214" Type="http://schemas.openxmlformats.org/officeDocument/2006/relationships/image" Target="media/image1207.png"/><Relationship Id="rId1215" Type="http://schemas.openxmlformats.org/officeDocument/2006/relationships/image" Target="media/image1208.png"/><Relationship Id="rId1216" Type="http://schemas.openxmlformats.org/officeDocument/2006/relationships/image" Target="media/image1209.png"/><Relationship Id="rId1217" Type="http://schemas.openxmlformats.org/officeDocument/2006/relationships/image" Target="media/image1210.png"/><Relationship Id="rId1218" Type="http://schemas.openxmlformats.org/officeDocument/2006/relationships/image" Target="media/image1211.png"/><Relationship Id="rId1219" Type="http://schemas.openxmlformats.org/officeDocument/2006/relationships/image" Target="media/image1212.png"/><Relationship Id="rId1220" Type="http://schemas.openxmlformats.org/officeDocument/2006/relationships/image" Target="media/image1213.png"/><Relationship Id="rId1221" Type="http://schemas.openxmlformats.org/officeDocument/2006/relationships/image" Target="media/image1214.png"/><Relationship Id="rId1222" Type="http://schemas.openxmlformats.org/officeDocument/2006/relationships/image" Target="media/image1215.png"/><Relationship Id="rId1223" Type="http://schemas.openxmlformats.org/officeDocument/2006/relationships/image" Target="media/image1216.png"/><Relationship Id="rId1224" Type="http://schemas.openxmlformats.org/officeDocument/2006/relationships/image" Target="media/image1217.png"/><Relationship Id="rId1225" Type="http://schemas.openxmlformats.org/officeDocument/2006/relationships/image" Target="media/image1218.png"/><Relationship Id="rId1226" Type="http://schemas.openxmlformats.org/officeDocument/2006/relationships/image" Target="media/image1219.png"/><Relationship Id="rId1227" Type="http://schemas.openxmlformats.org/officeDocument/2006/relationships/image" Target="media/image1220.png"/><Relationship Id="rId1228" Type="http://schemas.openxmlformats.org/officeDocument/2006/relationships/image" Target="media/image1221.png"/><Relationship Id="rId1229" Type="http://schemas.openxmlformats.org/officeDocument/2006/relationships/image" Target="media/image1222.png"/><Relationship Id="rId1230" Type="http://schemas.openxmlformats.org/officeDocument/2006/relationships/image" Target="media/image1223.png"/><Relationship Id="rId1231" Type="http://schemas.openxmlformats.org/officeDocument/2006/relationships/image" Target="media/image1224.png"/><Relationship Id="rId1232" Type="http://schemas.openxmlformats.org/officeDocument/2006/relationships/image" Target="media/image1225.png"/><Relationship Id="rId1233" Type="http://schemas.openxmlformats.org/officeDocument/2006/relationships/image" Target="media/image1226.png"/><Relationship Id="rId1234" Type="http://schemas.openxmlformats.org/officeDocument/2006/relationships/image" Target="media/image1227.png"/><Relationship Id="rId1235" Type="http://schemas.openxmlformats.org/officeDocument/2006/relationships/image" Target="media/image1228.png"/><Relationship Id="rId1236" Type="http://schemas.openxmlformats.org/officeDocument/2006/relationships/image" Target="media/image1229.png"/><Relationship Id="rId1237" Type="http://schemas.openxmlformats.org/officeDocument/2006/relationships/image" Target="media/image1230.png"/><Relationship Id="rId1238" Type="http://schemas.openxmlformats.org/officeDocument/2006/relationships/image" Target="media/image1231.png"/><Relationship Id="rId1239" Type="http://schemas.openxmlformats.org/officeDocument/2006/relationships/image" Target="media/image1232.png"/><Relationship Id="rId1240" Type="http://schemas.openxmlformats.org/officeDocument/2006/relationships/image" Target="media/image1233.png"/><Relationship Id="rId1241" Type="http://schemas.openxmlformats.org/officeDocument/2006/relationships/image" Target="media/image1234.png"/><Relationship Id="rId1242" Type="http://schemas.openxmlformats.org/officeDocument/2006/relationships/image" Target="media/image1235.png"/><Relationship Id="rId1243" Type="http://schemas.openxmlformats.org/officeDocument/2006/relationships/image" Target="media/image1236.png"/><Relationship Id="rId1244" Type="http://schemas.openxmlformats.org/officeDocument/2006/relationships/image" Target="media/image1237.png"/><Relationship Id="rId1245" Type="http://schemas.openxmlformats.org/officeDocument/2006/relationships/image" Target="media/image1238.png"/><Relationship Id="rId1246" Type="http://schemas.openxmlformats.org/officeDocument/2006/relationships/image" Target="media/image1239.png"/><Relationship Id="rId1247" Type="http://schemas.openxmlformats.org/officeDocument/2006/relationships/image" Target="media/image1240.png"/><Relationship Id="rId1248" Type="http://schemas.openxmlformats.org/officeDocument/2006/relationships/image" Target="media/image1241.png"/><Relationship Id="rId1249" Type="http://schemas.openxmlformats.org/officeDocument/2006/relationships/image" Target="media/image1242.png"/><Relationship Id="rId1250" Type="http://schemas.openxmlformats.org/officeDocument/2006/relationships/image" Target="media/image1243.png"/><Relationship Id="rId1251" Type="http://schemas.openxmlformats.org/officeDocument/2006/relationships/image" Target="media/image1244.png"/><Relationship Id="rId1252" Type="http://schemas.openxmlformats.org/officeDocument/2006/relationships/image" Target="media/image1245.png"/><Relationship Id="rId1253" Type="http://schemas.openxmlformats.org/officeDocument/2006/relationships/image" Target="media/image1246.png"/><Relationship Id="rId1254" Type="http://schemas.openxmlformats.org/officeDocument/2006/relationships/image" Target="media/image1247.png"/><Relationship Id="rId1255" Type="http://schemas.openxmlformats.org/officeDocument/2006/relationships/image" Target="media/image1248.png"/><Relationship Id="rId1256" Type="http://schemas.openxmlformats.org/officeDocument/2006/relationships/image" Target="media/image1249.png"/><Relationship Id="rId1257" Type="http://schemas.openxmlformats.org/officeDocument/2006/relationships/image" Target="media/image1250.png"/><Relationship Id="rId1258" Type="http://schemas.openxmlformats.org/officeDocument/2006/relationships/image" Target="media/image1251.png"/><Relationship Id="rId1259" Type="http://schemas.openxmlformats.org/officeDocument/2006/relationships/image" Target="media/image1252.png"/><Relationship Id="rId1260" Type="http://schemas.openxmlformats.org/officeDocument/2006/relationships/image" Target="media/image1253.png"/><Relationship Id="rId1261" Type="http://schemas.openxmlformats.org/officeDocument/2006/relationships/image" Target="media/image1254.png"/><Relationship Id="rId1262" Type="http://schemas.openxmlformats.org/officeDocument/2006/relationships/image" Target="media/image1255.png"/><Relationship Id="rId1263" Type="http://schemas.openxmlformats.org/officeDocument/2006/relationships/image" Target="media/image1256.png"/><Relationship Id="rId1264" Type="http://schemas.openxmlformats.org/officeDocument/2006/relationships/image" Target="media/image1257.png"/><Relationship Id="rId1265" Type="http://schemas.openxmlformats.org/officeDocument/2006/relationships/image" Target="media/image1258.png"/><Relationship Id="rId1266" Type="http://schemas.openxmlformats.org/officeDocument/2006/relationships/image" Target="media/image1259.png"/><Relationship Id="rId1267" Type="http://schemas.openxmlformats.org/officeDocument/2006/relationships/image" Target="media/image1260.png"/><Relationship Id="rId1268" Type="http://schemas.openxmlformats.org/officeDocument/2006/relationships/image" Target="media/image1261.png"/><Relationship Id="rId1269" Type="http://schemas.openxmlformats.org/officeDocument/2006/relationships/image" Target="media/image1262.png"/><Relationship Id="rId1270" Type="http://schemas.openxmlformats.org/officeDocument/2006/relationships/image" Target="media/image1263.png"/><Relationship Id="rId1271" Type="http://schemas.openxmlformats.org/officeDocument/2006/relationships/image" Target="media/image1264.png"/><Relationship Id="rId1272" Type="http://schemas.openxmlformats.org/officeDocument/2006/relationships/image" Target="media/image1265.png"/><Relationship Id="rId1273" Type="http://schemas.openxmlformats.org/officeDocument/2006/relationships/image" Target="media/image1266.png"/><Relationship Id="rId1274" Type="http://schemas.openxmlformats.org/officeDocument/2006/relationships/image" Target="media/image1267.png"/><Relationship Id="rId1275" Type="http://schemas.openxmlformats.org/officeDocument/2006/relationships/image" Target="media/image1268.png"/><Relationship Id="rId1276" Type="http://schemas.openxmlformats.org/officeDocument/2006/relationships/image" Target="media/image1269.png"/><Relationship Id="rId1277" Type="http://schemas.openxmlformats.org/officeDocument/2006/relationships/image" Target="media/image1270.png"/><Relationship Id="rId1278" Type="http://schemas.openxmlformats.org/officeDocument/2006/relationships/image" Target="media/image1271.png"/><Relationship Id="rId1279" Type="http://schemas.openxmlformats.org/officeDocument/2006/relationships/image" Target="media/image1272.png"/><Relationship Id="rId1280" Type="http://schemas.openxmlformats.org/officeDocument/2006/relationships/image" Target="media/image1273.png"/><Relationship Id="rId1281" Type="http://schemas.openxmlformats.org/officeDocument/2006/relationships/image" Target="media/image1274.png"/><Relationship Id="rId1282" Type="http://schemas.openxmlformats.org/officeDocument/2006/relationships/image" Target="media/image1275.png"/><Relationship Id="rId1283" Type="http://schemas.openxmlformats.org/officeDocument/2006/relationships/image" Target="media/image1276.png"/><Relationship Id="rId1284" Type="http://schemas.openxmlformats.org/officeDocument/2006/relationships/image" Target="media/image1277.png"/><Relationship Id="rId1285" Type="http://schemas.openxmlformats.org/officeDocument/2006/relationships/image" Target="media/image1278.png"/><Relationship Id="rId1286" Type="http://schemas.openxmlformats.org/officeDocument/2006/relationships/image" Target="media/image1279.png"/><Relationship Id="rId1287" Type="http://schemas.openxmlformats.org/officeDocument/2006/relationships/image" Target="media/image1280.png"/><Relationship Id="rId1288" Type="http://schemas.openxmlformats.org/officeDocument/2006/relationships/image" Target="media/image1281.png"/><Relationship Id="rId1289" Type="http://schemas.openxmlformats.org/officeDocument/2006/relationships/image" Target="media/image1282.png"/><Relationship Id="rId1290" Type="http://schemas.openxmlformats.org/officeDocument/2006/relationships/image" Target="media/image1283.png"/><Relationship Id="rId1291" Type="http://schemas.openxmlformats.org/officeDocument/2006/relationships/image" Target="media/image1284.png"/><Relationship Id="rId1292" Type="http://schemas.openxmlformats.org/officeDocument/2006/relationships/image" Target="media/image1285.png"/><Relationship Id="rId1293" Type="http://schemas.openxmlformats.org/officeDocument/2006/relationships/image" Target="media/image1286.png"/><Relationship Id="rId1294" Type="http://schemas.openxmlformats.org/officeDocument/2006/relationships/image" Target="media/image1287.png"/><Relationship Id="rId1295" Type="http://schemas.openxmlformats.org/officeDocument/2006/relationships/image" Target="media/image1288.png"/><Relationship Id="rId1296" Type="http://schemas.openxmlformats.org/officeDocument/2006/relationships/image" Target="media/image1289.png"/><Relationship Id="rId1297" Type="http://schemas.openxmlformats.org/officeDocument/2006/relationships/image" Target="media/image1290.png"/><Relationship Id="rId1298" Type="http://schemas.openxmlformats.org/officeDocument/2006/relationships/image" Target="media/image1291.png"/><Relationship Id="rId1299" Type="http://schemas.openxmlformats.org/officeDocument/2006/relationships/image" Target="media/image1292.png"/><Relationship Id="rId1300" Type="http://schemas.openxmlformats.org/officeDocument/2006/relationships/image" Target="media/image1293.png"/><Relationship Id="rId1301" Type="http://schemas.openxmlformats.org/officeDocument/2006/relationships/image" Target="media/image1294.png"/><Relationship Id="rId1302" Type="http://schemas.openxmlformats.org/officeDocument/2006/relationships/image" Target="media/image1295.png"/><Relationship Id="rId1303" Type="http://schemas.openxmlformats.org/officeDocument/2006/relationships/image" Target="media/image1296.png"/><Relationship Id="rId1304" Type="http://schemas.openxmlformats.org/officeDocument/2006/relationships/image" Target="media/image1297.png"/><Relationship Id="rId1305" Type="http://schemas.openxmlformats.org/officeDocument/2006/relationships/image" Target="media/image1298.png"/><Relationship Id="rId1306" Type="http://schemas.openxmlformats.org/officeDocument/2006/relationships/image" Target="media/image1299.png"/><Relationship Id="rId1307" Type="http://schemas.openxmlformats.org/officeDocument/2006/relationships/image" Target="media/image1300.png"/><Relationship Id="rId1308" Type="http://schemas.openxmlformats.org/officeDocument/2006/relationships/image" Target="media/image1301.png"/><Relationship Id="rId1309" Type="http://schemas.openxmlformats.org/officeDocument/2006/relationships/image" Target="media/image1302.png"/><Relationship Id="rId1310" Type="http://schemas.openxmlformats.org/officeDocument/2006/relationships/image" Target="media/image1303.png"/><Relationship Id="rId1311" Type="http://schemas.openxmlformats.org/officeDocument/2006/relationships/image" Target="media/image1304.png"/><Relationship Id="rId1312" Type="http://schemas.openxmlformats.org/officeDocument/2006/relationships/image" Target="media/image1305.png"/><Relationship Id="rId1313" Type="http://schemas.openxmlformats.org/officeDocument/2006/relationships/image" Target="media/image1306.png"/><Relationship Id="rId1314" Type="http://schemas.openxmlformats.org/officeDocument/2006/relationships/image" Target="media/image1307.png"/><Relationship Id="rId1315" Type="http://schemas.openxmlformats.org/officeDocument/2006/relationships/image" Target="media/image1308.png"/><Relationship Id="rId1316" Type="http://schemas.openxmlformats.org/officeDocument/2006/relationships/image" Target="media/image1309.png"/><Relationship Id="rId1317" Type="http://schemas.openxmlformats.org/officeDocument/2006/relationships/image" Target="media/image1310.png"/><Relationship Id="rId1318" Type="http://schemas.openxmlformats.org/officeDocument/2006/relationships/image" Target="media/image1311.png"/><Relationship Id="rId1319" Type="http://schemas.openxmlformats.org/officeDocument/2006/relationships/image" Target="media/image1312.png"/><Relationship Id="rId1320" Type="http://schemas.openxmlformats.org/officeDocument/2006/relationships/image" Target="media/image1313.png"/><Relationship Id="rId1321" Type="http://schemas.openxmlformats.org/officeDocument/2006/relationships/image" Target="media/image1314.png"/><Relationship Id="rId1322" Type="http://schemas.openxmlformats.org/officeDocument/2006/relationships/image" Target="media/image1315.png"/><Relationship Id="rId1323" Type="http://schemas.openxmlformats.org/officeDocument/2006/relationships/image" Target="media/image1316.png"/><Relationship Id="rId1324" Type="http://schemas.openxmlformats.org/officeDocument/2006/relationships/image" Target="media/image1317.png"/><Relationship Id="rId1325" Type="http://schemas.openxmlformats.org/officeDocument/2006/relationships/image" Target="media/image1318.png"/><Relationship Id="rId1326" Type="http://schemas.openxmlformats.org/officeDocument/2006/relationships/image" Target="media/image1319.png"/><Relationship Id="rId1327" Type="http://schemas.openxmlformats.org/officeDocument/2006/relationships/image" Target="media/image1320.png"/><Relationship Id="rId1328" Type="http://schemas.openxmlformats.org/officeDocument/2006/relationships/image" Target="media/image1321.png"/><Relationship Id="rId1329" Type="http://schemas.openxmlformats.org/officeDocument/2006/relationships/image" Target="media/image1322.png"/><Relationship Id="rId1330" Type="http://schemas.openxmlformats.org/officeDocument/2006/relationships/image" Target="media/image1323.png"/><Relationship Id="rId1331" Type="http://schemas.openxmlformats.org/officeDocument/2006/relationships/image" Target="media/image1324.png"/><Relationship Id="rId1332" Type="http://schemas.openxmlformats.org/officeDocument/2006/relationships/image" Target="media/image1325.png"/><Relationship Id="rId1333" Type="http://schemas.openxmlformats.org/officeDocument/2006/relationships/image" Target="media/image1326.png"/><Relationship Id="rId1334" Type="http://schemas.openxmlformats.org/officeDocument/2006/relationships/image" Target="media/image1327.png"/><Relationship Id="rId1335" Type="http://schemas.openxmlformats.org/officeDocument/2006/relationships/image" Target="media/image1328.png"/><Relationship Id="rId1336" Type="http://schemas.openxmlformats.org/officeDocument/2006/relationships/image" Target="media/image1329.png"/><Relationship Id="rId1337" Type="http://schemas.openxmlformats.org/officeDocument/2006/relationships/image" Target="media/image1330.png"/><Relationship Id="rId1338" Type="http://schemas.openxmlformats.org/officeDocument/2006/relationships/image" Target="media/image1331.png"/><Relationship Id="rId1339" Type="http://schemas.openxmlformats.org/officeDocument/2006/relationships/image" Target="media/image1332.png"/><Relationship Id="rId1340" Type="http://schemas.openxmlformats.org/officeDocument/2006/relationships/image" Target="media/image1333.png"/><Relationship Id="rId1341" Type="http://schemas.openxmlformats.org/officeDocument/2006/relationships/image" Target="media/image1334.png"/><Relationship Id="rId1342" Type="http://schemas.openxmlformats.org/officeDocument/2006/relationships/image" Target="media/image1335.png"/><Relationship Id="rId1343" Type="http://schemas.openxmlformats.org/officeDocument/2006/relationships/image" Target="media/image1336.png"/><Relationship Id="rId1344" Type="http://schemas.openxmlformats.org/officeDocument/2006/relationships/image" Target="media/image1337.png"/><Relationship Id="rId1345" Type="http://schemas.openxmlformats.org/officeDocument/2006/relationships/image" Target="media/image1338.png"/><Relationship Id="rId1346" Type="http://schemas.openxmlformats.org/officeDocument/2006/relationships/image" Target="media/image1339.png"/><Relationship Id="rId1347" Type="http://schemas.openxmlformats.org/officeDocument/2006/relationships/image" Target="media/image1340.png"/><Relationship Id="rId1348" Type="http://schemas.openxmlformats.org/officeDocument/2006/relationships/image" Target="media/image1341.png"/><Relationship Id="rId1349" Type="http://schemas.openxmlformats.org/officeDocument/2006/relationships/image" Target="media/image1342.png"/><Relationship Id="rId1350" Type="http://schemas.openxmlformats.org/officeDocument/2006/relationships/image" Target="media/image1343.png"/><Relationship Id="rId1351" Type="http://schemas.openxmlformats.org/officeDocument/2006/relationships/image" Target="media/image1344.jpeg"/><Relationship Id="rId1352" Type="http://schemas.openxmlformats.org/officeDocument/2006/relationships/image" Target="media/image1345.png"/><Relationship Id="rId1353" Type="http://schemas.openxmlformats.org/officeDocument/2006/relationships/image" Target="media/image1346.png"/><Relationship Id="rId1354" Type="http://schemas.openxmlformats.org/officeDocument/2006/relationships/image" Target="media/image1347.png"/><Relationship Id="rId1355" Type="http://schemas.openxmlformats.org/officeDocument/2006/relationships/image" Target="media/image1348.png"/><Relationship Id="rId1356" Type="http://schemas.openxmlformats.org/officeDocument/2006/relationships/image" Target="media/image1349.png"/><Relationship Id="rId1357" Type="http://schemas.openxmlformats.org/officeDocument/2006/relationships/image" Target="media/image1350.png"/><Relationship Id="rId1358" Type="http://schemas.openxmlformats.org/officeDocument/2006/relationships/image" Target="media/image1351.png"/><Relationship Id="rId1359" Type="http://schemas.openxmlformats.org/officeDocument/2006/relationships/image" Target="media/image1352.png"/><Relationship Id="rId1360" Type="http://schemas.openxmlformats.org/officeDocument/2006/relationships/image" Target="media/image1353.png"/><Relationship Id="rId1361" Type="http://schemas.openxmlformats.org/officeDocument/2006/relationships/image" Target="media/image1354.png"/><Relationship Id="rId1362" Type="http://schemas.openxmlformats.org/officeDocument/2006/relationships/image" Target="media/image1355.png"/><Relationship Id="rId1363" Type="http://schemas.openxmlformats.org/officeDocument/2006/relationships/image" Target="media/image1356.jpeg"/><Relationship Id="rId1364" Type="http://schemas.openxmlformats.org/officeDocument/2006/relationships/image" Target="media/image1357.png"/><Relationship Id="rId1365" Type="http://schemas.openxmlformats.org/officeDocument/2006/relationships/image" Target="media/image1358.png"/><Relationship Id="rId1366" Type="http://schemas.openxmlformats.org/officeDocument/2006/relationships/image" Target="media/image1359.png"/><Relationship Id="rId1367" Type="http://schemas.openxmlformats.org/officeDocument/2006/relationships/image" Target="media/image1360.png"/><Relationship Id="rId1368" Type="http://schemas.openxmlformats.org/officeDocument/2006/relationships/image" Target="media/image1361.png"/><Relationship Id="rId1369" Type="http://schemas.openxmlformats.org/officeDocument/2006/relationships/image" Target="media/image1362.png"/><Relationship Id="rId1370" Type="http://schemas.openxmlformats.org/officeDocument/2006/relationships/image" Target="media/image1363.png"/><Relationship Id="rId1371" Type="http://schemas.openxmlformats.org/officeDocument/2006/relationships/image" Target="media/image1364.png"/><Relationship Id="rId1372" Type="http://schemas.openxmlformats.org/officeDocument/2006/relationships/image" Target="media/image1365.png"/><Relationship Id="rId1373" Type="http://schemas.openxmlformats.org/officeDocument/2006/relationships/image" Target="media/image1366.png"/><Relationship Id="rId1374" Type="http://schemas.openxmlformats.org/officeDocument/2006/relationships/image" Target="media/image1367.png"/><Relationship Id="rId1375" Type="http://schemas.openxmlformats.org/officeDocument/2006/relationships/image" Target="media/image1368.png"/><Relationship Id="rId1376" Type="http://schemas.openxmlformats.org/officeDocument/2006/relationships/image" Target="media/image1369.png"/><Relationship Id="rId1377" Type="http://schemas.openxmlformats.org/officeDocument/2006/relationships/image" Target="media/image1370.png"/><Relationship Id="rId1378" Type="http://schemas.openxmlformats.org/officeDocument/2006/relationships/image" Target="media/image1371.png"/><Relationship Id="rId1379" Type="http://schemas.openxmlformats.org/officeDocument/2006/relationships/image" Target="media/image1372.png"/><Relationship Id="rId1380" Type="http://schemas.openxmlformats.org/officeDocument/2006/relationships/image" Target="media/image1373.png"/><Relationship Id="rId1381" Type="http://schemas.openxmlformats.org/officeDocument/2006/relationships/image" Target="media/image1374.png"/><Relationship Id="rId1382" Type="http://schemas.openxmlformats.org/officeDocument/2006/relationships/image" Target="media/image1375.png"/><Relationship Id="rId1383" Type="http://schemas.openxmlformats.org/officeDocument/2006/relationships/image" Target="media/image1376.png"/><Relationship Id="rId1384" Type="http://schemas.openxmlformats.org/officeDocument/2006/relationships/image" Target="media/image1377.png"/><Relationship Id="rId1385" Type="http://schemas.openxmlformats.org/officeDocument/2006/relationships/image" Target="media/image1378.png"/><Relationship Id="rId1386" Type="http://schemas.openxmlformats.org/officeDocument/2006/relationships/image" Target="media/image1379.png"/><Relationship Id="rId1387" Type="http://schemas.openxmlformats.org/officeDocument/2006/relationships/image" Target="media/image1380.png"/><Relationship Id="rId1388" Type="http://schemas.openxmlformats.org/officeDocument/2006/relationships/image" Target="media/image1381.png"/><Relationship Id="rId1389" Type="http://schemas.openxmlformats.org/officeDocument/2006/relationships/image" Target="media/image1382.png"/><Relationship Id="rId1390" Type="http://schemas.openxmlformats.org/officeDocument/2006/relationships/image" Target="media/image1383.png"/><Relationship Id="rId1391" Type="http://schemas.openxmlformats.org/officeDocument/2006/relationships/image" Target="media/image1384.png"/><Relationship Id="rId1392" Type="http://schemas.openxmlformats.org/officeDocument/2006/relationships/image" Target="media/image1385.png"/><Relationship Id="rId1393" Type="http://schemas.openxmlformats.org/officeDocument/2006/relationships/image" Target="media/image1386.png"/><Relationship Id="rId1394" Type="http://schemas.openxmlformats.org/officeDocument/2006/relationships/image" Target="media/image1387.png"/><Relationship Id="rId1395" Type="http://schemas.openxmlformats.org/officeDocument/2006/relationships/image" Target="media/image1388.png"/><Relationship Id="rId1396" Type="http://schemas.openxmlformats.org/officeDocument/2006/relationships/image" Target="media/image1389.png"/><Relationship Id="rId1397" Type="http://schemas.openxmlformats.org/officeDocument/2006/relationships/image" Target="media/image1390.png"/><Relationship Id="rId1398" Type="http://schemas.openxmlformats.org/officeDocument/2006/relationships/image" Target="media/image1391.png"/><Relationship Id="rId1399" Type="http://schemas.openxmlformats.org/officeDocument/2006/relationships/image" Target="media/image1392.png"/><Relationship Id="rId1400" Type="http://schemas.openxmlformats.org/officeDocument/2006/relationships/image" Target="media/image1393.png"/><Relationship Id="rId1401" Type="http://schemas.openxmlformats.org/officeDocument/2006/relationships/image" Target="media/image1394.png"/><Relationship Id="rId1402" Type="http://schemas.openxmlformats.org/officeDocument/2006/relationships/image" Target="media/image1395.png"/><Relationship Id="rId1403" Type="http://schemas.openxmlformats.org/officeDocument/2006/relationships/image" Target="media/image1396.png"/><Relationship Id="rId1404" Type="http://schemas.openxmlformats.org/officeDocument/2006/relationships/image" Target="media/image1397.png"/><Relationship Id="rId1405" Type="http://schemas.openxmlformats.org/officeDocument/2006/relationships/image" Target="media/image1398.png"/><Relationship Id="rId1406" Type="http://schemas.openxmlformats.org/officeDocument/2006/relationships/image" Target="media/image1399.png"/><Relationship Id="rId1407" Type="http://schemas.openxmlformats.org/officeDocument/2006/relationships/image" Target="media/image1400.png"/><Relationship Id="rId1408" Type="http://schemas.openxmlformats.org/officeDocument/2006/relationships/image" Target="media/image1401.png"/><Relationship Id="rId1409" Type="http://schemas.openxmlformats.org/officeDocument/2006/relationships/image" Target="media/image1402.png"/><Relationship Id="rId1410" Type="http://schemas.openxmlformats.org/officeDocument/2006/relationships/image" Target="media/image1403.png"/><Relationship Id="rId1411" Type="http://schemas.openxmlformats.org/officeDocument/2006/relationships/image" Target="media/image1404.png"/><Relationship Id="rId1412" Type="http://schemas.openxmlformats.org/officeDocument/2006/relationships/image" Target="media/image1405.png"/><Relationship Id="rId1413" Type="http://schemas.openxmlformats.org/officeDocument/2006/relationships/image" Target="media/image1406.png"/><Relationship Id="rId1414" Type="http://schemas.openxmlformats.org/officeDocument/2006/relationships/image" Target="media/image1407.png"/><Relationship Id="rId1415" Type="http://schemas.openxmlformats.org/officeDocument/2006/relationships/image" Target="media/image1408.png"/><Relationship Id="rId1416" Type="http://schemas.openxmlformats.org/officeDocument/2006/relationships/image" Target="media/image1409.png"/><Relationship Id="rId1417" Type="http://schemas.openxmlformats.org/officeDocument/2006/relationships/image" Target="media/image1410.png"/><Relationship Id="rId1418" Type="http://schemas.openxmlformats.org/officeDocument/2006/relationships/image" Target="media/image1411.png"/><Relationship Id="rId1419" Type="http://schemas.openxmlformats.org/officeDocument/2006/relationships/image" Target="media/image1412.png"/><Relationship Id="rId1420" Type="http://schemas.openxmlformats.org/officeDocument/2006/relationships/image" Target="media/image1413.png"/><Relationship Id="rId1421" Type="http://schemas.openxmlformats.org/officeDocument/2006/relationships/image" Target="media/image1414.png"/><Relationship Id="rId1422" Type="http://schemas.openxmlformats.org/officeDocument/2006/relationships/image" Target="media/image1415.png"/><Relationship Id="rId1423" Type="http://schemas.openxmlformats.org/officeDocument/2006/relationships/image" Target="media/image1416.png"/><Relationship Id="rId1424" Type="http://schemas.openxmlformats.org/officeDocument/2006/relationships/image" Target="media/image1417.png"/><Relationship Id="rId1425" Type="http://schemas.openxmlformats.org/officeDocument/2006/relationships/image" Target="media/image1418.png"/><Relationship Id="rId1426" Type="http://schemas.openxmlformats.org/officeDocument/2006/relationships/image" Target="media/image1419.png"/><Relationship Id="rId1427" Type="http://schemas.openxmlformats.org/officeDocument/2006/relationships/image" Target="media/image1420.png"/><Relationship Id="rId1428" Type="http://schemas.openxmlformats.org/officeDocument/2006/relationships/image" Target="media/image1421.png"/><Relationship Id="rId1429" Type="http://schemas.openxmlformats.org/officeDocument/2006/relationships/image" Target="media/image1422.png"/><Relationship Id="rId1430" Type="http://schemas.openxmlformats.org/officeDocument/2006/relationships/image" Target="media/image1423.png"/><Relationship Id="rId1431" Type="http://schemas.openxmlformats.org/officeDocument/2006/relationships/image" Target="media/image1424.png"/><Relationship Id="rId1432" Type="http://schemas.openxmlformats.org/officeDocument/2006/relationships/image" Target="media/image1425.png"/><Relationship Id="rId1433" Type="http://schemas.openxmlformats.org/officeDocument/2006/relationships/image" Target="media/image1426.png"/><Relationship Id="rId1434" Type="http://schemas.openxmlformats.org/officeDocument/2006/relationships/image" Target="media/image1427.png"/><Relationship Id="rId1435" Type="http://schemas.openxmlformats.org/officeDocument/2006/relationships/image" Target="media/image1428.png"/><Relationship Id="rId1436" Type="http://schemas.openxmlformats.org/officeDocument/2006/relationships/image" Target="media/image1429.png"/><Relationship Id="rId1437" Type="http://schemas.openxmlformats.org/officeDocument/2006/relationships/image" Target="media/image1430.png"/><Relationship Id="rId1438" Type="http://schemas.openxmlformats.org/officeDocument/2006/relationships/image" Target="media/image1431.png"/><Relationship Id="rId1439" Type="http://schemas.openxmlformats.org/officeDocument/2006/relationships/image" Target="media/image1432.png"/><Relationship Id="rId1440" Type="http://schemas.openxmlformats.org/officeDocument/2006/relationships/image" Target="media/image1433.png"/><Relationship Id="rId1441" Type="http://schemas.openxmlformats.org/officeDocument/2006/relationships/image" Target="media/image1434.png"/><Relationship Id="rId1442" Type="http://schemas.openxmlformats.org/officeDocument/2006/relationships/image" Target="media/image1435.png"/><Relationship Id="rId1443" Type="http://schemas.openxmlformats.org/officeDocument/2006/relationships/image" Target="media/image1436.png"/><Relationship Id="rId1444" Type="http://schemas.openxmlformats.org/officeDocument/2006/relationships/image" Target="media/image1437.png"/><Relationship Id="rId1445" Type="http://schemas.openxmlformats.org/officeDocument/2006/relationships/image" Target="media/image1438.png"/><Relationship Id="rId1446" Type="http://schemas.openxmlformats.org/officeDocument/2006/relationships/image" Target="media/image1439.png"/><Relationship Id="rId1447" Type="http://schemas.openxmlformats.org/officeDocument/2006/relationships/image" Target="media/image1440.png"/><Relationship Id="rId1448" Type="http://schemas.openxmlformats.org/officeDocument/2006/relationships/image" Target="media/image1441.png"/><Relationship Id="rId1449" Type="http://schemas.openxmlformats.org/officeDocument/2006/relationships/image" Target="media/image1442.png"/><Relationship Id="rId1450" Type="http://schemas.openxmlformats.org/officeDocument/2006/relationships/image" Target="media/image1443.png"/><Relationship Id="rId1451" Type="http://schemas.openxmlformats.org/officeDocument/2006/relationships/image" Target="media/image1444.png"/><Relationship Id="rId1452" Type="http://schemas.openxmlformats.org/officeDocument/2006/relationships/image" Target="media/image1445.png"/><Relationship Id="rId1453" Type="http://schemas.openxmlformats.org/officeDocument/2006/relationships/image" Target="media/image1446.png"/><Relationship Id="rId1454" Type="http://schemas.openxmlformats.org/officeDocument/2006/relationships/image" Target="media/image1447.png"/><Relationship Id="rId1455" Type="http://schemas.openxmlformats.org/officeDocument/2006/relationships/image" Target="media/image1448.png"/><Relationship Id="rId1456" Type="http://schemas.openxmlformats.org/officeDocument/2006/relationships/image" Target="media/image1449.png"/><Relationship Id="rId1457" Type="http://schemas.openxmlformats.org/officeDocument/2006/relationships/image" Target="media/image1450.png"/><Relationship Id="rId1458" Type="http://schemas.openxmlformats.org/officeDocument/2006/relationships/image" Target="media/image1451.png"/><Relationship Id="rId1459" Type="http://schemas.openxmlformats.org/officeDocument/2006/relationships/image" Target="media/image1452.png"/><Relationship Id="rId1460" Type="http://schemas.openxmlformats.org/officeDocument/2006/relationships/image" Target="media/image1453.png"/><Relationship Id="rId1461" Type="http://schemas.openxmlformats.org/officeDocument/2006/relationships/image" Target="media/image1454.png"/><Relationship Id="rId1462" Type="http://schemas.openxmlformats.org/officeDocument/2006/relationships/image" Target="media/image1455.png"/><Relationship Id="rId1463" Type="http://schemas.openxmlformats.org/officeDocument/2006/relationships/image" Target="media/image1456.png"/><Relationship Id="rId1464" Type="http://schemas.openxmlformats.org/officeDocument/2006/relationships/image" Target="media/image1457.png"/><Relationship Id="rId1465" Type="http://schemas.openxmlformats.org/officeDocument/2006/relationships/image" Target="media/image1458.png"/><Relationship Id="rId1466" Type="http://schemas.openxmlformats.org/officeDocument/2006/relationships/image" Target="media/image1459.png"/><Relationship Id="rId1467" Type="http://schemas.openxmlformats.org/officeDocument/2006/relationships/image" Target="media/image1460.png"/><Relationship Id="rId1468" Type="http://schemas.openxmlformats.org/officeDocument/2006/relationships/image" Target="media/image1461.png"/><Relationship Id="rId1469" Type="http://schemas.openxmlformats.org/officeDocument/2006/relationships/image" Target="media/image1462.png"/><Relationship Id="rId1470" Type="http://schemas.openxmlformats.org/officeDocument/2006/relationships/image" Target="media/image1463.png"/><Relationship Id="rId1471" Type="http://schemas.openxmlformats.org/officeDocument/2006/relationships/image" Target="media/image1464.png"/><Relationship Id="rId1472" Type="http://schemas.openxmlformats.org/officeDocument/2006/relationships/image" Target="media/image1465.png"/><Relationship Id="rId1473" Type="http://schemas.openxmlformats.org/officeDocument/2006/relationships/image" Target="media/image1466.png"/><Relationship Id="rId1474" Type="http://schemas.openxmlformats.org/officeDocument/2006/relationships/image" Target="media/image1467.png"/><Relationship Id="rId1475" Type="http://schemas.openxmlformats.org/officeDocument/2006/relationships/image" Target="media/image1468.png"/><Relationship Id="rId1476" Type="http://schemas.openxmlformats.org/officeDocument/2006/relationships/image" Target="media/image1469.png"/><Relationship Id="rId1477" Type="http://schemas.openxmlformats.org/officeDocument/2006/relationships/image" Target="media/image1470.png"/><Relationship Id="rId1478" Type="http://schemas.openxmlformats.org/officeDocument/2006/relationships/image" Target="media/image1471.png"/><Relationship Id="rId1479" Type="http://schemas.openxmlformats.org/officeDocument/2006/relationships/image" Target="media/image1472.png"/><Relationship Id="rId1480" Type="http://schemas.openxmlformats.org/officeDocument/2006/relationships/image" Target="media/image1473.png"/><Relationship Id="rId1481" Type="http://schemas.openxmlformats.org/officeDocument/2006/relationships/image" Target="media/image1474.png"/><Relationship Id="rId1482" Type="http://schemas.openxmlformats.org/officeDocument/2006/relationships/image" Target="media/image1475.png"/><Relationship Id="rId1483" Type="http://schemas.openxmlformats.org/officeDocument/2006/relationships/image" Target="media/image1476.png"/><Relationship Id="rId1484" Type="http://schemas.openxmlformats.org/officeDocument/2006/relationships/image" Target="media/image147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2019-12-15T01:28:01Z</dcterms:created>
  <dcterms:modified xsi:type="dcterms:W3CDTF">2019-12-15T01:28:01Z</dcterms:modified>
</cp:coreProperties>
</file>