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868680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40"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20"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report (Date of earliest event reported):</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May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140335</wp:posOffset>
            </wp:positionV>
            <wp:extent cx="2571750" cy="3511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71750"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BREAD FINANCIAL HOLDINGS, INC.</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(Exact Name of Registrant as Specified in Charter)</w:t>
      </w:r>
    </w:p>
    <w:p>
      <w:pPr>
        <w:spacing w:after="0" w:line="225" w:lineRule="exact"/>
        <w:rPr>
          <w:sz w:val="24"/>
          <w:szCs w:val="24"/>
          <w:color w:val="auto"/>
        </w:rPr>
      </w:pPr>
    </w:p>
    <w:tbl>
      <w:tblPr>
        <w:tblLayout w:type="fixed"/>
        <w:tblInd w:w="700" w:type="dxa"/>
        <w:tblCellMar>
          <w:top w:w="0" w:type="dxa"/>
          <w:left w:w="0" w:type="dxa"/>
          <w:bottom w:w="0" w:type="dxa"/>
          <w:right w:w="0" w:type="dxa"/>
        </w:tblCellMar>
      </w:tblPr>
      <w:tr>
        <w:trPr>
          <w:trHeight w:val="286"/>
        </w:trPr>
        <w:tc>
          <w:tcPr>
            <w:tcW w:w="2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Delaware</w:t>
            </w:r>
          </w:p>
        </w:tc>
        <w:tc>
          <w:tcPr>
            <w:tcW w:w="5140" w:type="dxa"/>
            <w:vAlign w:val="bottom"/>
          </w:tcPr>
          <w:p>
            <w:pPr>
              <w:jc w:val="center"/>
              <w:ind w:right="92"/>
              <w:spacing w:after="0"/>
              <w:rPr>
                <w:sz w:val="20"/>
                <w:szCs w:val="20"/>
                <w:color w:val="auto"/>
              </w:rPr>
            </w:pPr>
            <w:r>
              <w:rPr>
                <w:rFonts w:ascii="Times New Roman" w:cs="Times New Roman" w:eastAsia="Times New Roman" w:hAnsi="Times New Roman"/>
                <w:sz w:val="22"/>
                <w:szCs w:val="22"/>
                <w:b w:val="1"/>
                <w:bCs w:val="1"/>
                <w:color w:val="auto"/>
                <w:w w:val="98"/>
              </w:rPr>
              <w:t>001-15749</w:t>
            </w:r>
          </w:p>
        </w:tc>
        <w:tc>
          <w:tcPr>
            <w:tcW w:w="188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31-1429215</w:t>
            </w:r>
          </w:p>
        </w:tc>
      </w:tr>
      <w:tr>
        <w:trPr>
          <w:trHeight w:val="271"/>
        </w:trPr>
        <w:tc>
          <w:tcPr>
            <w:tcW w:w="24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(State or Other Jurisdiction</w:t>
            </w:r>
          </w:p>
        </w:tc>
        <w:tc>
          <w:tcPr>
            <w:tcW w:w="5140" w:type="dxa"/>
            <w:vAlign w:val="bottom"/>
          </w:tcPr>
          <w:p>
            <w:pPr>
              <w:jc w:val="center"/>
              <w:ind w:right="92"/>
              <w:spacing w:after="0"/>
              <w:rPr>
                <w:sz w:val="20"/>
                <w:szCs w:val="20"/>
                <w:color w:val="auto"/>
              </w:rPr>
            </w:pPr>
            <w:r>
              <w:rPr>
                <w:rFonts w:ascii="Times New Roman" w:cs="Times New Roman" w:eastAsia="Times New Roman" w:hAnsi="Times New Roman"/>
                <w:sz w:val="22"/>
                <w:szCs w:val="22"/>
                <w:color w:val="auto"/>
                <w:w w:val="99"/>
              </w:rPr>
              <w:t>(Commission</w:t>
            </w:r>
          </w:p>
        </w:tc>
        <w:tc>
          <w:tcPr>
            <w:tcW w:w="1880" w:type="dxa"/>
            <w:vAlign w:val="bottom"/>
          </w:tcPr>
          <w:p>
            <w:pPr>
              <w:jc w:val="center"/>
              <w:ind w:left="172"/>
              <w:spacing w:after="0"/>
              <w:rPr>
                <w:sz w:val="20"/>
                <w:szCs w:val="20"/>
                <w:color w:val="auto"/>
              </w:rPr>
            </w:pPr>
            <w:r>
              <w:rPr>
                <w:rFonts w:ascii="Times New Roman" w:cs="Times New Roman" w:eastAsia="Times New Roman" w:hAnsi="Times New Roman"/>
                <w:sz w:val="22"/>
                <w:szCs w:val="22"/>
                <w:color w:val="auto"/>
                <w:w w:val="98"/>
              </w:rPr>
              <w:t>(IRS Employer</w:t>
            </w:r>
          </w:p>
        </w:tc>
      </w:tr>
      <w:tr>
        <w:trPr>
          <w:trHeight w:val="282"/>
        </w:trPr>
        <w:tc>
          <w:tcPr>
            <w:tcW w:w="24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of Incorporation)</w:t>
            </w:r>
          </w:p>
        </w:tc>
        <w:tc>
          <w:tcPr>
            <w:tcW w:w="5140" w:type="dxa"/>
            <w:vAlign w:val="bottom"/>
          </w:tcPr>
          <w:p>
            <w:pPr>
              <w:jc w:val="center"/>
              <w:ind w:right="92"/>
              <w:spacing w:after="0"/>
              <w:rPr>
                <w:sz w:val="20"/>
                <w:szCs w:val="20"/>
                <w:color w:val="auto"/>
              </w:rPr>
            </w:pPr>
            <w:r>
              <w:rPr>
                <w:rFonts w:ascii="Times New Roman" w:cs="Times New Roman" w:eastAsia="Times New Roman" w:hAnsi="Times New Roman"/>
                <w:sz w:val="22"/>
                <w:szCs w:val="22"/>
                <w:color w:val="auto"/>
                <w:w w:val="98"/>
              </w:rPr>
              <w:t>File Number)</w:t>
            </w:r>
          </w:p>
        </w:tc>
        <w:tc>
          <w:tcPr>
            <w:tcW w:w="1880" w:type="dxa"/>
            <w:vAlign w:val="bottom"/>
          </w:tcPr>
          <w:p>
            <w:pPr>
              <w:jc w:val="center"/>
              <w:ind w:left="172"/>
              <w:spacing w:after="0"/>
              <w:rPr>
                <w:sz w:val="20"/>
                <w:szCs w:val="20"/>
                <w:color w:val="auto"/>
              </w:rPr>
            </w:pPr>
            <w:r>
              <w:rPr>
                <w:rFonts w:ascii="Times New Roman" w:cs="Times New Roman" w:eastAsia="Times New Roman" w:hAnsi="Times New Roman"/>
                <w:sz w:val="22"/>
                <w:szCs w:val="22"/>
                <w:color w:val="auto"/>
                <w:w w:val="97"/>
              </w:rPr>
              <w:t>Identification No.)</w:t>
            </w:r>
          </w:p>
        </w:tc>
      </w:tr>
      <w:tr>
        <w:trPr>
          <w:trHeight w:val="564"/>
        </w:trPr>
        <w:tc>
          <w:tcPr>
            <w:tcW w:w="2440" w:type="dxa"/>
            <w:vAlign w:val="bottom"/>
          </w:tcPr>
          <w:p>
            <w:pPr>
              <w:spacing w:after="0"/>
              <w:rPr>
                <w:sz w:val="24"/>
                <w:szCs w:val="24"/>
                <w:color w:val="auto"/>
              </w:rPr>
            </w:pPr>
          </w:p>
        </w:tc>
        <w:tc>
          <w:tcPr>
            <w:tcW w:w="5140" w:type="dxa"/>
            <w:vAlign w:val="bottom"/>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6"/>
              </w:rPr>
              <w:t>3095 LOYALTY CIRCLE</w:t>
            </w:r>
          </w:p>
        </w:tc>
        <w:tc>
          <w:tcPr>
            <w:tcW w:w="1880" w:type="dxa"/>
            <w:vAlign w:val="bottom"/>
          </w:tcPr>
          <w:p>
            <w:pPr>
              <w:spacing w:after="0"/>
              <w:rPr>
                <w:sz w:val="24"/>
                <w:szCs w:val="24"/>
                <w:color w:val="auto"/>
              </w:rPr>
            </w:pPr>
          </w:p>
        </w:tc>
      </w:tr>
      <w:tr>
        <w:trPr>
          <w:trHeight w:val="260"/>
        </w:trPr>
        <w:tc>
          <w:tcPr>
            <w:tcW w:w="2440" w:type="dxa"/>
            <w:vAlign w:val="bottom"/>
          </w:tcPr>
          <w:p>
            <w:pPr>
              <w:spacing w:after="0"/>
              <w:rPr>
                <w:sz w:val="22"/>
                <w:szCs w:val="22"/>
                <w:color w:val="auto"/>
              </w:rPr>
            </w:pPr>
          </w:p>
        </w:tc>
        <w:tc>
          <w:tcPr>
            <w:tcW w:w="5140" w:type="dxa"/>
            <w:vAlign w:val="bottom"/>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COLUMBUS, Ohio 43219</w:t>
            </w:r>
          </w:p>
        </w:tc>
        <w:tc>
          <w:tcPr>
            <w:tcW w:w="1880" w:type="dxa"/>
            <w:vAlign w:val="bottom"/>
          </w:tcPr>
          <w:p>
            <w:pPr>
              <w:spacing w:after="0"/>
              <w:rPr>
                <w:sz w:val="22"/>
                <w:szCs w:val="22"/>
                <w:color w:val="auto"/>
              </w:rPr>
            </w:pPr>
          </w:p>
        </w:tc>
      </w:tr>
      <w:tr>
        <w:trPr>
          <w:trHeight w:val="282"/>
        </w:trPr>
        <w:tc>
          <w:tcPr>
            <w:tcW w:w="2440" w:type="dxa"/>
            <w:vAlign w:val="bottom"/>
          </w:tcPr>
          <w:p>
            <w:pPr>
              <w:spacing w:after="0"/>
              <w:rPr>
                <w:sz w:val="24"/>
                <w:szCs w:val="24"/>
                <w:color w:val="auto"/>
              </w:rPr>
            </w:pPr>
          </w:p>
        </w:tc>
        <w:tc>
          <w:tcPr>
            <w:tcW w:w="5140" w:type="dxa"/>
            <w:vAlign w:val="bottom"/>
          </w:tcPr>
          <w:p>
            <w:pPr>
              <w:jc w:val="center"/>
              <w:ind w:right="72"/>
              <w:spacing w:after="0"/>
              <w:rPr>
                <w:sz w:val="20"/>
                <w:szCs w:val="20"/>
                <w:color w:val="auto"/>
              </w:rPr>
            </w:pPr>
            <w:r>
              <w:rPr>
                <w:rFonts w:ascii="Times New Roman" w:cs="Times New Roman" w:eastAsia="Times New Roman" w:hAnsi="Times New Roman"/>
                <w:sz w:val="22"/>
                <w:szCs w:val="22"/>
                <w:color w:val="auto"/>
                <w:w w:val="98"/>
              </w:rPr>
              <w:t>(Address and Zip Code of Principal Executive Offices)</w:t>
            </w:r>
          </w:p>
        </w:tc>
        <w:tc>
          <w:tcPr>
            <w:tcW w:w="1880" w:type="dxa"/>
            <w:vAlign w:val="bottom"/>
          </w:tcPr>
          <w:p>
            <w:pPr>
              <w:spacing w:after="0"/>
              <w:rPr>
                <w:sz w:val="24"/>
                <w:szCs w:val="24"/>
                <w:color w:val="auto"/>
              </w:rPr>
            </w:pPr>
          </w:p>
        </w:tc>
      </w:tr>
      <w:tr>
        <w:trPr>
          <w:trHeight w:val="460"/>
        </w:trPr>
        <w:tc>
          <w:tcPr>
            <w:tcW w:w="2440" w:type="dxa"/>
            <w:vAlign w:val="bottom"/>
          </w:tcPr>
          <w:p>
            <w:pPr>
              <w:spacing w:after="0"/>
              <w:rPr>
                <w:sz w:val="24"/>
                <w:szCs w:val="24"/>
                <w:color w:val="auto"/>
              </w:rPr>
            </w:pPr>
          </w:p>
        </w:tc>
        <w:tc>
          <w:tcPr>
            <w:tcW w:w="5140" w:type="dxa"/>
            <w:vAlign w:val="bottom"/>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8"/>
              </w:rPr>
              <w:t>(614) 729-4000</w:t>
            </w:r>
          </w:p>
        </w:tc>
        <w:tc>
          <w:tcPr>
            <w:tcW w:w="1880" w:type="dxa"/>
            <w:vAlign w:val="bottom"/>
          </w:tcPr>
          <w:p>
            <w:pPr>
              <w:spacing w:after="0"/>
              <w:rPr>
                <w:sz w:val="24"/>
                <w:szCs w:val="24"/>
                <w:color w:val="auto"/>
              </w:rPr>
            </w:pPr>
          </w:p>
        </w:tc>
      </w:tr>
      <w:tr>
        <w:trPr>
          <w:trHeight w:val="282"/>
        </w:trPr>
        <w:tc>
          <w:tcPr>
            <w:tcW w:w="2440" w:type="dxa"/>
            <w:vAlign w:val="bottom"/>
          </w:tcPr>
          <w:p>
            <w:pPr>
              <w:spacing w:after="0"/>
              <w:rPr>
                <w:sz w:val="24"/>
                <w:szCs w:val="24"/>
                <w:color w:val="auto"/>
              </w:rPr>
            </w:pPr>
          </w:p>
        </w:tc>
        <w:tc>
          <w:tcPr>
            <w:tcW w:w="5140" w:type="dxa"/>
            <w:vAlign w:val="bottom"/>
          </w:tcPr>
          <w:p>
            <w:pPr>
              <w:jc w:val="center"/>
              <w:ind w:right="52"/>
              <w:spacing w:after="0"/>
              <w:rPr>
                <w:sz w:val="20"/>
                <w:szCs w:val="20"/>
                <w:color w:val="auto"/>
              </w:rPr>
            </w:pPr>
            <w:r>
              <w:rPr>
                <w:rFonts w:ascii="Times New Roman" w:cs="Times New Roman" w:eastAsia="Times New Roman" w:hAnsi="Times New Roman"/>
                <w:sz w:val="22"/>
                <w:szCs w:val="22"/>
                <w:color w:val="auto"/>
                <w:w w:val="97"/>
              </w:rPr>
              <w:t>(Registrant’s Telephone Number, including Area Code)</w:t>
            </w:r>
          </w:p>
        </w:tc>
        <w:tc>
          <w:tcPr>
            <w:tcW w:w="1880" w:type="dxa"/>
            <w:vAlign w:val="bottom"/>
          </w:tcPr>
          <w:p>
            <w:pPr>
              <w:spacing w:after="0"/>
              <w:rPr>
                <w:sz w:val="24"/>
                <w:szCs w:val="24"/>
                <w:color w:val="auto"/>
              </w:rPr>
            </w:pPr>
          </w:p>
        </w:tc>
      </w:tr>
    </w:tbl>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 APPLICABLE</w:t>
      </w:r>
    </w:p>
    <w:p>
      <w:pPr>
        <w:spacing w:after="0" w:line="24" w:lineRule="exact"/>
        <w:rPr>
          <w:sz w:val="24"/>
          <w:szCs w:val="24"/>
          <w:color w:val="auto"/>
        </w:rPr>
      </w:pPr>
    </w:p>
    <w:p>
      <w:pPr>
        <w:jc w:val="center"/>
        <w:ind w:right="-19"/>
        <w:spacing w:after="0" w:line="253" w:lineRule="exact"/>
        <w:rPr>
          <w:sz w:val="20"/>
          <w:szCs w:val="20"/>
          <w:color w:val="auto"/>
        </w:rPr>
      </w:pPr>
      <w:r>
        <w:rPr>
          <w:rFonts w:ascii="Times New Roman" w:cs="Times New Roman" w:eastAsia="Times New Roman" w:hAnsi="Times New Roman"/>
          <w:sz w:val="22"/>
          <w:szCs w:val="22"/>
          <w:color w:val="auto"/>
        </w:rPr>
        <w:t>(Former name or former address, if changed since last report)</w:t>
      </w:r>
      <w:r>
        <w:rPr>
          <w:rFonts w:ascii="MS PGothic" w:cs="MS PGothic" w:eastAsia="MS PGothic" w:hAnsi="MS PGothic"/>
          <w:sz w:val="22"/>
          <w:szCs w:val="22"/>
          <w:color w:val="auto"/>
        </w:rPr>
        <w:t>☐</w:t>
      </w:r>
    </w:p>
    <w:p>
      <w:pPr>
        <w:spacing w:after="0" w:line="204" w:lineRule="exact"/>
        <w:rPr>
          <w:sz w:val="24"/>
          <w:szCs w:val="24"/>
          <w:color w:val="auto"/>
        </w:rPr>
      </w:pPr>
    </w:p>
    <w:p>
      <w:pPr>
        <w:ind w:right="480"/>
        <w:spacing w:after="0" w:line="271" w:lineRule="auto"/>
        <w:rPr>
          <w:sz w:val="20"/>
          <w:szCs w:val="20"/>
          <w:color w:val="auto"/>
        </w:rPr>
      </w:pPr>
      <w:r>
        <w:rPr>
          <w:rFonts w:ascii="Times New Roman" w:cs="Times New Roman" w:eastAsia="Times New Roman" w:hAnsi="Times New Roman"/>
          <w:sz w:val="22"/>
          <w:szCs w:val="22"/>
          <w:color w:val="auto"/>
        </w:rPr>
        <w:t>Check the appropriate box below if the Form 8-K is intended to simultaneously satisfy the filing obligation of the Registrant under any of the following provisions:</w:t>
      </w:r>
    </w:p>
    <w:p>
      <w:pPr>
        <w:spacing w:after="0" w:line="212" w:lineRule="exact"/>
        <w:rPr>
          <w:sz w:val="24"/>
          <w:szCs w:val="24"/>
          <w:color w:val="auto"/>
        </w:rPr>
      </w:pPr>
    </w:p>
    <w:p>
      <w:pPr>
        <w:ind w:left="920" w:hanging="894"/>
        <w:spacing w:after="0"/>
        <w:tabs>
          <w:tab w:leader="none" w:pos="9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Written communications pursuant to Rule 425 under the Securities Act</w:t>
      </w:r>
    </w:p>
    <w:p>
      <w:pPr>
        <w:spacing w:after="0" w:line="219" w:lineRule="exact"/>
        <w:rPr>
          <w:rFonts w:ascii="MS PGothic" w:cs="MS PGothic" w:eastAsia="MS PGothic" w:hAnsi="MS PGothic"/>
          <w:sz w:val="22"/>
          <w:szCs w:val="22"/>
          <w:color w:val="auto"/>
        </w:rPr>
      </w:pPr>
    </w:p>
    <w:p>
      <w:pPr>
        <w:ind w:left="920" w:hanging="894"/>
        <w:spacing w:after="0"/>
        <w:tabs>
          <w:tab w:leader="none" w:pos="9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Soliciting material pursuant to Rule 14a-12 under the Exchange Act</w:t>
      </w:r>
    </w:p>
    <w:p>
      <w:pPr>
        <w:spacing w:after="0" w:line="219" w:lineRule="exact"/>
        <w:rPr>
          <w:rFonts w:ascii="MS PGothic" w:cs="MS PGothic" w:eastAsia="MS PGothic" w:hAnsi="MS PGothic"/>
          <w:sz w:val="22"/>
          <w:szCs w:val="22"/>
          <w:color w:val="auto"/>
        </w:rPr>
      </w:pPr>
    </w:p>
    <w:p>
      <w:pPr>
        <w:ind w:left="920" w:hanging="894"/>
        <w:spacing w:after="0"/>
        <w:tabs>
          <w:tab w:leader="none" w:pos="9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Pre-commencement communications pursuant to Rule 14d-2(b) under the Exchange Act</w:t>
      </w:r>
    </w:p>
    <w:p>
      <w:pPr>
        <w:spacing w:after="0" w:line="219" w:lineRule="exact"/>
        <w:rPr>
          <w:rFonts w:ascii="MS PGothic" w:cs="MS PGothic" w:eastAsia="MS PGothic" w:hAnsi="MS PGothic"/>
          <w:sz w:val="22"/>
          <w:szCs w:val="22"/>
          <w:color w:val="auto"/>
        </w:rPr>
      </w:pPr>
    </w:p>
    <w:p>
      <w:pPr>
        <w:ind w:left="920" w:hanging="894"/>
        <w:spacing w:after="0"/>
        <w:tabs>
          <w:tab w:leader="none" w:pos="9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Pre-commencement communications pursuant to Rule 13e-4(c) under the Exchange Act</w:t>
      </w:r>
    </w:p>
    <w:p>
      <w:pPr>
        <w:spacing w:after="0" w:line="341"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5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Securities registered pursuant to Section 12(b) of the Act:</w:t>
            </w:r>
          </w:p>
        </w:tc>
        <w:tc>
          <w:tcPr>
            <w:tcW w:w="2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501"/>
        </w:trPr>
        <w:tc>
          <w:tcPr>
            <w:tcW w:w="5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Name of each exchange on which</w:t>
            </w:r>
          </w:p>
        </w:tc>
      </w:tr>
      <w:tr>
        <w:trPr>
          <w:trHeight w:val="291"/>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Title of each class</w:t>
            </w:r>
          </w:p>
        </w:tc>
        <w:tc>
          <w:tcPr>
            <w:tcW w:w="100" w:type="dxa"/>
            <w:vAlign w:val="bottom"/>
          </w:tcPr>
          <w:p>
            <w:pPr>
              <w:spacing w:after="0"/>
              <w:rPr>
                <w:sz w:val="24"/>
                <w:szCs w:val="24"/>
                <w:color w:val="auto"/>
              </w:rPr>
            </w:pP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Trading symbol</w:t>
            </w:r>
          </w:p>
        </w:tc>
        <w:tc>
          <w:tcPr>
            <w:tcW w:w="80" w:type="dxa"/>
            <w:vAlign w:val="bottom"/>
          </w:tcPr>
          <w:p>
            <w:pPr>
              <w:spacing w:after="0"/>
              <w:rPr>
                <w:sz w:val="24"/>
                <w:szCs w:val="24"/>
                <w:color w:val="auto"/>
              </w:rPr>
            </w:pPr>
          </w:p>
        </w:tc>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registered</w:t>
            </w:r>
          </w:p>
        </w:tc>
      </w:tr>
      <w:tr>
        <w:trPr>
          <w:trHeight w:val="243"/>
        </w:trPr>
        <w:tc>
          <w:tcPr>
            <w:tcW w:w="5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BFH</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NYSE</w:t>
            </w:r>
          </w:p>
        </w:tc>
      </w:tr>
      <w:tr>
        <w:trPr>
          <w:trHeight w:val="238"/>
        </w:trPr>
        <w:tc>
          <w:tcPr>
            <w:tcW w:w="5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Depositary Shares, Each Representing a 1/40th Interest in a Share of</w:t>
            </w:r>
          </w:p>
        </w:tc>
        <w:tc>
          <w:tcPr>
            <w:tcW w:w="2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BFH PrA</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NYSE</w:t>
            </w:r>
          </w:p>
        </w:tc>
      </w:tr>
      <w:tr>
        <w:trPr>
          <w:trHeight w:val="234"/>
        </w:trPr>
        <w:tc>
          <w:tcPr>
            <w:tcW w:w="5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8.625% Non-Cumulative Perpetual Preferred Stock, Series A</w:t>
            </w:r>
          </w:p>
        </w:tc>
        <w:tc>
          <w:tcPr>
            <w:tcW w:w="2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198"/>
        </w:trPr>
        <w:tc>
          <w:tcPr>
            <w:tcW w:w="5140" w:type="dxa"/>
            <w:vAlign w:val="bottom"/>
            <w:gridSpan w:val="2"/>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rPr>
              <w:t>Depositary Shares, Each Representing a 1/40th Interest in a Share of</w:t>
            </w:r>
          </w:p>
        </w:tc>
        <w:tc>
          <w:tcPr>
            <w:tcW w:w="2920" w:type="dxa"/>
            <w:vAlign w:val="bottom"/>
            <w:gridSpan w:val="2"/>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rPr>
              <w:t>BFH PrB</w:t>
            </w:r>
          </w:p>
        </w:tc>
        <w:tc>
          <w:tcPr>
            <w:tcW w:w="31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NYSE</w:t>
            </w:r>
          </w:p>
        </w:tc>
      </w:tr>
      <w:tr>
        <w:trPr>
          <w:trHeight w:val="180"/>
        </w:trPr>
        <w:tc>
          <w:tcPr>
            <w:tcW w:w="514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w w:val="99"/>
              </w:rPr>
              <w:t>8.875% Fixed Rate Reset Non-Cumulative Perpetual Preferred</w:t>
            </w:r>
          </w:p>
        </w:tc>
        <w:tc>
          <w:tcPr>
            <w:tcW w:w="2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234"/>
        </w:trPr>
        <w:tc>
          <w:tcPr>
            <w:tcW w:w="5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Stock, Series B</w:t>
            </w:r>
          </w:p>
        </w:tc>
        <w:tc>
          <w:tcPr>
            <w:tcW w:w="2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80" w:type="dxa"/>
            <w:vAlign w:val="bottom"/>
          </w:tcPr>
          <w:p>
            <w:pPr>
              <w:spacing w:after="0"/>
              <w:rPr>
                <w:sz w:val="20"/>
                <w:szCs w:val="20"/>
                <w:color w:val="auto"/>
              </w:rPr>
            </w:pPr>
          </w:p>
        </w:tc>
      </w:tr>
    </w:tbl>
    <w:p>
      <w:pPr>
        <w:spacing w:after="0" w:line="200" w:lineRule="exact"/>
        <w:rPr>
          <w:sz w:val="24"/>
          <w:szCs w:val="24"/>
          <w:color w:val="auto"/>
        </w:rPr>
      </w:pPr>
    </w:p>
    <w:p>
      <w:pPr>
        <w:sectPr>
          <w:pgSz w:w="11900" w:h="16854" w:orient="portrait"/>
          <w:cols w:equalWidth="0" w:num="1">
            <w:col w:w="11240"/>
          </w:cols>
          <w:pgMar w:left="320" w:top="1440" w:right="339" w:bottom="0" w:gutter="0" w:footer="0" w:header="0"/>
        </w:sectPr>
      </w:pPr>
    </w:p>
    <w:p>
      <w:pPr>
        <w:spacing w:after="0" w:line="92" w:lineRule="exact"/>
        <w:rPr>
          <w:sz w:val="24"/>
          <w:szCs w:val="24"/>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Indicate by check mark whether the registrant is an emerging growth company as defined in Rule 405 of the Securities Act of 1933 (§230.405 of this chapter) or Rule 12b-2 of the Securities Exchange Act of 1934 (§240.12b-2 of this chapter).</w:t>
      </w:r>
    </w:p>
    <w:p>
      <w:pPr>
        <w:sectPr>
          <w:pgSz w:w="11900" w:h="16854" w:orient="portrait"/>
          <w:cols w:equalWidth="0" w:num="1">
            <w:col w:w="11240"/>
          </w:cols>
          <w:pgMar w:left="320" w:top="1440" w:right="339" w:bottom="0" w:gutter="0" w:footer="0" w:header="0"/>
          <w:type w:val="continuous"/>
        </w:sectPr>
      </w:pPr>
    </w:p>
    <w:bookmarkStart w:id="1" w:name="page2"/>
    <w:bookmarkEnd w:id="1"/>
    <w:p>
      <w:pPr>
        <w:ind w:left="660"/>
        <w:spacing w:after="0" w:line="253" w:lineRule="exact"/>
        <w:rPr>
          <w:sz w:val="20"/>
          <w:szCs w:val="20"/>
          <w:color w:val="auto"/>
        </w:rPr>
      </w:pPr>
      <w:r>
        <w:rPr>
          <w:rFonts w:ascii="Times New Roman" w:cs="Times New Roman" w:eastAsia="Times New Roman" w:hAnsi="Times New Roman"/>
          <w:sz w:val="22"/>
          <w:szCs w:val="22"/>
          <w:color w:val="auto"/>
        </w:rPr>
        <w:t xml:space="preserve">Emerging growth company  </w:t>
      </w:r>
      <w:r>
        <w:rPr>
          <w:rFonts w:ascii="MS PGothic" w:cs="MS PGothic" w:eastAsia="MS PGothic" w:hAnsi="MS PGothic"/>
          <w:sz w:val="22"/>
          <w:szCs w:val="22"/>
          <w:color w:val="auto"/>
        </w:rPr>
        <w:t>☐</w:t>
      </w:r>
    </w:p>
    <w:p>
      <w:pPr>
        <w:spacing w:after="0" w:line="268"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1"/>
          <w:szCs w:val="21"/>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137795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140"/>
          </w:cols>
          <w:pgMar w:left="320" w:top="78"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Item 7.01 Regulation FD Disclosure.</w:t>
      </w:r>
    </w:p>
    <w:p>
      <w:pPr>
        <w:spacing w:after="0" w:line="224"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22"/>
          <w:szCs w:val="22"/>
          <w:color w:val="auto"/>
        </w:rPr>
        <w:t>On May 15, 2026, Bread Financial Holdings, Inc. issued a press release providing a performance update as of and for the period ended April 30, 2026. A copy of this press release is attached hereto as Exhibit 99.1.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2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(d) Exhibits</w:t>
            </w:r>
          </w:p>
        </w:tc>
        <w:tc>
          <w:tcPr>
            <w:tcW w:w="9980" w:type="dxa"/>
            <w:vAlign w:val="bottom"/>
          </w:tcPr>
          <w:p>
            <w:pPr>
              <w:spacing w:after="0"/>
              <w:rPr>
                <w:sz w:val="24"/>
                <w:szCs w:val="24"/>
                <w:color w:val="auto"/>
              </w:rPr>
            </w:pPr>
          </w:p>
        </w:tc>
      </w:tr>
      <w:tr>
        <w:trPr>
          <w:trHeight w:val="319"/>
        </w:trPr>
        <w:tc>
          <w:tcPr>
            <w:tcW w:w="2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Exhibit No.</w:t>
            </w:r>
          </w:p>
        </w:tc>
        <w:tc>
          <w:tcPr>
            <w:tcW w:w="998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Document Description</w:t>
            </w:r>
          </w:p>
        </w:tc>
      </w:tr>
      <w:tr>
        <w:trPr>
          <w:trHeight w:val="284"/>
        </w:trPr>
        <w:tc>
          <w:tcPr>
            <w:tcW w:w="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0000FF"/>
              </w:rPr>
              <w:t>99.</w:t>
            </w:r>
            <w:r>
              <w:rPr>
                <w:rFonts w:ascii="Times New Roman" w:cs="Times New Roman" w:eastAsia="Times New Roman" w:hAnsi="Times New Roman"/>
                <w:sz w:val="22"/>
                <w:szCs w:val="22"/>
                <w:u w:val="single" w:color="auto"/>
                <w:color w:val="0000FF"/>
              </w:rPr>
              <w:t>1</w:t>
            </w:r>
          </w:p>
        </w:tc>
        <w:tc>
          <w:tcPr>
            <w:tcW w:w="120" w:type="dxa"/>
            <w:vAlign w:val="bottom"/>
          </w:tcPr>
          <w:p>
            <w:pPr>
              <w:spacing w:after="0"/>
              <w:rPr>
                <w:sz w:val="24"/>
                <w:szCs w:val="24"/>
                <w:color w:val="auto"/>
              </w:rPr>
            </w:pPr>
          </w:p>
        </w:tc>
        <w:tc>
          <w:tcPr>
            <w:tcW w:w="99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Press release dated May 15, 2026 providing a performance update as of and for the period ended April 30, 2026.</w:t>
            </w:r>
          </w:p>
        </w:tc>
      </w:tr>
      <w:tr>
        <w:trPr>
          <w:trHeight w:val="397"/>
        </w:trPr>
        <w:tc>
          <w:tcPr>
            <w:tcW w:w="20" w:type="dxa"/>
            <w:vAlign w:val="bottom"/>
          </w:tcPr>
          <w:p>
            <w:pPr>
              <w:spacing w:after="0"/>
              <w:rPr>
                <w:sz w:val="24"/>
                <w:szCs w:val="24"/>
                <w:color w:val="auto"/>
              </w:rPr>
            </w:pPr>
          </w:p>
        </w:tc>
        <w:tc>
          <w:tcPr>
            <w:tcW w:w="3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22"/>
                <w:szCs w:val="22"/>
                <w:color w:val="auto"/>
              </w:rPr>
              <w:t>104</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Cover Page Interactive Data File (embedded within the Inline XBRL document).</w:t>
            </w:r>
          </w:p>
        </w:tc>
      </w:tr>
    </w:tbl>
    <w:p>
      <w:pPr>
        <w:spacing w:after="0" w:line="312" w:lineRule="exact"/>
        <w:rPr>
          <w:sz w:val="20"/>
          <w:szCs w:val="20"/>
          <w:color w:val="auto"/>
        </w:rPr>
      </w:pPr>
    </w:p>
    <w:p>
      <w:pPr>
        <w:ind w:right="340"/>
        <w:spacing w:after="0" w:line="252" w:lineRule="auto"/>
        <w:rPr>
          <w:sz w:val="20"/>
          <w:szCs w:val="20"/>
          <w:color w:val="auto"/>
        </w:rPr>
      </w:pPr>
      <w:r>
        <w:rPr>
          <w:rFonts w:ascii="Times New Roman" w:cs="Times New Roman" w:eastAsia="Times New Roman" w:hAnsi="Times New Roman"/>
          <w:sz w:val="22"/>
          <w:szCs w:val="22"/>
          <w:color w:val="auto"/>
        </w:rPr>
        <w:t>The information contained in this report (including Exhibit 99.1) shall not be deemed "filed" for purposes of Section 18 of the Securities Exchange Act of 1934, as amended, or otherwise subject to the liabilities of that section, nor shall it be deemed incorporated by reference in any filing under the Securities Act of 1933, as amended, except as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555625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22"/>
          <w:szCs w:val="22"/>
          <w:color w:val="auto"/>
        </w:rPr>
        <w:t>SIGNATURES</w:t>
      </w:r>
    </w:p>
    <w:p>
      <w:pPr>
        <w:spacing w:after="0" w:line="22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as amended, the Registrant has duly caused this report to be signed on its behalf by the undersigned hereunto duly authorized.</w:t>
      </w:r>
    </w:p>
    <w:p>
      <w:pPr>
        <w:spacing w:after="0" w:line="19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2"/>
          <w:szCs w:val="22"/>
          <w:color w:val="auto"/>
        </w:rPr>
        <w:t>Bread Financial Holdings, Inc.</w:t>
      </w:r>
    </w:p>
    <w:p>
      <w:pPr>
        <w:spacing w:after="0" w:line="260" w:lineRule="exact"/>
        <w:rPr>
          <w:sz w:val="20"/>
          <w:szCs w:val="20"/>
          <w:color w:val="auto"/>
        </w:rPr>
      </w:pPr>
    </w:p>
    <w:p>
      <w:pPr>
        <w:ind w:left="20"/>
        <w:spacing w:after="0"/>
        <w:tabs>
          <w:tab w:leader="none" w:pos="6180" w:val="left"/>
          <w:tab w:leader="none" w:pos="6740" w:val="left"/>
        </w:tabs>
        <w:rPr>
          <w:sz w:val="20"/>
          <w:szCs w:val="20"/>
          <w:color w:val="auto"/>
        </w:rPr>
      </w:pPr>
      <w:r>
        <w:rPr>
          <w:rFonts w:ascii="Times New Roman" w:cs="Times New Roman" w:eastAsia="Times New Roman" w:hAnsi="Times New Roman"/>
          <w:sz w:val="22"/>
          <w:szCs w:val="22"/>
          <w:color w:val="auto"/>
        </w:rPr>
        <w:t>Date: May 15, 2026</w:t>
      </w:r>
      <w:r>
        <w:rPr>
          <w:sz w:val="20"/>
          <w:szCs w:val="20"/>
          <w:color w:val="auto"/>
        </w:rPr>
        <w:tab/>
      </w: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Joseph L. Motes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27940</wp:posOffset>
            </wp:positionV>
            <wp:extent cx="28543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5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2"/>
          <w:szCs w:val="22"/>
          <w:color w:val="auto"/>
        </w:rPr>
        <w:t>Joseph L. Motes III</w:t>
      </w:r>
    </w:p>
    <w:p>
      <w:pPr>
        <w:spacing w:after="0" w:line="2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2"/>
          <w:szCs w:val="22"/>
          <w:color w:val="auto"/>
        </w:rPr>
        <w:t>Executive Vice President, Chief Legal and</w:t>
      </w:r>
    </w:p>
    <w:p>
      <w:pPr>
        <w:spacing w:after="0" w:line="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2"/>
          <w:szCs w:val="22"/>
          <w:color w:val="auto"/>
        </w:rPr>
        <w:t>Administrative Officer, and Secretary</w:t>
      </w:r>
    </w:p>
    <w:p>
      <w:pPr>
        <w:sectPr>
          <w:pgSz w:w="11900" w:h="16838" w:orient="portrait"/>
          <w:cols w:equalWidth="0" w:num="1">
            <w:col w:w="11200"/>
          </w:cols>
          <w:pgMar w:left="320" w:top="1152"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459105</wp:posOffset>
            </wp:positionV>
            <wp:extent cx="2785745" cy="394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8574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BREAD FINANCIAL PROVIDES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UPDATE FOR APRIL 2026</w:t>
      </w:r>
    </w:p>
    <w:p>
      <w:pPr>
        <w:spacing w:after="0" w:line="274" w:lineRule="exact"/>
        <w:rPr>
          <w:sz w:val="20"/>
          <w:szCs w:val="20"/>
          <w:color w:val="auto"/>
        </w:rPr>
      </w:pPr>
    </w:p>
    <w:p>
      <w:pPr>
        <w:jc w:val="both"/>
        <w:ind w:right="40"/>
        <w:spacing w:after="0" w:line="283" w:lineRule="auto"/>
        <w:rPr>
          <w:sz w:val="20"/>
          <w:szCs w:val="20"/>
          <w:color w:val="auto"/>
        </w:rPr>
      </w:pPr>
      <w:r>
        <w:rPr>
          <w:rFonts w:ascii="Times New Roman" w:cs="Times New Roman" w:eastAsia="Times New Roman" w:hAnsi="Times New Roman"/>
          <w:sz w:val="21"/>
          <w:szCs w:val="21"/>
          <w:b w:val="1"/>
          <w:bCs w:val="1"/>
          <w:color w:val="auto"/>
        </w:rPr>
        <w:t xml:space="preserve">COLUMBUS, Ohio, May 15, 2026 – </w:t>
      </w:r>
      <w:r>
        <w:rPr>
          <w:rFonts w:ascii="Times New Roman" w:cs="Times New Roman" w:eastAsia="Times New Roman" w:hAnsi="Times New Roman"/>
          <w:sz w:val="21"/>
          <w:szCs w:val="21"/>
          <w:color w:val="auto"/>
        </w:rPr>
        <w:t>Bread Financial Holdings, Inc. (NYSE: BFH), a tech-forward financial services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that provides simple, personalized payment, lending, and saving solutions to millions of U.S. consumers, provided a performance update. The following tables present the Company’s Net principal loss rate and Delinquency rate for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jc w:val="center"/>
              <w:ind w:right="338"/>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580" w:type="dxa"/>
            <w:vAlign w:val="bottom"/>
          </w:tcPr>
          <w:p>
            <w:pPr>
              <w:spacing w:after="0"/>
              <w:rPr>
                <w:sz w:val="14"/>
                <w:szCs w:val="14"/>
                <w:color w:val="auto"/>
              </w:rPr>
            </w:pPr>
          </w:p>
        </w:tc>
        <w:tc>
          <w:tcPr>
            <w:tcW w:w="1420" w:type="dxa"/>
            <w:vAlign w:val="bottom"/>
          </w:tcPr>
          <w:p>
            <w:pPr>
              <w:jc w:val="center"/>
              <w:ind w:right="477"/>
              <w:spacing w:after="0"/>
              <w:rPr>
                <w:sz w:val="20"/>
                <w:szCs w:val="20"/>
                <w:color w:val="auto"/>
              </w:rPr>
            </w:pPr>
            <w:r>
              <w:rPr>
                <w:rFonts w:ascii="Times New Roman" w:cs="Times New Roman" w:eastAsia="Times New Roman" w:hAnsi="Times New Roman"/>
                <w:sz w:val="14"/>
                <w:szCs w:val="14"/>
                <w:b w:val="1"/>
                <w:bCs w:val="1"/>
                <w:color w:val="auto"/>
              </w:rPr>
              <w:t>For the</w:t>
            </w:r>
          </w:p>
        </w:tc>
      </w:tr>
      <w:tr>
        <w:trPr>
          <w:trHeight w:val="176"/>
        </w:trPr>
        <w:tc>
          <w:tcPr>
            <w:tcW w:w="7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60" w:type="dxa"/>
            <w:vAlign w:val="bottom"/>
          </w:tcPr>
          <w:p>
            <w:pPr>
              <w:jc w:val="center"/>
              <w:ind w:right="338"/>
              <w:spacing w:after="0"/>
              <w:rPr>
                <w:sz w:val="20"/>
                <w:szCs w:val="20"/>
                <w:color w:val="auto"/>
              </w:rPr>
            </w:pPr>
            <w:r>
              <w:rPr>
                <w:rFonts w:ascii="Times New Roman" w:cs="Times New Roman" w:eastAsia="Times New Roman" w:hAnsi="Times New Roman"/>
                <w:sz w:val="14"/>
                <w:szCs w:val="14"/>
                <w:b w:val="1"/>
                <w:bCs w:val="1"/>
                <w:color w:val="auto"/>
              </w:rPr>
              <w:t>month ended</w:t>
            </w:r>
          </w:p>
        </w:tc>
        <w:tc>
          <w:tcPr>
            <w:tcW w:w="580" w:type="dxa"/>
            <w:vAlign w:val="bottom"/>
          </w:tcPr>
          <w:p>
            <w:pPr>
              <w:spacing w:after="0"/>
              <w:rPr>
                <w:sz w:val="15"/>
                <w:szCs w:val="15"/>
                <w:color w:val="auto"/>
              </w:rPr>
            </w:pPr>
          </w:p>
        </w:tc>
        <w:tc>
          <w:tcPr>
            <w:tcW w:w="1420" w:type="dxa"/>
            <w:vAlign w:val="bottom"/>
          </w:tcPr>
          <w:p>
            <w:pPr>
              <w:jc w:val="center"/>
              <w:ind w:right="497"/>
              <w:spacing w:after="0"/>
              <w:rPr>
                <w:sz w:val="20"/>
                <w:szCs w:val="20"/>
                <w:color w:val="auto"/>
              </w:rPr>
            </w:pPr>
            <w:r>
              <w:rPr>
                <w:rFonts w:ascii="Times New Roman" w:cs="Times New Roman" w:eastAsia="Times New Roman" w:hAnsi="Times New Roman"/>
                <w:sz w:val="14"/>
                <w:szCs w:val="14"/>
                <w:b w:val="1"/>
                <w:bCs w:val="1"/>
                <w:color w:val="auto"/>
              </w:rPr>
              <w:t>month ended</w:t>
            </w:r>
          </w:p>
        </w:tc>
      </w:tr>
      <w:tr>
        <w:trPr>
          <w:trHeight w:val="190"/>
        </w:trPr>
        <w:tc>
          <w:tcPr>
            <w:tcW w:w="7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jc w:val="center"/>
              <w:ind w:right="358"/>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580" w:type="dxa"/>
            <w:vAlign w:val="bottom"/>
          </w:tcPr>
          <w:p>
            <w:pPr>
              <w:spacing w:after="0"/>
              <w:rPr>
                <w:sz w:val="16"/>
                <w:szCs w:val="16"/>
                <w:color w:val="auto"/>
              </w:rPr>
            </w:pPr>
          </w:p>
        </w:tc>
        <w:tc>
          <w:tcPr>
            <w:tcW w:w="1420" w:type="dxa"/>
            <w:vAlign w:val="bottom"/>
          </w:tcPr>
          <w:p>
            <w:pPr>
              <w:jc w:val="center"/>
              <w:ind w:right="477"/>
              <w:spacing w:after="0"/>
              <w:rPr>
                <w:sz w:val="20"/>
                <w:szCs w:val="20"/>
                <w:color w:val="auto"/>
              </w:rPr>
            </w:pPr>
            <w:r>
              <w:rPr>
                <w:rFonts w:ascii="Times New Roman" w:cs="Times New Roman" w:eastAsia="Times New Roman" w:hAnsi="Times New Roman"/>
                <w:sz w:val="14"/>
                <w:szCs w:val="14"/>
                <w:b w:val="1"/>
                <w:bCs w:val="1"/>
                <w:color w:val="auto"/>
              </w:rPr>
              <w:t>April 30, 2025</w:t>
            </w:r>
          </w:p>
        </w:tc>
      </w:tr>
      <w:tr>
        <w:trPr>
          <w:trHeight w:val="37"/>
        </w:trPr>
        <w:tc>
          <w:tcPr>
            <w:tcW w:w="724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gridSpan w:val="2"/>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00"/>
        </w:trPr>
        <w:tc>
          <w:tcPr>
            <w:tcW w:w="7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(dollars in millions)</w:t>
            </w:r>
          </w:p>
        </w:tc>
        <w:tc>
          <w:tcPr>
            <w:tcW w:w="1420" w:type="dxa"/>
            <w:vAlign w:val="bottom"/>
          </w:tcPr>
          <w:p>
            <w:pPr>
              <w:spacing w:after="0"/>
              <w:rPr>
                <w:sz w:val="17"/>
                <w:szCs w:val="17"/>
                <w:color w:val="auto"/>
              </w:rPr>
            </w:pPr>
          </w:p>
        </w:tc>
      </w:tr>
      <w:tr>
        <w:trPr>
          <w:trHeight w:val="50"/>
        </w:trPr>
        <w:tc>
          <w:tcPr>
            <w:tcW w:w="724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291"/>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End-of-period credit card and other loans</w:t>
            </w:r>
          </w:p>
        </w:tc>
        <w:tc>
          <w:tcPr>
            <w:tcW w:w="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CCEEFF"/>
            </w:tcBorders>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18,123</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17,721</w:t>
            </w:r>
          </w:p>
        </w:tc>
      </w:tr>
      <w:tr>
        <w:trPr>
          <w:trHeight w:val="257"/>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credit card and other loans</w:t>
            </w: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ind w:right="218"/>
              <w:spacing w:after="0"/>
              <w:rPr>
                <w:sz w:val="20"/>
                <w:szCs w:val="20"/>
                <w:color w:val="auto"/>
              </w:rPr>
            </w:pPr>
            <w:r>
              <w:rPr>
                <w:rFonts w:ascii="Times New Roman" w:cs="Times New Roman" w:eastAsia="Times New Roman" w:hAnsi="Times New Roman"/>
                <w:sz w:val="18"/>
                <w:szCs w:val="18"/>
                <w:color w:val="auto"/>
              </w:rPr>
              <w:t>18,067</w:t>
            </w: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17,712</w:t>
            </w:r>
          </w:p>
        </w:tc>
      </w:tr>
      <w:tr>
        <w:trPr>
          <w:trHeight w:val="54"/>
        </w:trPr>
        <w:tc>
          <w:tcPr>
            <w:tcW w:w="724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291"/>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Year-over-year change in average credit card and other loans</w:t>
            </w:r>
          </w:p>
        </w:tc>
        <w:tc>
          <w:tcPr>
            <w:tcW w:w="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2.0%</w:t>
            </w:r>
          </w:p>
        </w:tc>
        <w:tc>
          <w:tcPr>
            <w:tcW w:w="58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Net principal losses </w:t>
            </w:r>
            <w:r>
              <w:rPr>
                <w:rFonts w:ascii="Times New Roman" w:cs="Times New Roman" w:eastAsia="Times New Roman" w:hAnsi="Times New Roman"/>
                <w:sz w:val="23"/>
                <w:szCs w:val="23"/>
                <w:color w:val="auto"/>
                <w:vertAlign w:val="superscript"/>
              </w:rPr>
              <w:t>(1)</w:t>
            </w: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ind w:right="218"/>
              <w:spacing w:after="0"/>
              <w:rPr>
                <w:sz w:val="20"/>
                <w:szCs w:val="20"/>
                <w:color w:val="auto"/>
              </w:rPr>
            </w:pPr>
            <w:r>
              <w:rPr>
                <w:rFonts w:ascii="Times New Roman" w:cs="Times New Roman" w:eastAsia="Times New Roman" w:hAnsi="Times New Roman"/>
                <w:sz w:val="18"/>
                <w:szCs w:val="18"/>
                <w:color w:val="auto"/>
              </w:rPr>
              <w:t>105</w:t>
            </w: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114</w:t>
            </w:r>
          </w:p>
        </w:tc>
      </w:tr>
      <w:tr>
        <w:trPr>
          <w:trHeight w:val="27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Net principal loss rate </w:t>
            </w:r>
            <w:r>
              <w:rPr>
                <w:rFonts w:ascii="Times New Roman" w:cs="Times New Roman" w:eastAsia="Times New Roman" w:hAnsi="Times New Roman"/>
                <w:sz w:val="23"/>
                <w:szCs w:val="23"/>
                <w:color w:val="auto"/>
                <w:vertAlign w:val="superscript"/>
              </w:rPr>
              <w:t>(1)</w:t>
            </w:r>
          </w:p>
        </w:tc>
        <w:tc>
          <w:tcPr>
            <w:tcW w:w="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7.09%</w:t>
            </w:r>
          </w:p>
        </w:tc>
        <w:tc>
          <w:tcPr>
            <w:tcW w:w="58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r>
      <w:tr>
        <w:trPr>
          <w:trHeight w:val="529"/>
        </w:trPr>
        <w:tc>
          <w:tcPr>
            <w:tcW w:w="7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tcPr>
          <w:p>
            <w:pPr>
              <w:jc w:val="right"/>
              <w:ind w:right="75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580" w:type="dxa"/>
            <w:vAlign w:val="bottom"/>
          </w:tcPr>
          <w:p>
            <w:pPr>
              <w:spacing w:after="0"/>
              <w:rPr>
                <w:sz w:val="24"/>
                <w:szCs w:val="24"/>
                <w:color w:val="auto"/>
              </w:rPr>
            </w:pPr>
          </w:p>
        </w:tc>
        <w:tc>
          <w:tcPr>
            <w:tcW w:w="1420" w:type="dxa"/>
            <w:vAlign w:val="bottom"/>
          </w:tcPr>
          <w:p>
            <w:pPr>
              <w:jc w:val="right"/>
              <w:ind w:right="717"/>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90"/>
        </w:trPr>
        <w:tc>
          <w:tcPr>
            <w:tcW w:w="7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580" w:type="dxa"/>
            <w:vAlign w:val="bottom"/>
          </w:tcPr>
          <w:p>
            <w:pPr>
              <w:spacing w:after="0"/>
              <w:rPr>
                <w:sz w:val="16"/>
                <w:szCs w:val="16"/>
                <w:color w:val="auto"/>
              </w:rPr>
            </w:pPr>
          </w:p>
        </w:tc>
        <w:tc>
          <w:tcPr>
            <w:tcW w:w="142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April 30, 2025</w:t>
            </w:r>
          </w:p>
        </w:tc>
      </w:tr>
      <w:tr>
        <w:trPr>
          <w:trHeight w:val="37"/>
        </w:trPr>
        <w:tc>
          <w:tcPr>
            <w:tcW w:w="724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660" w:type="dxa"/>
            <w:vAlign w:val="bottom"/>
            <w:tcBorders>
              <w:bottom w:val="single" w:sz="8" w:color="auto"/>
            </w:tcBorders>
            <w:gridSpan w:val="3"/>
          </w:tcPr>
          <w:p>
            <w:pPr>
              <w:spacing w:after="0"/>
              <w:rPr>
                <w:sz w:val="3"/>
                <w:szCs w:val="3"/>
                <w:color w:val="auto"/>
              </w:rPr>
            </w:pPr>
          </w:p>
        </w:tc>
      </w:tr>
      <w:tr>
        <w:trPr>
          <w:trHeight w:val="200"/>
        </w:trPr>
        <w:tc>
          <w:tcPr>
            <w:tcW w:w="7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60" w:type="dxa"/>
            <w:vAlign w:val="bottom"/>
            <w:gridSpan w:val="3"/>
          </w:tcPr>
          <w:p>
            <w:pPr>
              <w:jc w:val="right"/>
              <w:ind w:right="1317"/>
              <w:spacing w:after="0"/>
              <w:rPr>
                <w:sz w:val="20"/>
                <w:szCs w:val="20"/>
                <w:color w:val="auto"/>
              </w:rPr>
            </w:pPr>
            <w:r>
              <w:rPr>
                <w:rFonts w:ascii="Times New Roman" w:cs="Times New Roman" w:eastAsia="Times New Roman" w:hAnsi="Times New Roman"/>
                <w:sz w:val="14"/>
                <w:szCs w:val="14"/>
                <w:color w:val="auto"/>
              </w:rPr>
              <w:t>(dollars in millions)</w:t>
            </w:r>
          </w:p>
        </w:tc>
      </w:tr>
      <w:tr>
        <w:trPr>
          <w:trHeight w:val="50"/>
        </w:trPr>
        <w:tc>
          <w:tcPr>
            <w:tcW w:w="724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290"/>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 days + delinquencies – principal</w:t>
            </w:r>
          </w:p>
        </w:tc>
        <w:tc>
          <w:tcPr>
            <w:tcW w:w="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859</w:t>
            </w:r>
          </w:p>
        </w:tc>
        <w:tc>
          <w:tcPr>
            <w:tcW w:w="58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933</w:t>
            </w:r>
          </w:p>
        </w:tc>
      </w:tr>
      <w:tr>
        <w:trPr>
          <w:trHeight w:val="257"/>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Period ended credit card and other loans – principal</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158"/>
              <w:spacing w:after="0"/>
              <w:rPr>
                <w:sz w:val="20"/>
                <w:szCs w:val="20"/>
                <w:color w:val="auto"/>
              </w:rPr>
            </w:pPr>
            <w:r>
              <w:rPr>
                <w:rFonts w:ascii="Times New Roman" w:cs="Times New Roman" w:eastAsia="Times New Roman" w:hAnsi="Times New Roman"/>
                <w:sz w:val="18"/>
                <w:szCs w:val="18"/>
                <w:color w:val="auto"/>
              </w:rPr>
              <w:t>16,087</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16,264</w:t>
            </w:r>
          </w:p>
        </w:tc>
      </w:tr>
      <w:tr>
        <w:trPr>
          <w:trHeight w:val="54"/>
        </w:trPr>
        <w:tc>
          <w:tcPr>
            <w:tcW w:w="724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257"/>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Delinquency rate</w:t>
            </w:r>
          </w:p>
        </w:tc>
        <w:tc>
          <w:tcPr>
            <w:tcW w:w="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5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54"/>
        </w:trPr>
        <w:tc>
          <w:tcPr>
            <w:tcW w:w="72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66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420" w:type="dxa"/>
            <w:vAlign w:val="bottom"/>
            <w:shd w:val="clear" w:color="auto" w:fill="CCEEFF"/>
          </w:tcPr>
          <w:p>
            <w:pPr>
              <w:spacing w:after="0"/>
              <w:rPr>
                <w:sz w:val="4"/>
                <w:szCs w:val="4"/>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w:t>
      </w:r>
    </w:p>
    <w:p>
      <w:pPr>
        <w:spacing w:after="0" w:line="62" w:lineRule="exact"/>
        <w:rPr>
          <w:sz w:val="20"/>
          <w:szCs w:val="20"/>
          <w:color w:val="auto"/>
        </w:rPr>
      </w:pPr>
    </w:p>
    <w:p>
      <w:pPr>
        <w:ind w:left="340" w:right="100" w:hanging="332"/>
        <w:spacing w:after="0" w:line="237" w:lineRule="auto"/>
        <w:tabs>
          <w:tab w:leader="none" w:pos="328" w:val="left"/>
        </w:tabs>
        <w:numPr>
          <w:ilvl w:val="0"/>
          <w:numId w:val="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a result of hurricanes Helene and Milton in September and October 2024, we froze delinquency progression in the fourth quarter of 2024 for cardholders in Federal Emergency Management Agency identified impact zones for one billing cycle, which resulted in modestly lower Net principal losses and Net loss rate in the fourth quarter of 2024, and consequently these actions negatively impacted Net principal losses and Net loss rate in the second quarter of 2025.</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Bread Financial</w:t>
      </w:r>
      <w:r>
        <w:rPr>
          <w:rFonts w:ascii="Arial" w:cs="Arial" w:eastAsia="Arial" w:hAnsi="Arial"/>
          <w:sz w:val="12"/>
          <w:szCs w:val="12"/>
          <w:b w:val="1"/>
          <w:bCs w:val="1"/>
          <w:color w:val="12294A"/>
        </w:rPr>
        <w:t>®</w:t>
      </w:r>
    </w:p>
    <w:p>
      <w:pPr>
        <w:spacing w:after="0" w:line="256" w:lineRule="exact"/>
        <w:rPr>
          <w:sz w:val="20"/>
          <w:szCs w:val="20"/>
          <w:color w:val="auto"/>
        </w:rPr>
      </w:pPr>
    </w:p>
    <w:p>
      <w:pPr>
        <w:ind w:right="500"/>
        <w:spacing w:after="0" w:line="237" w:lineRule="auto"/>
        <w:rPr>
          <w:sz w:val="20"/>
          <w:szCs w:val="20"/>
          <w:color w:val="auto"/>
        </w:rPr>
      </w:pPr>
      <w:r>
        <w:rPr>
          <w:rFonts w:ascii="Times New Roman" w:cs="Times New Roman" w:eastAsia="Times New Roman" w:hAnsi="Times New Roman"/>
          <w:sz w:val="22"/>
          <w:szCs w:val="22"/>
          <w:b w:val="1"/>
          <w:bCs w:val="1"/>
          <w:color w:val="auto"/>
        </w:rPr>
        <w:t>Bread Financial</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color w:val="auto"/>
        </w:rPr>
        <w:t>(NYSE: BFH) is a tech-forward financial services company that provides simple, personalized payment,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lending and saving solutions to millions of U.S. consumers. Our payment solutions deliver growth for some of the most recognized brands in travel and entertainment, specialty apparel, health and beauty, jewelry, sporting goods, technology and electronics, as well as home and furniture through our co-brand and private label credit cards and pay-over-time products providing choice and value to our shared customers. Additionally, we offer Bread Financial general purpose credit cards and saving products that empower our customers and their passions for a better life.</w:t>
      </w:r>
    </w:p>
    <w:p>
      <w:pPr>
        <w:spacing w:after="0" w:line="236"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22"/>
          <w:szCs w:val="22"/>
          <w:color w:val="auto"/>
        </w:rPr>
        <w:t xml:space="preserve">Bread Financial proudly marks 30 years of success in 2026. To learn more about our global associates, our performance and our sustainability progress, visit </w:t>
      </w:r>
      <w:r>
        <w:rPr>
          <w:rFonts w:ascii="Times New Roman" w:cs="Times New Roman" w:eastAsia="Times New Roman" w:hAnsi="Times New Roman"/>
          <w:sz w:val="22"/>
          <w:szCs w:val="22"/>
          <w:b w:val="1"/>
          <w:bCs w:val="1"/>
          <w:color w:val="auto"/>
        </w:rPr>
        <w:t>breadfinancial.com</w:t>
      </w:r>
      <w:r>
        <w:rPr>
          <w:rFonts w:ascii="Times New Roman" w:cs="Times New Roman" w:eastAsia="Times New Roman" w:hAnsi="Times New Roman"/>
          <w:sz w:val="22"/>
          <w:szCs w:val="22"/>
          <w:color w:val="auto"/>
        </w:rPr>
        <w:t xml:space="preserve"> or follow us on </w:t>
      </w:r>
      <w:r>
        <w:rPr>
          <w:rFonts w:ascii="Times New Roman" w:cs="Times New Roman" w:eastAsia="Times New Roman" w:hAnsi="Times New Roman"/>
          <w:sz w:val="22"/>
          <w:szCs w:val="22"/>
          <w:b w:val="1"/>
          <w:bCs w:val="1"/>
          <w:color w:val="auto"/>
        </w:rPr>
        <w:t>Instagram</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LinkedIn</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3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Bread Financial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May 15, 2026</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51"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21"/>
          <w:szCs w:val="21"/>
          <w:color w:val="auto"/>
        </w:rPr>
        <w:t>This release contains forward-looking statements within the meaning of Section 27A of the Securities Act of 1933 and Section 21E of the Securities Exchange Act of 1934. Forward-looking statements give our expectations or forecasts of future events and can generally be identified by the use of words such as “believe,” “expect,” “anticipate,” “estimate,” “intend,” “project,” “plan,” “likely,” “may,” “should” or other words or phrases of similar import. Similarly, statements that describe our business strategy, outlook, objectives, plans, intentions or goals also are forward-looking statements. Examples of forward-looking statements include, but are not limited to, statements we make regarding, and the guidance we give with respect to, our anticipated operating or financial results, future financial performance and outlook, future dividend declarations, and future economic conditions.</w:t>
      </w:r>
    </w:p>
    <w:p>
      <w:pPr>
        <w:spacing w:after="0" w:line="21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1"/>
          <w:szCs w:val="21"/>
          <w:color w:val="auto"/>
        </w:rPr>
        <w:t>We believe that our expectations are based on reasonable assumptions. Forward-looking statements, however, are subject to a number of risks and uncertainties that are difficult to predict and, in many cases, beyond our control. Accordingly, our actual results could differ materially from the projections, anticipated results or other expectations expressed in this release, and no assurances can be given that our expectations will prove to have been correct. Factors that could cause the outcomes to differ materially include, but are not limited to, the following: macroeconomic conditions, including market conditions, inflation, interest rates, labor market conditions, recessionary pressures or concerns over a prolonged economic slowdown, and the related impact on consumer spending behavior, payments, debt levels, savings rates and other behaviors; global political events and conditions, including significant shifts in trade policy, such as changes to, or the imposition of, tariffs and/or trade barriers and consequently any economic impacts, volatility, uncertainty and geopolitical instability resulting therefrom, as well as ongoing wars and military conflicts, and international tensions or hostilities; local or global public health issues, climate-related events, impacts to the power grid, and natural disasters; future credit performance, including the level of future delinquency and charge-off rates; loss of, or reduction in demand for services and/or products from, significant brand partners or customers in the highly competitive markets in which we operate, including competition from new and non-traditional competitors, such as financial technology companies, and with respect to new products, services and technologies, such as the emergence or increase in popularity of agentic commerce, digital payment platforms and currencies and other alternative payment and deposit solutions; the concentration of our business in U.S. consumer credit; inaccuracies in the models and estimates on which we rely, including our credit risk management models and the amount of our Allowance for credit losses; the inability to realize the intended benefits of acquisitions, dispositions and other strategic initiatives; our level of indebtedness and ability to access financial or capital markets; pending and future federal and state legislation, executive action, regulation, supervisory guidance, and regulatory and legal actions, including, but not limited to, those related to financial regulatory reform and consumer financial services practices, as well as any such actions that would place limits on credit card interest rates or late fees, interchange fees or other charges; failures or breaches in our operational or security systems, including as a result of cyberattacks, unanticipated impacts from technology modernization projects or otherwise; and any liability or other adverse impacts arising out of or related to the spinoff of our former LoyaltyOne segment or the bankruptcy filings of Loyalty Ventures Inc. (LVI) and certain of its subsidiaries, including the pending litigation against us in connection with the spinoff. The foregoing factors, along with other risks and uncertainties that could cause actual results to differ materially from those expressed or implied in forward-looking statements, are described in greater detail under the headings “Risk Factors” and “Management’s Discussion and Analysis of Financial Condition and Results of Operations” in our Annual Report on Form 10-K for the most recently ended fiscal year, which may be updated in Item 1A of, or elsewhere in, our Quarterly Reports on Form 10-Q filed for</w:t>
      </w:r>
    </w:p>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Bread Financial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May 15, 2026</w:t>
      </w:r>
    </w:p>
    <w:p>
      <w:pPr>
        <w:spacing w:after="0" w:line="200" w:lineRule="exact"/>
        <w:rPr>
          <w:sz w:val="20"/>
          <w:szCs w:val="20"/>
          <w:color w:val="auto"/>
        </w:rPr>
      </w:pPr>
    </w:p>
    <w:p>
      <w:pPr>
        <w:spacing w:after="0" w:line="222" w:lineRule="exact"/>
        <w:rPr>
          <w:sz w:val="20"/>
          <w:szCs w:val="20"/>
          <w:color w:val="auto"/>
        </w:rPr>
      </w:pPr>
    </w:p>
    <w:p>
      <w:pPr>
        <w:jc w:val="both"/>
        <w:ind w:right="340"/>
        <w:spacing w:after="0" w:line="257" w:lineRule="auto"/>
        <w:rPr>
          <w:sz w:val="20"/>
          <w:szCs w:val="20"/>
          <w:color w:val="auto"/>
        </w:rPr>
      </w:pPr>
      <w:r>
        <w:rPr>
          <w:rFonts w:ascii="Times New Roman" w:cs="Times New Roman" w:eastAsia="Times New Roman" w:hAnsi="Times New Roman"/>
          <w:sz w:val="22"/>
          <w:szCs w:val="22"/>
          <w:color w:val="auto"/>
        </w:rPr>
        <w:t>periods subsequent to such Form 10-K. Our forward-looking statements speak only as of the date made, and we undertake no obligation, other than as required by applicable law, to update or revise any forward-looking statements, whether as a result of new information, subsequent events, anticipated or unanticipated circumstances or otherwise.</w:t>
      </w:r>
    </w:p>
    <w:p>
      <w:pPr>
        <w:spacing w:after="0" w:line="245" w:lineRule="exact"/>
        <w:rPr>
          <w:sz w:val="20"/>
          <w:szCs w:val="20"/>
          <w:color w:val="auto"/>
        </w:rPr>
      </w:pPr>
    </w:p>
    <w:p>
      <w:pPr>
        <w:ind w:left="2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Contact:</w:t>
      </w:r>
      <w:r>
        <w:rPr>
          <w:sz w:val="20"/>
          <w:szCs w:val="20"/>
          <w:color w:val="auto"/>
        </w:rPr>
        <w:tab/>
      </w:r>
      <w:r>
        <w:rPr>
          <w:rFonts w:ascii="Times New Roman" w:cs="Times New Roman" w:eastAsia="Times New Roman" w:hAnsi="Times New Roman"/>
          <w:sz w:val="18"/>
          <w:szCs w:val="18"/>
          <w:b w:val="1"/>
          <w:bCs w:val="1"/>
          <w:u w:val="single" w:color="auto"/>
          <w:color w:val="auto"/>
        </w:rPr>
        <w:t>Investors/Analysts</w:t>
      </w:r>
    </w:p>
    <w:p>
      <w:pPr>
        <w:spacing w:after="0" w:line="3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Brian Vereb</w:t>
      </w:r>
    </w:p>
    <w:p>
      <w:pPr>
        <w:spacing w:after="0" w:line="2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u w:val="single" w:color="auto"/>
          <w:color w:val="auto"/>
        </w:rPr>
        <w:t>Brian.Vereb@BreadFinancial.com</w:t>
      </w:r>
    </w:p>
    <w:p>
      <w:pPr>
        <w:spacing w:after="0" w:line="27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Susan Haugen</w:t>
      </w:r>
    </w:p>
    <w:p>
      <w:pPr>
        <w:spacing w:after="0" w:line="2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u w:val="single" w:color="auto"/>
          <w:color w:val="auto"/>
        </w:rPr>
        <w:t>Susan.Haugen@BreadFinancial.com</w:t>
      </w:r>
    </w:p>
    <w:p>
      <w:pPr>
        <w:spacing w:after="0" w:line="27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u w:val="single" w:color="auto"/>
          <w:color w:val="auto"/>
        </w:rPr>
        <w:t>Media</w:t>
      </w:r>
    </w:p>
    <w:p>
      <w:pPr>
        <w:spacing w:after="0" w:line="3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Rachel Stultz</w:t>
      </w:r>
    </w:p>
    <w:p>
      <w:pPr>
        <w:spacing w:after="0" w:line="2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u w:val="single" w:color="auto"/>
          <w:color w:val="auto"/>
        </w:rPr>
        <w:t>Rachel.Stultz@BreadFinancial.com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3</w:t>
      </w:r>
    </w:p>
    <w:sectPr>
      <w:pgSz w:w="11900" w:h="16838" w:orient="portrait"/>
      <w:cols w:equalWidth="0" w:num="1">
        <w:col w:w="11240"/>
      </w:cols>
      <w:pgMar w:left="320" w:top="1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2026-05-15T06:33:32Z</dcterms:created>
  <dcterms:modified xsi:type="dcterms:W3CDTF">2026-05-15T06:33:32Z</dcterms:modified>
</cp:coreProperties>
</file>