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10-D</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ASSET-BACKED ISSUER</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DISTRIBUTION REPORT PURSUANT TO SECTION 13 OR 15(D) OF</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monthly distribution period from January 1, 2026 to January 31, 2026</w:t>
      </w:r>
    </w:p>
    <w:p>
      <w:pPr>
        <w:spacing w:after="0" w:line="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333-113669</w:t>
      </w: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0001282663</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Financial Network Credit Card Master Note Trust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333-60418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0001139552</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WFN Credit Company, LLC</w:t>
      </w:r>
    </w:p>
    <w:p>
      <w:pPr>
        <w:jc w:val="center"/>
        <w:spacing w:after="0"/>
        <w:rPr>
          <w:sz w:val="20"/>
          <w:szCs w:val="20"/>
          <w:color w:val="auto"/>
        </w:rPr>
      </w:pPr>
      <w:r>
        <w:rPr>
          <w:rFonts w:ascii="Times New Roman" w:cs="Times New Roman" w:eastAsia="Times New Roman" w:hAnsi="Times New Roman"/>
          <w:sz w:val="14"/>
          <w:szCs w:val="14"/>
          <w:color w:val="auto"/>
        </w:rPr>
        <w:t>(Exact name of depositor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sponsor (if applicable): 0001007254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Comenity Bank</w:t>
      </w:r>
    </w:p>
    <w:p>
      <w:pPr>
        <w:jc w:val="center"/>
        <w:spacing w:after="0"/>
        <w:rPr>
          <w:sz w:val="20"/>
          <w:szCs w:val="20"/>
          <w:color w:val="auto"/>
        </w:rPr>
      </w:pPr>
      <w:r>
        <w:rPr>
          <w:rFonts w:ascii="Times New Roman" w:cs="Times New Roman" w:eastAsia="Times New Roman" w:hAnsi="Times New Roman"/>
          <w:sz w:val="14"/>
          <w:szCs w:val="14"/>
          <w:color w:val="auto"/>
        </w:rPr>
        <w:t>(Exact name of sponsor as specified in its charter)</w:t>
      </w:r>
    </w:p>
    <w:p>
      <w:pPr>
        <w:spacing w:after="0" w:line="2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L. Morgan (214) 494-3000</w:t>
      </w: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filing)</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80" w:type="dxa"/>
            <w:vAlign w:val="bottom"/>
          </w:tcPr>
          <w:p>
            <w:pPr>
              <w:spacing w:after="0"/>
              <w:rPr>
                <w:sz w:val="19"/>
                <w:szCs w:val="19"/>
                <w:color w:val="auto"/>
              </w:rPr>
            </w:pPr>
          </w:p>
        </w:tc>
        <w:tc>
          <w:tcPr>
            <w:tcW w:w="192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31-1772814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60" w:type="dxa"/>
            <w:vAlign w:val="bottom"/>
            <w:gridSpan w:val="3"/>
          </w:tcPr>
          <w:p>
            <w:pPr>
              <w:jc w:val="center"/>
              <w:ind w:right="89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 of the issuing entity)</w:t>
            </w:r>
          </w:p>
        </w:tc>
        <w:tc>
          <w:tcPr>
            <w:tcW w:w="320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6"/>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w w:val="98"/>
              </w:rPr>
              <w:t>One Righter Parkway, Suite 100</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180" w:type="dxa"/>
            <w:vAlign w:val="bottom"/>
          </w:tcPr>
          <w:p>
            <w:pPr>
              <w:spacing w:after="0"/>
              <w:rPr>
                <w:sz w:val="22"/>
                <w:szCs w:val="22"/>
                <w:color w:val="auto"/>
              </w:rPr>
            </w:pPr>
          </w:p>
        </w:tc>
        <w:tc>
          <w:tcPr>
            <w:tcW w:w="1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19803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4"/>
                <w:szCs w:val="14"/>
                <w:color w:val="auto"/>
              </w:rPr>
              <w:t>(Address of principal executive offices of issuing entity)</w:t>
            </w:r>
          </w:p>
        </w:tc>
        <w:tc>
          <w:tcPr>
            <w:tcW w:w="2180" w:type="dxa"/>
            <w:vAlign w:val="bottom"/>
          </w:tcPr>
          <w:p>
            <w:pPr>
              <w:spacing w:after="0"/>
              <w:rPr>
                <w:sz w:val="16"/>
                <w:szCs w:val="16"/>
                <w:color w:val="auto"/>
              </w:rPr>
            </w:pPr>
          </w:p>
        </w:tc>
        <w:tc>
          <w:tcPr>
            <w:tcW w:w="1920" w:type="dxa"/>
            <w:vAlign w:val="bottom"/>
          </w:tcPr>
          <w:p>
            <w:pPr>
              <w:jc w:val="center"/>
              <w:ind w:left="637"/>
              <w:spacing w:after="0"/>
              <w:rPr>
                <w:sz w:val="20"/>
                <w:szCs w:val="20"/>
                <w:color w:val="auto"/>
              </w:rPr>
            </w:pPr>
            <w:r>
              <w:rPr>
                <w:rFonts w:ascii="Times New Roman" w:cs="Times New Roman" w:eastAsia="Times New Roman" w:hAnsi="Times New Roman"/>
                <w:sz w:val="14"/>
                <w:szCs w:val="14"/>
                <w:color w:val="auto"/>
              </w:rPr>
              <w:t>(Zip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20" w:type="dxa"/>
            <w:vAlign w:val="bottom"/>
          </w:tcPr>
          <w:p>
            <w:pPr>
              <w:spacing w:after="0"/>
              <w:rPr>
                <w:sz w:val="24"/>
                <w:szCs w:val="24"/>
                <w:color w:val="auto"/>
              </w:rPr>
            </w:pPr>
          </w:p>
        </w:tc>
        <w:tc>
          <w:tcPr>
            <w:tcW w:w="5140" w:type="dxa"/>
            <w:vAlign w:val="bottom"/>
            <w:gridSpan w:val="2"/>
          </w:tcPr>
          <w:p>
            <w:pPr>
              <w:jc w:val="right"/>
              <w:ind w:right="1376"/>
              <w:spacing w:after="0"/>
              <w:rPr>
                <w:sz w:val="20"/>
                <w:szCs w:val="20"/>
                <w:color w:val="auto"/>
              </w:rPr>
            </w:pPr>
            <w:r>
              <w:rPr>
                <w:rFonts w:ascii="Times New Roman" w:cs="Times New Roman" w:eastAsia="Times New Roman" w:hAnsi="Times New Roman"/>
                <w:sz w:val="18"/>
                <w:szCs w:val="18"/>
                <w:b w:val="1"/>
                <w:bCs w:val="1"/>
                <w:color w:val="auto"/>
              </w:rPr>
              <w:t>(302) 529-6140</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(Telephone number, including area code)</w:t>
            </w:r>
          </w:p>
        </w:tc>
        <w:tc>
          <w:tcPr>
            <w:tcW w:w="1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(Former Name, former address, if changed since last report)</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14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Registered/reporting pursuant to (check one)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60" w:type="dxa"/>
            <w:vAlign w:val="bottom"/>
          </w:tcPr>
          <w:p>
            <w:pPr>
              <w:jc w:val="center"/>
              <w:ind w:left="2015"/>
              <w:spacing w:after="0"/>
              <w:rPr>
                <w:sz w:val="20"/>
                <w:szCs w:val="20"/>
                <w:color w:val="auto"/>
              </w:rPr>
            </w:pPr>
            <w:r>
              <w:rPr>
                <w:rFonts w:ascii="Times New Roman" w:cs="Times New Roman" w:eastAsia="Times New Roman" w:hAnsi="Times New Roman"/>
                <w:sz w:val="14"/>
                <w:szCs w:val="14"/>
                <w:b w:val="1"/>
                <w:bCs w:val="1"/>
                <w:color w:val="auto"/>
              </w:rPr>
              <w:t>Section 12(b)</w:t>
            </w:r>
          </w:p>
        </w:tc>
        <w:tc>
          <w:tcPr>
            <w:tcW w:w="21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Section 12(g)</w:t>
            </w:r>
          </w:p>
        </w:tc>
        <w:tc>
          <w:tcPr>
            <w:tcW w:w="192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Section 15(d)</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(If Section 12(b)</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2023-A,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2024-B, Class A</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ind w:firstLine="217"/>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w:t>
      </w:r>
    </w:p>
    <w:p>
      <w:pPr>
        <w:sectPr>
          <w:pgSz w:w="11900" w:h="16838" w:orient="portrait"/>
          <w:cols w:equalWidth="0" w:num="1">
            <w:col w:w="11220"/>
          </w:cols>
          <w:pgMar w:left="340" w:top="1060" w:right="33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Distribution and Pool Performance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herein and in Exhibit 99.1.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assets securitized by the depositor and held by World Financial Network Credit Card Master Note Trust were the subject of a demand to repurchase or replace for breach of the representations and warranties during the distribution period from January 1, 2026 to January 31,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 filed its most recent Form ABS-15G on February 6, 2026. The CIK number of the depositor is 0001139552.</w:t>
      </w:r>
    </w:p>
    <w:p>
      <w:pPr>
        <w:spacing w:after="0" w:line="212" w:lineRule="exact"/>
        <w:rPr>
          <w:sz w:val="20"/>
          <w:szCs w:val="20"/>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Are there any material modifications, extensions or waivers to pool asset terms, fees, penalties or payments during the distribution period or that have cumulatively become material over time?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breaches of pool asset representations and warranties or transaction covenants?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changes in the solicitation, credit-granting, underwriting, origination or pool selection criteria or procedures?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For each of Series 2023-A, Series 2024-A, and Series 2024-B is the applicable Portfolio Yield averaged over any three consecutive Monthly Periods less than the applicable Base Rate averaged over such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Excess Funding Account was less than the Required Principal Balance on any business day during the distribution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Submission of Matters to a Vote of Security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February 17, 2026 Payment Date.</w:t>
            </w:r>
          </w:p>
        </w:tc>
        <w:tc>
          <w:tcPr>
            <w:tcW w:w="0" w:type="dxa"/>
            <w:vAlign w:val="bottom"/>
          </w:tcPr>
          <w:p>
            <w:pPr>
              <w:spacing w:after="0"/>
              <w:rPr>
                <w:sz w:val="1"/>
                <w:szCs w:val="1"/>
                <w:color w:val="auto"/>
              </w:rPr>
            </w:pPr>
          </w:p>
        </w:tc>
      </w:tr>
    </w:tbl>
    <w:p>
      <w:pPr>
        <w:sectPr>
          <w:pgSz w:w="11900" w:h="16838" w:orient="portrait"/>
          <w:cols w:equalWidth="0" w:num="1">
            <w:col w:w="11080"/>
          </w:cols>
          <w:pgMar w:left="320" w:top="9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78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w w:val="98"/>
              </w:rPr>
              <w:t>WFN Credit Company, LLC, as depositor</w:t>
            </w:r>
          </w:p>
        </w:tc>
      </w:tr>
      <w:tr>
        <w:trPr>
          <w:trHeight w:val="62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17, 2026</w:t>
            </w:r>
          </w:p>
        </w:tc>
        <w:tc>
          <w:tcPr>
            <w:tcW w:w="2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Wai Chung</w:t>
            </w:r>
          </w:p>
        </w:tc>
        <w:tc>
          <w:tcPr>
            <w:tcW w:w="1400" w:type="dxa"/>
            <w:vAlign w:val="bottom"/>
          </w:tcPr>
          <w:p>
            <w:pPr>
              <w:spacing w:after="0"/>
              <w:rPr>
                <w:sz w:val="24"/>
                <w:szCs w:val="24"/>
                <w:color w:val="auto"/>
              </w:rPr>
            </w:pPr>
          </w:p>
        </w:tc>
      </w:tr>
      <w:tr>
        <w:trPr>
          <w:trHeight w:val="245"/>
        </w:trPr>
        <w:tc>
          <w:tcPr>
            <w:tcW w:w="3400" w:type="dxa"/>
            <w:vAlign w:val="bottom"/>
          </w:tcPr>
          <w:p>
            <w:pPr>
              <w:spacing w:after="0"/>
              <w:rPr>
                <w:sz w:val="21"/>
                <w:szCs w:val="21"/>
                <w:color w:val="auto"/>
              </w:rPr>
            </w:pPr>
          </w:p>
        </w:tc>
        <w:tc>
          <w:tcPr>
            <w:tcW w:w="2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Name: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 Chung</w:t>
            </w:r>
          </w:p>
        </w:tc>
      </w:tr>
      <w:tr>
        <w:trPr>
          <w:trHeight w:val="234"/>
        </w:trPr>
        <w:tc>
          <w:tcPr>
            <w:tcW w:w="3400" w:type="dxa"/>
            <w:vAlign w:val="bottom"/>
          </w:tcPr>
          <w:p>
            <w:pPr>
              <w:spacing w:after="0"/>
              <w:rPr>
                <w:sz w:val="20"/>
                <w:szCs w:val="20"/>
                <w:color w:val="auto"/>
              </w:rPr>
            </w:pPr>
          </w:p>
        </w:tc>
        <w:tc>
          <w:tcPr>
            <w:tcW w:w="2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240"/>
          </w:cols>
          <w:pgMar w:left="320" w:top="98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February 17, 2026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981" w:right="11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2023-A Indenture Supplement, dated as of May 16, 2023,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w:t>
      </w:r>
    </w:p>
    <w:p>
      <w:pPr>
        <w:spacing w:after="0" w:line="215"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4"/>
          <w:szCs w:val="14"/>
          <w:color w:val="auto"/>
        </w:rPr>
        <w:t>The information required to be prepared with respect to the Distribution Date of February 17, 2026 and with respect to the performance of the Trust during the month of January 2026 is set forth below. Capitalized terms herein are defined in the Indenture and the Indenture Supplements.</w:t>
      </w: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Monthly Period:</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Jan-26</w:t>
            </w:r>
          </w:p>
        </w:tc>
        <w:tc>
          <w:tcPr>
            <w:tcW w:w="220" w:type="dxa"/>
            <w:vAlign w:val="bottom"/>
          </w:tcPr>
          <w:p>
            <w:pPr>
              <w:spacing w:after="0"/>
              <w:rPr>
                <w:sz w:val="18"/>
                <w:szCs w:val="18"/>
                <w:color w:val="auto"/>
              </w:rPr>
            </w:pPr>
          </w:p>
        </w:tc>
        <w:tc>
          <w:tcPr>
            <w:tcW w:w="1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No. of Days in Period:</w:t>
            </w:r>
          </w:p>
        </w:tc>
        <w:tc>
          <w:tcPr>
            <w:tcW w:w="1680" w:type="dxa"/>
            <w:vAlign w:val="bottom"/>
            <w:tcBorders>
              <w:top w:val="single" w:sz="8" w:color="auto"/>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33</w:t>
            </w:r>
          </w:p>
        </w:tc>
      </w:tr>
      <w:tr>
        <w:trPr>
          <w:trHeight w:val="195"/>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Determination Date:</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2/12/2026</w:t>
            </w: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No. of Days in Month:</w:t>
            </w:r>
          </w:p>
        </w:tc>
        <w:tc>
          <w:tcPr>
            <w:tcW w:w="168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2/17/2026</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8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1/31/2026</w:t>
            </w:r>
          </w:p>
        </w:tc>
      </w:tr>
      <w:tr>
        <w:trPr>
          <w:trHeight w:val="270"/>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 DEAL PARAMETERS</w:t>
            </w:r>
          </w:p>
        </w:tc>
        <w:tc>
          <w:tcPr>
            <w:tcW w:w="1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220" w:type="dxa"/>
            <w:vAlign w:val="bottom"/>
          </w:tcPr>
          <w:p>
            <w:pPr>
              <w:spacing w:after="0"/>
              <w:rPr>
                <w:sz w:val="23"/>
                <w:szCs w:val="23"/>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360" w:type="dxa"/>
            <w:vAlign w:val="bottom"/>
          </w:tcPr>
          <w:p>
            <w:pPr>
              <w:spacing w:after="0"/>
              <w:rPr>
                <w:sz w:val="23"/>
                <w:szCs w:val="2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Series 2024-B</w:t>
            </w:r>
          </w:p>
        </w:tc>
      </w:tr>
      <w:tr>
        <w:trPr>
          <w:trHeight w:val="28"/>
        </w:trPr>
        <w:tc>
          <w:tcPr>
            <w:tcW w:w="5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5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Initial Note Principal Balance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$350,000,000.00</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$500,000,000.00</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 Class M Initial Note Principal Balance</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$31,165,000.00</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$44,521,000.00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Class B Initial Note Principal Balance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$17,980,000.00</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$25,685,000.00</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r>
        <w:trPr>
          <w:trHeight w:val="19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 Class C Initial Note Principal Balance</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Total Initial Note Principal Balance</w:t>
            </w: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680" w:type="dxa"/>
            <w:vAlign w:val="bottom"/>
            <w:tcBorders>
              <w:top w:val="single" w:sz="8" w:color="auto"/>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$399,145,000.00</w:t>
            </w:r>
          </w:p>
        </w:tc>
        <w:tc>
          <w:tcPr>
            <w:tcW w:w="1660" w:type="dxa"/>
            <w:vAlign w:val="bottom"/>
            <w:tcBorders>
              <w:top w:val="single" w:sz="8" w:color="auto"/>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$570,206,000.00</w:t>
            </w:r>
          </w:p>
        </w:tc>
        <w:tc>
          <w:tcPr>
            <w:tcW w:w="1680" w:type="dxa"/>
            <w:vAlign w:val="bottom"/>
            <w:tcBorders>
              <w:top w:val="single" w:sz="8" w:color="auto"/>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 Initial Excess Collateral Amount</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$80,309,000.00</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$114,727,000.00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$184,932,000.00</w:t>
            </w: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 Class A Initial Note Principal Balance %</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73.00 %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73.00 %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73.00 %</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Class M Initial Note Principal Balance %</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6.50 %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6.50 %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 Class B Initial Note Principal Balance %</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3.75 %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3.75 %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Initial Note Principal Balance %, if applicable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0.00 %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(k) Excess Collateral Amount %</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16.75 %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16.75 %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27.00 %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 Required Retained Transferor Percentage</w:t>
            </w:r>
          </w:p>
        </w:tc>
        <w:tc>
          <w:tcPr>
            <w:tcW w:w="16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4.00 %</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4.00 %</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4.00 %</w:t>
            </w: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Additional Minimum Transferor % (2% Nov-Jan; 0% otherwise)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2.00 %</w:t>
            </w: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Class A Note Interest Rate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5.02 %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5.47 %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4.62 %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 Class A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 Class A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 Class A Margin,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 Class M Note Interest Rate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5.27 %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 Class M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 Class M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 Class B Note Interest Rate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0.00 %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 Class B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Class B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 Class C Note Interest Rate, if applicable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0.00 %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 Class C Swap Rate, if applicable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 Class C Swap Rate plus Spread, if applicable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 Servicing Fee Percentage</w:t>
            </w:r>
          </w:p>
        </w:tc>
        <w:tc>
          <w:tcPr>
            <w:tcW w:w="1680" w:type="dxa"/>
            <w:vAlign w:val="bottom"/>
            <w:tcBorders>
              <w:right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2.00 %</w:t>
            </w:r>
          </w:p>
        </w:tc>
        <w:tc>
          <w:tcPr>
            <w:tcW w:w="1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2.00 %</w:t>
            </w:r>
          </w:p>
        </w:tc>
        <w:tc>
          <w:tcPr>
            <w:tcW w:w="16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2.00 %</w:t>
            </w:r>
          </w:p>
        </w:tc>
      </w:tr>
    </w:tbl>
    <w:p>
      <w:pPr>
        <w:sectPr>
          <w:pgSz w:w="11900" w:h="16838" w:orient="portrait"/>
          <w:cols w:equalWidth="0" w:num="1">
            <w:col w:w="11260"/>
          </w:cols>
          <w:pgMar w:left="320" w:top="11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II. COLLATERAL AMOUNTS AND ALLOCATION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6175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253" w:lineRule="exact"/>
        <w:rPr>
          <w:sz w:val="20"/>
          <w:szCs w:val="20"/>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Collateral Amount</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Excess Collateral Amount</w:t>
      </w:r>
    </w:p>
    <w:p>
      <w:pPr>
        <w:spacing w:after="0" w:line="257"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Payments made to Noteholders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Accumulation Account Balances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Unreimbursed Investor Charge-offs and Reallocated Principal Collections</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Amount - End of Current Monthly Period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 Collateral Amount - End of Current Monthly Period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Excess Collateral Amount</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A Note Principal Balance</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M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B Note Principal Balance</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C Note Principal Balance, if applicable</w:t>
      </w:r>
    </w:p>
    <w:p>
      <w:pPr>
        <w:spacing w:after="0" w:line="55" w:lineRule="exact"/>
        <w:rPr>
          <w:rFonts w:ascii="Times New Roman" w:cs="Times New Roman" w:eastAsia="Times New Roman" w:hAnsi="Times New Roman"/>
          <w:sz w:val="14"/>
          <w:szCs w:val="14"/>
          <w:color w:val="auto"/>
        </w:rPr>
      </w:pPr>
    </w:p>
    <w:p>
      <w:pPr>
        <w:ind w:left="260" w:hanging="234"/>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Beginning Note Principal Balance</w:t>
      </w:r>
    </w:p>
    <w:p>
      <w:pPr>
        <w:spacing w:after="0" w:line="244"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A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M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B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C Note Principal Balance, if applicable</w:t>
      </w:r>
    </w:p>
    <w:p>
      <w:pPr>
        <w:spacing w:after="0" w:line="55"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Ending Note Principal Balance</w:t>
      </w:r>
    </w:p>
    <w:p>
      <w:pPr>
        <w:spacing w:after="0" w:line="257"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Percentage- Finance Charges Collections and Default Amounts</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Percentage- Principal Collections</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III. RECEIVABLES IN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
        </w:trPr>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9"/>
        </w:trPr>
        <w:tc>
          <w:tcPr>
            <w:tcW w:w="460" w:type="dxa"/>
            <w:vAlign w:val="bottom"/>
          </w:tcPr>
          <w:p>
            <w:pPr>
              <w:spacing w:after="0"/>
              <w:rPr>
                <w:sz w:val="24"/>
                <w:szCs w:val="2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$479,454,000.00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$684,933,000.00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$80,309,000.00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$114,727,000.00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418"/>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419"/>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$479,454,000.00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$684,933,000.00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$80,309,000.00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$114,727,000.00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$80,309,000.00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$114,727,000.00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418"/>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$350,000,000.00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$500,000,000.00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$31,165,000.00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$44,521,000.00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$17,980,000.00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$25,685,000.00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$399,145,000.00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$570,206,000.00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396"/>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$350,000,000.00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$500,000,000.00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$31,165,000.00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$44,521,000.00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$17,980,000.00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$25,685,000.00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$399,145,000.00</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$570,206,000.00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409"/>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8.83 %</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12.62 %</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12.62 %</w:t>
            </w:r>
          </w:p>
        </w:tc>
      </w:tr>
      <w:tr>
        <w:trPr>
          <w:trHeight w:val="418"/>
        </w:trPr>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8.83 %</w:t>
            </w: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12.62 %</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-3387725</wp:posOffset>
            </wp:positionV>
            <wp:extent cx="705485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-3130550</wp:posOffset>
            </wp:positionV>
            <wp:extent cx="705485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-2865120</wp:posOffset>
            </wp:positionV>
            <wp:extent cx="705485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-2607945</wp:posOffset>
            </wp:positionV>
            <wp:extent cx="70548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-2341880</wp:posOffset>
            </wp:positionV>
            <wp:extent cx="705485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-2084705</wp:posOffset>
            </wp:positionV>
            <wp:extent cx="70548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-1818640</wp:posOffset>
            </wp:positionV>
            <wp:extent cx="705485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-1561465</wp:posOffset>
            </wp:positionV>
            <wp:extent cx="705485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-1296035</wp:posOffset>
            </wp:positionV>
            <wp:extent cx="705485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-1038860</wp:posOffset>
            </wp:positionV>
            <wp:extent cx="705485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-781685</wp:posOffset>
            </wp:positionV>
            <wp:extent cx="705485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-515620</wp:posOffset>
            </wp:positionV>
            <wp:extent cx="70548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-250190</wp:posOffset>
            </wp:positionV>
            <wp:extent cx="70548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5060" w:space="720"/>
            <w:col w:w="5460"/>
          </w:cols>
          <w:pgMar w:left="320" w:top="117" w:right="3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Beginning of the Month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$5,427,414,019.05</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Collection of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$722,154,959.67</w:t>
            </w:r>
          </w:p>
        </w:tc>
      </w:tr>
      <w:tr>
        <w:trPr>
          <w:trHeight w:val="19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 Defaulted Receivables (principal charge-offs):</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$40,026,683.33</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Dilution (Principal net of Debit Adjustments):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$55,627,486.02</w:t>
            </w:r>
          </w:p>
        </w:tc>
      </w:tr>
      <w:tr>
        <w:trPr>
          <w:trHeight w:val="19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 Sales (principal receivables generated):</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$620,990,339.04</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Net (Removal)/Addition of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End of Month Principal Receivables (a - b - c - d + e + f)</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$5,230,595,229.07</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Recoveries of previously Charged-off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$8,932,551.77</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Beginning of the Month Finance Charge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$621,642,337.92</w:t>
            </w:r>
          </w:p>
        </w:tc>
      </w:tr>
      <w:tr>
        <w:trPr>
          <w:trHeight w:val="188"/>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 End of the Month Finance Charge Receivables</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$654,174,939.69</w:t>
            </w:r>
          </w:p>
        </w:tc>
      </w:tr>
    </w:tbl>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MONTHLY NOTEHOLDER'S STATEMENT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WORLD FINANCIAL NETWORK CREDIT CARD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54"/>
        </w:trPr>
        <w:tc>
          <w:tcPr>
            <w:tcW w:w="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IV.RECEIVABLES PERFORMANCE SUMMARY</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Collections of Principal Receivables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$722,154,959.67</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Collections of Finance Charge Receivables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$146,967,122.94</w:t>
            </w: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 Total Collections (a+b).</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$869,122,082.61</w:t>
            </w:r>
          </w:p>
        </w:tc>
      </w:tr>
      <w:tr>
        <w:trPr>
          <w:trHeight w:val="188"/>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Monthly Payment Rate (% of Beginning Principal Receivables)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16.01 %</w:t>
            </w:r>
          </w:p>
        </w:tc>
      </w:tr>
      <w:tr>
        <w:trPr>
          <w:trHeight w:val="28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DELINQUENCIES AND LOSSES:</w:t>
            </w:r>
          </w:p>
        </w:tc>
        <w:tc>
          <w:tcPr>
            <w:tcW w:w="4500" w:type="dxa"/>
            <w:vAlign w:val="bottom"/>
          </w:tcPr>
          <w:p>
            <w:pPr>
              <w:spacing w:after="0"/>
              <w:rPr>
                <w:sz w:val="24"/>
                <w:szCs w:val="24"/>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PRINCIPAL</w:t>
            </w:r>
          </w:p>
        </w:tc>
        <w:tc>
          <w:tcPr>
            <w:tcW w:w="17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rPr>
              <w:t>% OF PRINCIPAL</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 of the month delinquencies:</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w w:val="96"/>
              </w:rPr>
              <w:t>RECEIVABLES</w:t>
            </w:r>
          </w:p>
        </w:tc>
        <w:tc>
          <w:tcPr>
            <w:tcW w:w="17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RECEIVABLES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ACCOUNTS</w:t>
            </w:r>
          </w:p>
        </w:tc>
        <w:tc>
          <w:tcPr>
            <w:tcW w:w="10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OF</w:t>
            </w:r>
          </w:p>
        </w:tc>
      </w:tr>
      <w:tr>
        <w:trPr>
          <w:trHeight w:val="34"/>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1-30 days delinquent (CA1)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$183,507,252.46</w:t>
            </w: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3.51%</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223,684</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0.60%</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31-60 days delinquent (CA2)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$77,324,118.56</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1.48%</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78,891</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0.21%</w:t>
            </w: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61-90 days delinquent (CA3)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$60,632,525.33</w:t>
            </w: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1.16%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54,842</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0.15%</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91-120 days delinquent (CA4)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$52,376,950.80</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1.00%</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44,158</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0.12%</w:t>
            </w: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 121-150 days delinquent (CA5)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$43,570,533.70</w:t>
            </w: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0.83%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37,319</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0.10%</w:t>
            </w: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151+ days delinquent (CA6)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$38,302,405.02</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0.73%</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33,409</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0.09%</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 Total delinquencies (e +f + g + h + i + j)</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$455,713,785.87</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8.71%</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472,303</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1.27%</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Total 60+ days delinquent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$194,882,414.85</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3.73%</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Lowest Delinquency Trigger (all series)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9.50%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 Investor Requests for Communications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color w:val="auto"/>
              </w:rPr>
              <w:t>None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6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 Number of Charged-Off Accounts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34,474</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 Gross Charge-Offs (principal charge-offs):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$40,026,683.33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Number of Charged-Off Accounts with Recoveries</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34,603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Recoveries (includes principal, finance charges and fees)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$8,932,551.77</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66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 Gross Principal Charge-Off Rate</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9.18 %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8.98 %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8.84 %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8.95 %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9.00 %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8.99 %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 Net Principal Charge-Offs (Gross Charge-Offs - recoveries)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$31,094,131.56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66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 Net Principal Charge-Off Rate</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7.13 %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7.33 %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6.99 %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7.20 %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7.15 %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7.16 %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 Average Net Charge Off (net principal charge-offs/number of charged-off accounts)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$901.96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 TRANSFEROR INTEREST AND SELLER'S INTEREST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Required Retained Transferor Percentage</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4.00 %</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 Additional Minimum Transferor Percentage (2% Nov-Jan; 0% otherwise)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 Beginning Transferor's Amount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$1,685,039,463.49</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 Ending Transferor's Amount (including Excess Funding/Principal Accounts)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$1,740,998,451.29</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 Minimum Transferor's Amount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$313,835,713.74</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 Excess Funding Account Balance at end of Monthly Period</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 Collections and Principal Accounts Balance at end of Monthly Period</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(h) Sum of Principal Receivables, Excess Funding, Collections and Principal Accounts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$5,230,595,229.07</w:t>
            </w: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 Required Seller's Interest (as of the most recent RR measurement date)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$128,108,250.00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(j) Seller's Interest (as of the most recent RR measurement date)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$2,580,244,229.07</w:t>
            </w:r>
          </w:p>
        </w:tc>
      </w:tr>
      <w:tr>
        <w:trPr>
          <w:trHeight w:val="770"/>
        </w:trPr>
        <w:tc>
          <w:tcPr>
            <w:tcW w:w="20" w:type="dxa"/>
            <w:vAlign w:val="bottom"/>
          </w:tcPr>
          <w:p>
            <w:pPr>
              <w:spacing w:after="0"/>
              <w:rPr>
                <w:sz w:val="24"/>
                <w:szCs w:val="24"/>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VI. TRUST ACCOUNT BALANCES AND EARNINGS</w:t>
            </w: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8"/>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5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BEGINNING ACCOUNT BALANCES: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Finance Charge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$6,875,597.10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$10,009,767.06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$9,655,589.11</w:t>
            </w:r>
          </w:p>
        </w:tc>
        <w:tc>
          <w:tcPr>
            <w:tcW w:w="1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 Cash Collateral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Reserve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$1,995,725.00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 Principal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 Principal Accumulation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5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ENDING ACCOUNT BALANCES: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 Finance Charge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$6,862,483.87</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$9,991,033.91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$9,636,855.98</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(h) Cash Collateral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 Spread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(j) Reserve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$1,995,725.00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(k) Principal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AND EARNINGS:</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 Interest and Earnings on Finance Charge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$21,845.08</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$31,742.74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$30,740.05</w:t>
            </w:r>
          </w:p>
        </w:tc>
        <w:tc>
          <w:tcPr>
            <w:tcW w:w="1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 Interest and Earnings on Cash Collateral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 Interest and Earnings on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 Interest and Earnings on Reserve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$5,929.76</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(q) Interest and Earnings on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 Interest and Earnings on Principal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 Interest and Earnings on Collection Account (allocated)</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$12,428.13</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$17,754.44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$17,754.42</w:t>
            </w:r>
          </w:p>
        </w:tc>
        <w:tc>
          <w:tcPr>
            <w:tcW w:w="120" w:type="dxa"/>
            <w:vAlign w:val="bottom"/>
          </w:tcPr>
          <w:p>
            <w:pPr>
              <w:spacing w:after="0"/>
              <w:rPr>
                <w:sz w:val="18"/>
                <w:szCs w:val="18"/>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VII. ALLOCATION and APPLICATION of COLLECTIONS</w:t>
            </w: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8"/>
        </w:trPr>
        <w:tc>
          <w:tcPr>
            <w:tcW w:w="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APPLICATIONS OF FINANCE CHARGE COLLECTIONS: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2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 Floating Allocation of Finance Charges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$13,023,176.94</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$18,596,568.04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$18,595,538.26</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 Class A Monthly Interest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$1,464,166.67</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$2,279,166.67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$1,925,000.00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Class A Swap Payment Due to (from) Swap Provider, if applicable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Class M Monthly Interest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$136,866.29</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 Class M Swap Payment Due to (from) Swap Provider, if applicable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 Class B Monthly Interest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 Class B Swap Payment Due to (from) Swap Provider, if applicable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 Servicing Fee (Collateral Amount*2%/12)</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$799,090.00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$1,141,555.00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$1,141,553.33</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 Class C Monthly Interest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 Class C Swap Payment Due to (from) Swap Provider, if applicable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 Investor Default Amounts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$3,535,929.52</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$5,051,318.40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$5,051,311.02</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 Uncovered Dilution Amounts</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 Unreimbursed Investor Chargeoffs &amp; Reallocated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 Required to be Deposited into Cash Collateral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 Required Reserve Account Amount,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 Required to be Deposited into the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 Required Payments and Deposits Relating to Interest Rate Swaps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 Other Payments Required to be made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Excess Finance Charge Collections (a-b-c-d-e-f-g-h-i-j-k-l-m-n-o-p-q-r)</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$7,087,124.46</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$10,124,527.97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$10,477,673.91</w:t>
            </w:r>
          </w:p>
        </w:tc>
      </w:tr>
    </w:tbl>
    <w:p>
      <w:pPr>
        <w:sectPr>
          <w:pgSz w:w="11900" w:h="16838" w:orient="portrait"/>
          <w:cols w:equalWidth="0" w:num="1">
            <w:col w:w="11120"/>
          </w:cols>
          <w:pgMar w:left="320" w:top="117" w:right="45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PRINCIPAL COLLECTIONS:</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top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 Investor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$63,794,669.58</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$91,135,071.19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$91,134,938.13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 Less Reallocated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 Plus Shared Principal Collections from other Principal Sharing Series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59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 Plus Aggregate amount of Finance Charge Collections applied to cover Defaults and Uncovered</w:t>
            </w:r>
          </w:p>
        </w:tc>
        <w:tc>
          <w:tcPr>
            <w:tcW w:w="218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$3,535,929.52</w:t>
            </w:r>
          </w:p>
        </w:tc>
        <w:tc>
          <w:tcPr>
            <w:tcW w:w="17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$5,051,318.40</w:t>
            </w:r>
          </w:p>
        </w:tc>
        <w:tc>
          <w:tcPr>
            <w:tcW w:w="1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$5,051,311.02</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and to be treated as Available Principal Collections</w:t>
            </w:r>
          </w:p>
        </w:tc>
        <w:tc>
          <w:tcPr>
            <w:tcW w:w="2180" w:type="dxa"/>
            <w:vAlign w:val="bottom"/>
            <w:gridSpan w:val="3"/>
            <w:vMerge w:val="continue"/>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 Available Principal Collections (t+u+v+w)</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$67,330,599.10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$96,186,389.59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$96,186,249.15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 Deposits to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 Monthly Principal applied for payments to the Class A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 Monthly Principal applied for payments to the Class M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(ab) Monthly Principal applied for payments to the Class B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 Monthly Principal applied for payments to the Class C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 Shared Principal Collections applied to other Principal Sharing</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813"/>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VIII. INVESTOR CHARGE-OFFS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18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 Investor Defaults and Uncovered Dilution</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$3,535,929.52</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$5,051,318.40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$5,051,311.02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Reimbursed from Available Funds</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$3,535,929.52</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$5,051,318.40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$5,051,311.02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 Reimbursed from Excess Funding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Total reimbursed in respect of Investor Defaults and Dilution</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$3,535,929.52</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$5,051,318.40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$5,051,311.02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 Investor Charge-off (a - d)</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7" w:right="459" w:bottom="1440" w:gutter="0" w:footer="0" w:header="0"/>
        </w:sectPr>
      </w:pPr>
    </w:p>
    <w:bookmarkStart w:id="10" w:name="page11"/>
    <w:bookmarkEnd w:id="1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IX. YIELD and BASE RATE</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6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3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5140" w:type="dxa"/>
            <w:vAlign w:val="bottom"/>
            <w:gridSpan w:val="4"/>
            <w:vMerge w:val="restart"/>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140" w:type="dxa"/>
            <w:vAlign w:val="bottom"/>
            <w:gridSpan w:val="4"/>
            <w:vMerge w:val="continue"/>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(Monthly interest, any net swap payments and monthly servicing fees divided by collateral</w:t>
            </w: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amounts plus amounts on deposit in the principal accumulation account)</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Base Rate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Base Rate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 Base Rate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 3 Month Average Base Rate</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6.01 %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5.99 %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5.37 %</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Gross Portfolio Yield</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(Finance charge collections allocable to each series divided by the collateral amount)</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 Gross Portfolio Yield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32.60 %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32.58 %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32.58 %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 Gross Portfolio Yield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32.48 %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32.46 %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32.46 %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 Gross Portfolio Yield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31.98 %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31.98 %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31.98 %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3 Month Average Gross Portfolio Yield</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32.35 %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32.34 %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32.34 %</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Portfolio Yield</w:t>
            </w:r>
          </w:p>
        </w:tc>
        <w:tc>
          <w:tcPr>
            <w:tcW w:w="46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(Finance charge collections less defaults allocable to each series divided by the collateral amount)</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 Net Portfolio Yield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23.75 %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23.73 %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23.73 %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(j) Net Portfolio Yield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23.47 %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23.46 %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23.45 %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(k) Net Portfolio Yield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22.95 %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22.95 %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22.95 %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(l) 3 Month Average Net Portfolio Yield</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23.39 %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23.38 %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23.38 %</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Excess Spread Percentage</w:t>
            </w: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Portfolio Yield less Base Rate)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 Net Portfolio Adjusted Yield (current month)</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17.74 %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17.74 %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18.36 %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 Net Portfolio Adjusted Yield (prior month)</w:t>
            </w:r>
          </w:p>
        </w:tc>
        <w:tc>
          <w:tcPr>
            <w:tcW w:w="2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17.46 %</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17.46 %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18.08 %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 Net Portfolio Adjusted Yield (2 months prior)</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16.95 %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16.96 %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(p) Net Portfolio Adjusted Yield (3 month average)</w:t>
            </w:r>
          </w:p>
        </w:tc>
        <w:tc>
          <w:tcPr>
            <w:tcW w:w="22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17.38 %</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17.39 %</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18.00 %</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7" w:right="4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ectPr>
          <w:pgSz w:w="11900" w:h="16838" w:orient="portrait"/>
          <w:cols w:equalWidth="0" w:num="1">
            <w:col w:w="11160"/>
          </w:cols>
          <w:pgMar w:left="34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 PRINCIPAL ACCUMULATION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7890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A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A Principal deposited in the PAA (a + b)</w:t>
      </w:r>
    </w:p>
    <w:p>
      <w:pPr>
        <w:spacing w:after="0" w:line="3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M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M Principal deposited in the PAA (d +e)</w:t>
      </w:r>
    </w:p>
    <w:p>
      <w:pPr>
        <w:spacing w:after="0" w:line="3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B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B Principal deposited in the PAA (g + h)</w:t>
      </w:r>
    </w:p>
    <w:p>
      <w:pPr>
        <w:spacing w:after="0" w:line="311"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C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C Principal deposited in the PAA (j + k)</w:t>
      </w:r>
    </w:p>
    <w:p>
      <w:pPr>
        <w:spacing w:after="0" w:line="311"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PAA balance (c + f + i + 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XI. PRINCIPAL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7890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Payments (to be paid on current distribution date)</w:t>
      </w:r>
    </w:p>
    <w:p>
      <w:pPr>
        <w:spacing w:after="0" w:line="55"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A Principal Paid (a + b)</w:t>
      </w:r>
    </w:p>
    <w:p>
      <w:pPr>
        <w:spacing w:after="0" w:line="257"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Payments (to be paid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M Principal Paid (d + e)</w:t>
      </w:r>
    </w:p>
    <w:p>
      <w:pPr>
        <w:spacing w:after="0" w:line="257"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Payments (to be made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B Principal Paid (g + h)</w:t>
      </w:r>
    </w:p>
    <w:p>
      <w:pPr>
        <w:spacing w:after="0" w:line="257"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Payments (to be made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C Principal Paid (j + k)</w:t>
      </w:r>
    </w:p>
    <w:p>
      <w:pPr>
        <w:spacing w:after="0" w:line="257"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Principal Paid (c + f + i + 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3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Series 2023-A</w:t>
            </w:r>
          </w:p>
        </w:tc>
        <w:tc>
          <w:tcPr>
            <w:tcW w:w="400" w:type="dxa"/>
            <w:vAlign w:val="bottom"/>
          </w:tcPr>
          <w:p>
            <w:pPr>
              <w:spacing w:after="0"/>
              <w:rPr>
                <w:sz w:val="13"/>
                <w:szCs w:val="13"/>
                <w:color w:val="auto"/>
              </w:rPr>
            </w:pPr>
          </w:p>
        </w:tc>
        <w:tc>
          <w:tcPr>
            <w:tcW w:w="12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420" w:type="dxa"/>
            <w:vAlign w:val="bottom"/>
          </w:tcPr>
          <w:p>
            <w:pPr>
              <w:spacing w:after="0"/>
              <w:rPr>
                <w:sz w:val="13"/>
                <w:szCs w:val="13"/>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8"/>
              </w:rPr>
              <w:t>Series 2024-B</w:t>
            </w:r>
          </w:p>
        </w:tc>
      </w:tr>
      <w:tr>
        <w:trPr>
          <w:trHeight w:val="429"/>
        </w:trPr>
        <w:tc>
          <w:tcPr>
            <w:tcW w:w="4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5"/>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5"/>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9"/>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-2376170</wp:posOffset>
            </wp:positionV>
            <wp:extent cx="708914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-2118995</wp:posOffset>
            </wp:positionV>
            <wp:extent cx="70891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-1810385</wp:posOffset>
            </wp:positionV>
            <wp:extent cx="708914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-1553210</wp:posOffset>
            </wp:positionV>
            <wp:extent cx="70891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-1244600</wp:posOffset>
            </wp:positionV>
            <wp:extent cx="708914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-987425</wp:posOffset>
            </wp:positionV>
            <wp:extent cx="70891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-678815</wp:posOffset>
            </wp:positionV>
            <wp:extent cx="708914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-421640</wp:posOffset>
            </wp:positionV>
            <wp:extent cx="70891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-113030</wp:posOffset>
            </wp:positionV>
            <wp:extent cx="708914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2890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7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400" w:type="dxa"/>
            <w:vAlign w:val="bottom"/>
          </w:tcPr>
          <w:p>
            <w:pPr>
              <w:spacing w:after="0"/>
              <w:rPr>
                <w:sz w:val="13"/>
                <w:szCs w:val="13"/>
                <w:color w:val="auto"/>
              </w:rPr>
            </w:pPr>
          </w:p>
        </w:tc>
        <w:tc>
          <w:tcPr>
            <w:tcW w:w="13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400" w:type="dxa"/>
            <w:vAlign w:val="bottom"/>
          </w:tcPr>
          <w:p>
            <w:pPr>
              <w:spacing w:after="0"/>
              <w:rPr>
                <w:sz w:val="13"/>
                <w:szCs w:val="13"/>
                <w:color w:val="auto"/>
              </w:rPr>
            </w:pPr>
          </w:p>
        </w:tc>
        <w:tc>
          <w:tcPr>
            <w:tcW w:w="126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429"/>
        </w:trPr>
        <w:tc>
          <w:tcPr>
            <w:tcW w:w="4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9"/>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9"/>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-2239010</wp:posOffset>
            </wp:positionV>
            <wp:extent cx="705485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-1981835</wp:posOffset>
            </wp:positionV>
            <wp:extent cx="70548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-1707515</wp:posOffset>
            </wp:positionV>
            <wp:extent cx="705485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-1450340</wp:posOffset>
            </wp:positionV>
            <wp:extent cx="70548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-1176020</wp:posOffset>
            </wp:positionV>
            <wp:extent cx="705485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-918845</wp:posOffset>
            </wp:positionV>
            <wp:extent cx="70548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-644525</wp:posOffset>
            </wp:positionV>
            <wp:extent cx="705485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-387350</wp:posOffset>
            </wp:positionV>
            <wp:extent cx="70548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-113030</wp:posOffset>
            </wp:positionV>
            <wp:extent cx="705485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ectPr>
          <w:pgSz w:w="11900" w:h="16838" w:orient="portrait"/>
          <w:cols w:equalWidth="0" w:num="2">
            <w:col w:w="5320" w:space="720"/>
            <w:col w:w="5120"/>
          </w:cols>
          <w:pgMar w:left="340" w:top="117" w:right="39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XII.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Solely with respect to the Series 2023-A, Series 2024-A, and Series 2024-B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Comenity Bank (the “Bank”) hereby confirms that, with reference to the EU Securitization Rules and the UK Securitization Rules, in each case as in effect on the Closing Date:</w:t>
      </w:r>
    </w:p>
    <w:p>
      <w:pPr>
        <w:spacing w:after="0" w:line="244" w:lineRule="exact"/>
        <w:rPr>
          <w:sz w:val="20"/>
          <w:szCs w:val="20"/>
          <w:color w:val="auto"/>
        </w:rPr>
      </w:pPr>
    </w:p>
    <w:p>
      <w:pPr>
        <w:ind w:right="60" w:firstLine="8"/>
        <w:spacing w:after="0" w:line="251" w:lineRule="auto"/>
        <w:tabs>
          <w:tab w:leader="none" w:pos="17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“originator” for purposes of the EU Securitization Rules and UK Securitization Rules, the Bank continues and will continue to retain on an ongoing basis a material net economic interest in the transaction constituted by the issuance of the Series 2023-A Notes,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spacing w:after="0" w:line="211" w:lineRule="exact"/>
        <w:rPr>
          <w:rFonts w:ascii="Times New Roman" w:cs="Times New Roman" w:eastAsia="Times New Roman" w:hAnsi="Times New Roman"/>
          <w:sz w:val="14"/>
          <w:szCs w:val="14"/>
          <w:color w:val="auto"/>
        </w:rPr>
      </w:pPr>
    </w:p>
    <w:p>
      <w:pPr>
        <w:ind w:right="80" w:firstLine="8"/>
        <w:spacing w:after="0" w:line="261" w:lineRule="auto"/>
        <w:tabs>
          <w:tab w:leader="none" w:pos="21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spacing w:after="0" w:line="203" w:lineRule="exact"/>
        <w:rPr>
          <w:rFonts w:ascii="Times New Roman" w:cs="Times New Roman" w:eastAsia="Times New Roman" w:hAnsi="Times New Roman"/>
          <w:sz w:val="14"/>
          <w:szCs w:val="14"/>
          <w:color w:val="auto"/>
        </w:rPr>
      </w:pPr>
    </w:p>
    <w:p>
      <w:pPr>
        <w:ind w:right="640" w:firstLine="8"/>
        <w:spacing w:after="0" w:line="282" w:lineRule="auto"/>
        <w:tabs>
          <w:tab w:leader="none" w:pos="2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changed and will not change the retention option or method of calculation of the material net economic interest referred to in (i), except as permitted under the EU Securitization Rules and the UK Securitization Rules.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803265" cy="711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03265" cy="7118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Comenity Bank, as Servicer</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Wai Chung</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 Chung</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2026-02-17T10:15:26Z</dcterms:created>
  <dcterms:modified xsi:type="dcterms:W3CDTF">2026-02-17T10:15:26Z</dcterms:modified>
</cp:coreProperties>
</file>