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Filed Pursuant to Rule 424(b)(5)</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Registration No. 333-291573</w:t>
            </w:r>
          </w:p>
        </w:tc>
        <w:tc>
          <w:tcPr>
            <w:tcW w:w="0" w:type="dxa"/>
            <w:vAlign w:val="bottom"/>
          </w:tcPr>
          <w:p>
            <w:pPr>
              <w:spacing w:after="0"/>
              <w:rPr>
                <w:sz w:val="1"/>
                <w:szCs w:val="1"/>
                <w:color w:val="auto"/>
              </w:rPr>
            </w:pPr>
          </w:p>
        </w:tc>
      </w:tr>
      <w:tr>
        <w:trPr>
          <w:trHeight w:val="518"/>
        </w:trPr>
        <w:tc>
          <w:tcPr>
            <w:tcW w:w="180" w:type="dxa"/>
            <w:vAlign w:val="bottom"/>
            <w:vMerge w:val="restart"/>
            <w:textDirection w:val="btLr"/>
          </w:tcPr>
          <w:p>
            <w:pPr>
              <w:ind w:left="8"/>
              <w:spacing w:after="0"/>
              <w:rPr>
                <w:sz w:val="20"/>
                <w:szCs w:val="20"/>
                <w:color w:val="auto"/>
              </w:rPr>
            </w:pPr>
            <w:r>
              <w:rPr>
                <w:rFonts w:ascii="Arial" w:cs="Arial" w:eastAsia="Arial" w:hAnsi="Arial"/>
                <w:sz w:val="15"/>
                <w:szCs w:val="15"/>
                <w:b w:val="1"/>
                <w:bCs w:val="1"/>
                <w:color w:val="FF4338"/>
                <w:w w:val="73"/>
              </w:rPr>
              <w:t>andthe</w:t>
            </w:r>
          </w:p>
        </w:tc>
        <w:tc>
          <w:tcPr>
            <w:tcW w:w="340" w:type="dxa"/>
            <w:vAlign w:val="bottom"/>
            <w:vMerge w:val="restart"/>
            <w:textDirection w:val="btLr"/>
          </w:tcPr>
          <w:p>
            <w:pPr>
              <w:ind w:left="39"/>
              <w:spacing w:after="0"/>
              <w:rPr>
                <w:sz w:val="20"/>
                <w:szCs w:val="20"/>
                <w:color w:val="auto"/>
              </w:rPr>
            </w:pPr>
            <w:r>
              <w:rPr>
                <w:rFonts w:ascii="Arial" w:cs="Arial" w:eastAsia="Arial" w:hAnsi="Arial"/>
                <w:sz w:val="18"/>
                <w:szCs w:val="18"/>
                <w:b w:val="1"/>
                <w:bCs w:val="1"/>
                <w:color w:val="FF4338"/>
                <w:w w:val="99"/>
              </w:rPr>
              <w:t>where</w:t>
            </w:r>
          </w:p>
        </w:tc>
        <w:tc>
          <w:tcPr>
            <w:tcW w:w="940" w:type="dxa"/>
            <w:vAlign w:val="bottom"/>
          </w:tcPr>
          <w:p>
            <w:pPr>
              <w:spacing w:after="0"/>
              <w:rPr>
                <w:sz w:val="24"/>
                <w:szCs w:val="24"/>
                <w:color w:val="auto"/>
              </w:rPr>
            </w:pPr>
          </w:p>
        </w:tc>
        <w:tc>
          <w:tcPr>
            <w:tcW w:w="6140" w:type="dxa"/>
            <w:vAlign w:val="bottom"/>
            <w:gridSpan w:val="16"/>
          </w:tcPr>
          <w:p>
            <w:pPr>
              <w:jc w:val="center"/>
              <w:ind w:left="1862"/>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MAY 5, 2026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280" w:type="dxa"/>
            <w:vAlign w:val="bottom"/>
            <w:gridSpan w:val="3"/>
          </w:tcPr>
          <w:p>
            <w:pPr>
              <w:ind w:left="160"/>
              <w:spacing w:after="0" w:line="48" w:lineRule="exact"/>
              <w:rPr>
                <w:sz w:val="20"/>
                <w:szCs w:val="20"/>
                <w:color w:val="auto"/>
              </w:rPr>
            </w:pPr>
            <w:r>
              <w:rPr>
                <w:rFonts w:ascii="Times New Roman" w:cs="Times New Roman" w:eastAsia="Times New Roman" w:hAnsi="Times New Roman"/>
                <w:sz w:val="5"/>
                <w:szCs w:val="5"/>
                <w:b w:val="1"/>
                <w:bCs w:val="1"/>
                <w:color w:val="auto"/>
              </w:rPr>
              <w:t>TO THE PROSPECTUS DATED NOVEMBER 17, 2025</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80" w:type="dxa"/>
            <w:vAlign w:val="bottom"/>
            <w:vMerge w:val="restart"/>
            <w:textDirection w:val="btLr"/>
          </w:tcPr>
          <w:p>
            <w:pPr>
              <w:spacing w:after="0"/>
              <w:rPr>
                <w:sz w:val="20"/>
                <w:szCs w:val="20"/>
                <w:color w:val="auto"/>
              </w:rPr>
            </w:pPr>
            <w:r>
              <w:rPr>
                <w:rFonts w:ascii="Arial" w:cs="Arial" w:eastAsia="Arial" w:hAnsi="Arial"/>
                <w:sz w:val="18"/>
                <w:szCs w:val="18"/>
                <w:b w:val="1"/>
                <w:bCs w:val="1"/>
                <w:color w:val="FF4338"/>
                <w:w w:val="93"/>
              </w:rPr>
              <w:t>supplement</w:t>
            </w:r>
          </w:p>
        </w:tc>
        <w:tc>
          <w:tcPr>
            <w:tcW w:w="340" w:type="dxa"/>
            <w:vAlign w:val="bottom"/>
            <w:vMerge w:val="restart"/>
            <w:textDirection w:val="btLr"/>
          </w:tcPr>
          <w:p>
            <w:pPr>
              <w:ind w:left="39"/>
              <w:spacing w:after="0"/>
              <w:rPr>
                <w:sz w:val="20"/>
                <w:szCs w:val="20"/>
                <w:color w:val="auto"/>
              </w:rPr>
            </w:pPr>
            <w:r>
              <w:rPr>
                <w:rFonts w:ascii="Arial" w:cs="Arial" w:eastAsia="Arial" w:hAnsi="Arial"/>
                <w:sz w:val="18"/>
                <w:szCs w:val="18"/>
                <w:b w:val="1"/>
                <w:bCs w:val="1"/>
                <w:color w:val="FF4338"/>
                <w:w w:val="96"/>
              </w:rPr>
              <w:t>jurisdiction</w:t>
            </w:r>
          </w:p>
        </w:tc>
        <w:tc>
          <w:tcPr>
            <w:tcW w:w="42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2"/>
        </w:trPr>
        <w:tc>
          <w:tcPr>
            <w:tcW w:w="18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42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Each Representing a 1/40th Interest in a Share of     </w:t>
            </w:r>
          </w:p>
        </w:tc>
        <w:tc>
          <w:tcPr>
            <w:tcW w:w="6220" w:type="dxa"/>
            <w:vAlign w:val="bottom"/>
            <w:gridSpan w:val="24"/>
          </w:tcPr>
          <w:p>
            <w:pPr>
              <w:ind w:left="80"/>
              <w:spacing w:after="0"/>
              <w:rPr>
                <w:sz w:val="20"/>
                <w:szCs w:val="20"/>
                <w:color w:val="auto"/>
              </w:rPr>
            </w:pPr>
            <w:r>
              <w:rPr>
                <w:rFonts w:ascii="Times New Roman" w:cs="Times New Roman" w:eastAsia="Times New Roman" w:hAnsi="Times New Roman"/>
                <w:sz w:val="16"/>
                <w:szCs w:val="16"/>
                <w:b w:val="1"/>
                <w:bCs w:val="1"/>
                <w:color w:val="auto"/>
              </w:rPr>
              <w:t>% Fixed Rate Reset Non-Cumulative Perpetual Preferred Stock, Series B</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jc w:val="center"/>
              <w:ind w:left="2"/>
              <w:spacing w:after="0"/>
              <w:rPr>
                <w:sz w:val="20"/>
                <w:szCs w:val="20"/>
                <w:color w:val="auto"/>
              </w:rPr>
            </w:pPr>
            <w:r>
              <w:rPr>
                <w:rFonts w:ascii="Times New Roman" w:cs="Times New Roman" w:eastAsia="Times New Roman" w:hAnsi="Times New Roman"/>
                <w:sz w:val="16"/>
                <w:szCs w:val="16"/>
                <w:b w:val="1"/>
                <w:bCs w:val="1"/>
                <w:color w:val="auto"/>
              </w:rPr>
              <w:t>Depositary Shares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80" w:type="dxa"/>
            <w:vAlign w:val="bottom"/>
            <w:vMerge w:val="restart"/>
            <w:textDirection w:val="btLr"/>
          </w:tcPr>
          <w:p>
            <w:pPr>
              <w:ind w:left="134"/>
              <w:spacing w:after="0"/>
              <w:rPr>
                <w:sz w:val="20"/>
                <w:szCs w:val="20"/>
                <w:color w:val="auto"/>
              </w:rPr>
            </w:pPr>
            <w:r>
              <w:rPr>
                <w:rFonts w:ascii="Arial" w:cs="Arial" w:eastAsia="Arial" w:hAnsi="Arial"/>
                <w:sz w:val="4"/>
                <w:szCs w:val="4"/>
                <w:b w:val="1"/>
                <w:bCs w:val="1"/>
                <w:color w:val="FF4338"/>
                <w:w w:val="78"/>
              </w:rPr>
              <w:t>changed.Thispreliminaryprospectus</w:t>
            </w:r>
          </w:p>
        </w:tc>
        <w:tc>
          <w:tcPr>
            <w:tcW w:w="340" w:type="dxa"/>
            <w:vAlign w:val="bottom"/>
            <w:vMerge w:val="restart"/>
            <w:textDirection w:val="btLr"/>
          </w:tcPr>
          <w:p>
            <w:pPr>
              <w:ind w:left="200"/>
              <w:spacing w:after="0"/>
              <w:rPr>
                <w:sz w:val="20"/>
                <w:szCs w:val="20"/>
                <w:color w:val="auto"/>
              </w:rPr>
            </w:pPr>
            <w:r>
              <w:rPr>
                <w:rFonts w:ascii="Arial" w:cs="Arial" w:eastAsia="Arial" w:hAnsi="Arial"/>
                <w:sz w:val="4"/>
                <w:szCs w:val="4"/>
                <w:b w:val="1"/>
                <w:bCs w:val="1"/>
                <w:color w:val="FF4338"/>
                <w:w w:val="84"/>
              </w:rPr>
              <w:t>anoffertobuythesesecuritiesinany</w:t>
            </w:r>
          </w:p>
        </w:tc>
        <w:tc>
          <w:tcPr>
            <w:tcW w:w="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420" w:type="dxa"/>
            <w:vAlign w:val="bottom"/>
            <w:gridSpan w:val="13"/>
          </w:tcPr>
          <w:p>
            <w:pPr>
              <w:ind w:left="540"/>
              <w:spacing w:after="0"/>
              <w:rPr>
                <w:sz w:val="20"/>
                <w:szCs w:val="20"/>
                <w:color w:val="auto"/>
              </w:rPr>
            </w:pPr>
            <w:r>
              <w:rPr>
                <w:rFonts w:ascii="Times New Roman" w:cs="Times New Roman" w:eastAsia="Times New Roman" w:hAnsi="Times New Roman"/>
                <w:sz w:val="14"/>
                <w:szCs w:val="14"/>
                <w:color w:val="auto"/>
              </w:rPr>
              <w:t xml:space="preserve">We are offering depositary shares, each representing a 1/40th ownership interest in a share of our     </w:t>
            </w:r>
          </w:p>
        </w:tc>
        <w:tc>
          <w:tcPr>
            <w:tcW w:w="4080" w:type="dxa"/>
            <w:vAlign w:val="bottom"/>
            <w:gridSpan w:val="14"/>
          </w:tcPr>
          <w:p>
            <w:pPr>
              <w:ind w:left="60"/>
              <w:spacing w:after="0"/>
              <w:rPr>
                <w:sz w:val="20"/>
                <w:szCs w:val="20"/>
                <w:color w:val="auto"/>
              </w:rPr>
            </w:pPr>
            <w:r>
              <w:rPr>
                <w:rFonts w:ascii="Times New Roman" w:cs="Times New Roman" w:eastAsia="Times New Roman" w:hAnsi="Times New Roman"/>
                <w:sz w:val="14"/>
                <w:szCs w:val="14"/>
                <w:color w:val="auto"/>
              </w:rPr>
              <w:t>% Fixed Rate Reset Non-Cumulative Perpetual Preferred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 Series B, par value $0.01 per share (the “Series B Preferred Stock”), with a liquidation preference of $25 per depositary share (equivalent to $1,000 per share of</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Series B Preferred Stock). As a holder of depositary shares, you will be entitled to all proportional rights and preferences of the Series B Preferred Stock represented</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960" w:type="dxa"/>
            <w:vAlign w:val="bottom"/>
            <w:gridSpan w:val="20"/>
          </w:tcPr>
          <w:p>
            <w:pPr>
              <w:ind w:left="160"/>
              <w:spacing w:after="0"/>
              <w:rPr>
                <w:sz w:val="20"/>
                <w:szCs w:val="20"/>
                <w:color w:val="auto"/>
              </w:rPr>
            </w:pPr>
            <w:r>
              <w:rPr>
                <w:rFonts w:ascii="Times New Roman" w:cs="Times New Roman" w:eastAsia="Times New Roman" w:hAnsi="Times New Roman"/>
                <w:sz w:val="14"/>
                <w:szCs w:val="14"/>
                <w:color w:val="auto"/>
              </w:rPr>
              <w:t>thereby (including dividend, voting, redemption and liquidation rights). You must exercise any such rights through the depositary.</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500" w:type="dxa"/>
            <w:vAlign w:val="bottom"/>
            <w:gridSpan w:val="27"/>
          </w:tcPr>
          <w:p>
            <w:pPr>
              <w:ind w:left="540"/>
              <w:spacing w:after="0"/>
              <w:rPr>
                <w:sz w:val="20"/>
                <w:szCs w:val="20"/>
                <w:color w:val="auto"/>
              </w:rPr>
            </w:pPr>
            <w:r>
              <w:rPr>
                <w:rFonts w:ascii="Times New Roman" w:cs="Times New Roman" w:eastAsia="Times New Roman" w:hAnsi="Times New Roman"/>
                <w:sz w:val="14"/>
                <w:szCs w:val="14"/>
                <w:color w:val="auto"/>
              </w:rPr>
              <w:t>We will pay dividends on the Series B Preferred Stock, when, as, and if declared by our Board of Directors (or a duly authorized committee thereof), to the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extent that we have lawfully available funds to pay dividends, quarterly in arrears on March 15, June 15, September 15, and December 15 of each year, beginning on</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September 15, 2026.</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500" w:type="dxa"/>
            <w:vAlign w:val="bottom"/>
            <w:gridSpan w:val="27"/>
          </w:tcPr>
          <w:p>
            <w:pPr>
              <w:ind w:left="540"/>
              <w:spacing w:after="0"/>
              <w:rPr>
                <w:sz w:val="20"/>
                <w:szCs w:val="20"/>
                <w:color w:val="auto"/>
              </w:rPr>
            </w:pPr>
            <w:r>
              <w:rPr>
                <w:rFonts w:ascii="Times New Roman" w:cs="Times New Roman" w:eastAsia="Times New Roman" w:hAnsi="Times New Roman"/>
                <w:sz w:val="14"/>
                <w:szCs w:val="14"/>
                <w:color w:val="auto"/>
              </w:rPr>
              <w:t>When, as, and if declared by our Board of Directors (or a duly authorized committee thereof), (i) dividends payable from the date of issuance to but excluding</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20" w:type="dxa"/>
            <w:vAlign w:val="bottom"/>
            <w:gridSpan w:val="22"/>
          </w:tcPr>
          <w:p>
            <w:pPr>
              <w:ind w:left="160"/>
              <w:spacing w:after="0" w:line="149" w:lineRule="exact"/>
              <w:rPr>
                <w:sz w:val="20"/>
                <w:szCs w:val="20"/>
                <w:color w:val="auto"/>
              </w:rPr>
            </w:pPr>
            <w:r>
              <w:rPr>
                <w:rFonts w:ascii="Times New Roman" w:cs="Times New Roman" w:eastAsia="Times New Roman" w:hAnsi="Times New Roman"/>
                <w:sz w:val="14"/>
                <w:szCs w:val="14"/>
                <w:color w:val="auto"/>
              </w:rPr>
              <w:t>December 15, 2031 (the “First Reset Date”) will be payable based on the liquidation preference of the Series B Preferred Stock at a rate of  </w:t>
            </w: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 </w:t>
            </w:r>
          </w:p>
        </w:tc>
        <w:tc>
          <w:tcPr>
            <w:tcW w:w="20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 per annum, and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(ii) dividends payable from and including the First Reset Date and each subsequent reset date (as defined below), as applicable, during each reset period, will be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payable based on the liquidation preference of the Series B Preferred Stock at a rate per annum equal to the Five-Year U.S. Treasury Rate as of the most recent reset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dividend determination date (as described elsewhere in this prospectus supplement) plus %. Upon payment of any dividends on the Series B Preferred Stock, holders</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of depositary shares are expected to receive a proportionate payment.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500" w:type="dxa"/>
            <w:vAlign w:val="bottom"/>
            <w:gridSpan w:val="27"/>
          </w:tcPr>
          <w:p>
            <w:pPr>
              <w:ind w:left="540"/>
              <w:spacing w:after="0"/>
              <w:rPr>
                <w:sz w:val="20"/>
                <w:szCs w:val="20"/>
                <w:color w:val="auto"/>
              </w:rPr>
            </w:pPr>
            <w:r>
              <w:rPr>
                <w:rFonts w:ascii="Times New Roman" w:cs="Times New Roman" w:eastAsia="Times New Roman" w:hAnsi="Times New Roman"/>
                <w:sz w:val="14"/>
                <w:szCs w:val="14"/>
                <w:color w:val="auto"/>
              </w:rPr>
              <w:t>Dividends on the Series B Preferred Stock will not be cumulative. If for any reason our Board of Directors (or a duly authorized committee thereof) does not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declare a dividend on the Series B Preferred Stock for any dividend period, that dividend will not accrue or be payable and we will have no obligation to pay dividends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that dividend period, whether or not dividends on the Series B Preferred Stock are declared for any future dividend period. Dividends on the Series B Preferred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 will not be declared, paid or set aside for payment to the extent such act would cause us to fail to comply with applicable laws and regulations. If Bread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Financial ever becomes subject to regulation by the Board of Governors of the Federal Reserve System (the “Federal Reserve”) or otherwise becomes subject to</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regulatory capital requirements under federal banking laws (a “Regulated Institution”), the limitation in the prior sentence will include the capital adequacy regulations</w:t>
            </w:r>
          </w:p>
        </w:tc>
        <w:tc>
          <w:tcPr>
            <w:tcW w:w="0" w:type="dxa"/>
            <w:vAlign w:val="bottom"/>
          </w:tcPr>
          <w:p>
            <w:pPr>
              <w:spacing w:after="0"/>
              <w:rPr>
                <w:sz w:val="1"/>
                <w:szCs w:val="1"/>
                <w:color w:val="auto"/>
              </w:rPr>
            </w:pPr>
          </w:p>
        </w:tc>
      </w:tr>
      <w:tr>
        <w:trPr>
          <w:trHeight w:val="188"/>
        </w:trPr>
        <w:tc>
          <w:tcPr>
            <w:tcW w:w="180" w:type="dxa"/>
            <w:vAlign w:val="bottom"/>
            <w:vMerge w:val="restart"/>
            <w:textDirection w:val="btLr"/>
          </w:tcPr>
          <w:p>
            <w:pPr>
              <w:ind w:left="169"/>
              <w:spacing w:after="0"/>
              <w:rPr>
                <w:sz w:val="20"/>
                <w:szCs w:val="20"/>
                <w:color w:val="auto"/>
              </w:rPr>
            </w:pPr>
            <w:r>
              <w:rPr>
                <w:rFonts w:ascii="Arial" w:cs="Arial" w:eastAsia="Arial" w:hAnsi="Arial"/>
                <w:sz w:val="1"/>
                <w:szCs w:val="1"/>
                <w:b w:val="1"/>
                <w:bCs w:val="1"/>
                <w:color w:val="FF4338"/>
                <w:w w:val="96"/>
              </w:rPr>
              <w:t>prospectussupplementisnotcompleteandmaybe</w:t>
            </w:r>
          </w:p>
        </w:tc>
        <w:tc>
          <w:tcPr>
            <w:tcW w:w="340" w:type="dxa"/>
            <w:vAlign w:val="bottom"/>
            <w:vMerge w:val="restart"/>
            <w:textDirection w:val="btLr"/>
          </w:tcPr>
          <w:p>
            <w:pPr>
              <w:ind w:left="235"/>
              <w:spacing w:after="0"/>
              <w:rPr>
                <w:sz w:val="20"/>
                <w:szCs w:val="20"/>
                <w:color w:val="auto"/>
              </w:rPr>
            </w:pPr>
            <w:r>
              <w:rPr>
                <w:rFonts w:ascii="Arial" w:cs="Arial" w:eastAsia="Arial" w:hAnsi="Arial"/>
                <w:sz w:val="1"/>
                <w:szCs w:val="1"/>
                <w:b w:val="1"/>
                <w:bCs w:val="1"/>
                <w:color w:val="FF4338"/>
                <w:w w:val="97"/>
              </w:rPr>
              <w:t>anoffertosellthesesecuritiesandarenotsoliciting</w:t>
            </w:r>
          </w:p>
        </w:tc>
        <w:tc>
          <w:tcPr>
            <w:tcW w:w="42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and guidelines established by the applicable federal banking agency.</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6900" w:type="dxa"/>
            <w:vAlign w:val="bottom"/>
            <w:gridSpan w:val="16"/>
          </w:tcPr>
          <w:p>
            <w:pPr>
              <w:ind w:left="160"/>
              <w:spacing w:after="0" w:line="31" w:lineRule="exact"/>
              <w:rPr>
                <w:sz w:val="20"/>
                <w:szCs w:val="20"/>
                <w:color w:val="auto"/>
              </w:rPr>
            </w:pPr>
            <w:r>
              <w:rPr>
                <w:rFonts w:ascii="Times New Roman" w:cs="Times New Roman" w:eastAsia="Times New Roman" w:hAnsi="Times New Roman"/>
                <w:sz w:val="3"/>
                <w:szCs w:val="3"/>
                <w:color w:val="auto"/>
              </w:rPr>
              <w:t>(1)   Assumes no exercise of the underwriters’ option to purchase additional depositary shares as described below.</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500" w:type="dxa"/>
            <w:vAlign w:val="bottom"/>
            <w:gridSpan w:val="27"/>
          </w:tcPr>
          <w:p>
            <w:pPr>
              <w:ind w:left="540"/>
              <w:spacing w:after="0" w:line="133" w:lineRule="exact"/>
              <w:rPr>
                <w:sz w:val="20"/>
                <w:szCs w:val="20"/>
                <w:color w:val="auto"/>
              </w:rPr>
            </w:pPr>
            <w:r>
              <w:rPr>
                <w:rFonts w:ascii="Times New Roman" w:cs="Times New Roman" w:eastAsia="Times New Roman" w:hAnsi="Times New Roman"/>
                <w:sz w:val="14"/>
                <w:szCs w:val="14"/>
                <w:color w:val="auto"/>
              </w:rPr>
              <w:t>We may redeem the Series B Preferred Stock at our option, subject to any regulatory approval requirements as are in effect at such time, (1) in whole or in part,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from time to time, on the First Reset Date or any dividend payment date thereafter, at a redemption price equal to $1,000 per share (equivalent to $25 per depositary</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 plus any declared and unpaid dividends, or (2) in whole but not in part, at any time within 90 days following a regulatory capital treatment event (as defined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herein), at a redemption price equal to $1,000 per share (equivalent to $25 per depositary share), plus any declared and unpaid dividends. If Bread Financial ever</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becomes a Regulated Institution, any redemption of the Series B Preferred Stock will be subject to our receipt of any prior approval required by the applicable federal</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banking agency and to the satisfaction of any conditions set forth in applicable regulations and guidelines of such federal banking agency applicable to the redemption</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of the Series B Preferred Stock, including capital regulations and guidelines. See “Description of the Series B Preferred Stock—Redemption—Optional Redemption”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beginning on page S-23 for additional information. If we redeem the Series B Preferred Stock, the depositary is expected to redeem a proportionate number of</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depositary shares.</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500" w:type="dxa"/>
            <w:vAlign w:val="bottom"/>
            <w:gridSpan w:val="27"/>
          </w:tcPr>
          <w:p>
            <w:pPr>
              <w:ind w:left="540"/>
              <w:spacing w:after="0"/>
              <w:rPr>
                <w:sz w:val="20"/>
                <w:szCs w:val="20"/>
                <w:color w:val="auto"/>
              </w:rPr>
            </w:pPr>
            <w:r>
              <w:rPr>
                <w:rFonts w:ascii="Times New Roman" w:cs="Times New Roman" w:eastAsia="Times New Roman" w:hAnsi="Times New Roman"/>
                <w:sz w:val="14"/>
                <w:szCs w:val="14"/>
                <w:color w:val="auto"/>
              </w:rPr>
              <w:t>We will apply to list the depositary shares on the New York Stock Exchange (the “NYSE”) under the symbol “BFH PrB.” Trading of the depositary shares is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500" w:type="dxa"/>
            <w:vAlign w:val="bottom"/>
            <w:gridSpan w:val="27"/>
          </w:tcPr>
          <w:p>
            <w:pPr>
              <w:ind w:left="160"/>
              <w:spacing w:after="0" w:line="149" w:lineRule="exact"/>
              <w:rPr>
                <w:sz w:val="20"/>
                <w:szCs w:val="20"/>
                <w:color w:val="auto"/>
              </w:rPr>
            </w:pPr>
            <w:r>
              <w:rPr>
                <w:rFonts w:ascii="Times New Roman" w:cs="Times New Roman" w:eastAsia="Times New Roman" w:hAnsi="Times New Roman"/>
                <w:sz w:val="14"/>
                <w:szCs w:val="14"/>
                <w:color w:val="auto"/>
              </w:rPr>
              <w:t>expected to commence within the 30-day period following the original issue date of the depositary shares. Our common stock is listed on the NYSE under the symbol</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“BFH.”</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500" w:type="dxa"/>
            <w:vAlign w:val="bottom"/>
            <w:gridSpan w:val="27"/>
          </w:tcPr>
          <w:p>
            <w:pPr>
              <w:ind w:left="540"/>
              <w:spacing w:after="0"/>
              <w:rPr>
                <w:sz w:val="20"/>
                <w:szCs w:val="20"/>
                <w:color w:val="auto"/>
              </w:rPr>
            </w:pPr>
            <w:r>
              <w:rPr>
                <w:rFonts w:ascii="Times New Roman" w:cs="Times New Roman" w:eastAsia="Times New Roman" w:hAnsi="Times New Roman"/>
                <w:sz w:val="14"/>
                <w:szCs w:val="14"/>
                <w:color w:val="auto"/>
              </w:rPr>
              <w:t>The Series B Preferred Stock will not have any voting rights, except the limited ones set forth under “Description of the Series B Preferred Stock—Voting</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Rights” beginning on page S-25.</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60" w:type="dxa"/>
            <w:vAlign w:val="bottom"/>
            <w:gridSpan w:val="20"/>
          </w:tcPr>
          <w:p>
            <w:pPr>
              <w:ind w:left="540"/>
              <w:spacing w:after="0"/>
              <w:rPr>
                <w:sz w:val="20"/>
                <w:szCs w:val="20"/>
                <w:color w:val="auto"/>
              </w:rPr>
            </w:pPr>
            <w:r>
              <w:rPr>
                <w:rFonts w:ascii="Times New Roman" w:cs="Times New Roman" w:eastAsia="Times New Roman" w:hAnsi="Times New Roman"/>
                <w:sz w:val="18"/>
                <w:szCs w:val="18"/>
                <w:b w:val="1"/>
                <w:bCs w:val="1"/>
                <w:color w:val="auto"/>
              </w:rPr>
              <w:t>Investing in the depositary shares involves risks. See “</w:t>
            </w:r>
            <w:r>
              <w:rPr>
                <w:rFonts w:ascii="Times New Roman" w:cs="Times New Roman" w:eastAsia="Times New Roman" w:hAnsi="Times New Roman"/>
                <w:sz w:val="18"/>
                <w:szCs w:val="18"/>
                <w:b w:val="1"/>
                <w:bCs w:val="1"/>
                <w:color w:val="0000EE"/>
              </w:rPr>
              <w:t>Risk Factors</w:t>
            </w:r>
            <w:r>
              <w:rPr>
                <w:rFonts w:ascii="Times New Roman" w:cs="Times New Roman" w:eastAsia="Times New Roman" w:hAnsi="Times New Roman"/>
                <w:sz w:val="18"/>
                <w:szCs w:val="18"/>
                <w:b w:val="1"/>
                <w:bCs w:val="1"/>
                <w:color w:val="auto"/>
              </w:rPr>
              <w:t>” beginning on page S-11.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8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gridSpan w:val="27"/>
          </w:tcPr>
          <w:p>
            <w:pPr>
              <w:ind w:left="540"/>
              <w:spacing w:after="0"/>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other regulatory body has approved or disapproved of these securities or passed</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500" w:type="dxa"/>
            <w:vAlign w:val="bottom"/>
            <w:gridSpan w:val="27"/>
          </w:tcPr>
          <w:p>
            <w:pPr>
              <w:ind w:left="160"/>
              <w:spacing w:after="0"/>
              <w:rPr>
                <w:sz w:val="20"/>
                <w:szCs w:val="20"/>
                <w:color w:val="auto"/>
              </w:rPr>
            </w:pPr>
            <w:r>
              <w:rPr>
                <w:rFonts w:ascii="Times New Roman" w:cs="Times New Roman" w:eastAsia="Times New Roman" w:hAnsi="Times New Roman"/>
                <w:sz w:val="14"/>
                <w:szCs w:val="14"/>
                <w:b w:val="1"/>
                <w:bCs w:val="1"/>
                <w:color w:val="auto"/>
              </w:rPr>
              <w:t>upon the adequacy or accuracy of this prospectus supplement or the accompanying prospectus. Any representation to the contrary is a criminal offense.</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500" w:type="dxa"/>
            <w:vAlign w:val="bottom"/>
            <w:gridSpan w:val="27"/>
          </w:tcPr>
          <w:p>
            <w:pPr>
              <w:ind w:left="540"/>
              <w:spacing w:after="0"/>
              <w:rPr>
                <w:sz w:val="20"/>
                <w:szCs w:val="20"/>
                <w:color w:val="auto"/>
              </w:rPr>
            </w:pPr>
            <w:r>
              <w:rPr>
                <w:rFonts w:ascii="Times New Roman" w:cs="Times New Roman" w:eastAsia="Times New Roman" w:hAnsi="Times New Roman"/>
                <w:sz w:val="14"/>
                <w:szCs w:val="14"/>
                <w:b w:val="1"/>
                <w:bCs w:val="1"/>
                <w:color w:val="auto"/>
              </w:rPr>
              <w:t>Neither the depositary shares nor the Series B Preferred Stock are a savings account, deposit or other obligation of a bank and neither are insured or</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960" w:type="dxa"/>
            <w:vAlign w:val="bottom"/>
            <w:gridSpan w:val="20"/>
          </w:tcPr>
          <w:p>
            <w:pPr>
              <w:ind w:left="160"/>
              <w:spacing w:after="0"/>
              <w:rPr>
                <w:sz w:val="20"/>
                <w:szCs w:val="20"/>
                <w:color w:val="auto"/>
              </w:rPr>
            </w:pPr>
            <w:r>
              <w:rPr>
                <w:rFonts w:ascii="Times New Roman" w:cs="Times New Roman" w:eastAsia="Times New Roman" w:hAnsi="Times New Roman"/>
                <w:sz w:val="14"/>
                <w:szCs w:val="14"/>
                <w:b w:val="1"/>
                <w:bCs w:val="1"/>
                <w:color w:val="auto"/>
              </w:rPr>
              <w:t>guaranteed by the Federal Deposit Insurance Corporation (the “FDIC”) or any other governmental agency or instrumentality.</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Proceeds to Bread</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Underwriting</w:t>
            </w:r>
          </w:p>
        </w:tc>
        <w:tc>
          <w:tcPr>
            <w:tcW w:w="40" w:type="dxa"/>
            <w:vAlign w:val="bottom"/>
          </w:tcPr>
          <w:p>
            <w:pPr>
              <w:spacing w:after="0"/>
              <w:rPr>
                <w:sz w:val="11"/>
                <w:szCs w:val="11"/>
                <w:color w:val="auto"/>
              </w:rPr>
            </w:pPr>
          </w:p>
        </w:tc>
        <w:tc>
          <w:tcPr>
            <w:tcW w:w="2500" w:type="dxa"/>
            <w:vAlign w:val="bottom"/>
            <w:gridSpan w:val="6"/>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Financial (Before</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Public Offering Price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5"/>
          </w:tcPr>
          <w:p>
            <w:pPr>
              <w:spacing w:after="0" w:line="155" w:lineRule="exact"/>
              <w:rPr>
                <w:sz w:val="20"/>
                <w:szCs w:val="20"/>
                <w:color w:val="auto"/>
              </w:rPr>
            </w:pPr>
            <w:r>
              <w:rPr>
                <w:rFonts w:ascii="Times New Roman" w:cs="Times New Roman" w:eastAsia="Times New Roman" w:hAnsi="Times New Roman"/>
                <w:sz w:val="12"/>
                <w:szCs w:val="12"/>
                <w:b w:val="1"/>
                <w:bCs w:val="1"/>
                <w:color w:val="auto"/>
              </w:rPr>
              <w:t>Discount</w:t>
            </w:r>
            <w:r>
              <w:rPr>
                <w:rFonts w:ascii="Times New Roman" w:cs="Times New Roman" w:eastAsia="Times New Roman" w:hAnsi="Times New Roman"/>
                <w:sz w:val="17"/>
                <w:szCs w:val="17"/>
                <w:b w:val="1"/>
                <w:bCs w:val="1"/>
                <w:color w:val="auto"/>
                <w:vertAlign w:val="superscript"/>
              </w:rPr>
              <w:t>(2)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3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depositary share</w:t>
            </w:r>
          </w:p>
        </w:tc>
        <w:tc>
          <w:tcPr>
            <w:tcW w:w="4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center"/>
              <w:ind w:right="17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top w:val="single" w:sz="8" w:color="auto"/>
              <w:righ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0"/>
                <w:szCs w:val="10"/>
                <w:color w:val="auto"/>
              </w:rPr>
              <w:t>(1)</w:t>
            </w:r>
          </w:p>
        </w:tc>
        <w:tc>
          <w:tcPr>
            <w:tcW w:w="980" w:type="dxa"/>
            <w:vAlign w:val="bottom"/>
            <w:gridSpan w:val="3"/>
          </w:tcPr>
          <w:p>
            <w:pPr>
              <w:jc w:val="center"/>
              <w:ind w:left="36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-5467985</wp:posOffset>
            </wp:positionV>
            <wp:extent cx="219456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4560" cy="325755"/>
                    </a:xfrm>
                    <a:prstGeom prst="rect">
                      <a:avLst/>
                    </a:prstGeom>
                    <a:noFill/>
                  </pic:spPr>
                </pic:pic>
              </a:graphicData>
            </a:graphic>
          </wp:anchor>
        </w:drawing>
      </w:r>
    </w:p>
    <w:p>
      <w:pPr>
        <w:spacing w:after="0" w:line="56"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620" w:type="dxa"/>
            <w:vAlign w:val="bottom"/>
            <w:textDirection w:val="btLr"/>
          </w:tcPr>
          <w:p>
            <w:pPr>
              <w:ind w:left="609"/>
              <w:spacing w:after="0"/>
              <w:rPr>
                <w:sz w:val="20"/>
                <w:szCs w:val="20"/>
                <w:color w:val="auto"/>
              </w:rPr>
            </w:pPr>
            <w:r>
              <w:rPr>
                <w:rFonts w:ascii="Arial" w:cs="Arial" w:eastAsia="Arial" w:hAnsi="Arial"/>
                <w:sz w:val="1"/>
                <w:szCs w:val="1"/>
                <w:b w:val="1"/>
                <w:bCs w:val="1"/>
                <w:color w:val="FF4338"/>
                <w:w w:val="8"/>
              </w:rPr>
              <w:t>Theinformationinthispreliminaryaccompanyingprospectusarenottheofferorsaleisnotpermitted.</w:t>
            </w:r>
          </w:p>
        </w:tc>
        <w:tc>
          <w:tcPr>
            <w:tcW w:w="5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(2)   The underwriting discount is calculated using a weighted average amount of $  </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A Stifel Company</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5100" w:type="dxa"/>
            <w:vAlign w:val="bottom"/>
            <w:gridSpan w:val="4"/>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4200" w:type="dxa"/>
            <w:vAlign w:val="bottom"/>
            <w:gridSpan w:val="3"/>
          </w:tcPr>
          <w:p>
            <w:pPr>
              <w:jc w:val="right"/>
              <w:ind w:right="281"/>
              <w:spacing w:after="0" w:line="133" w:lineRule="exact"/>
              <w:rPr>
                <w:sz w:val="20"/>
                <w:szCs w:val="20"/>
                <w:color w:val="auto"/>
              </w:rPr>
            </w:pPr>
            <w:r>
              <w:rPr>
                <w:rFonts w:ascii="Times New Roman" w:cs="Times New Roman" w:eastAsia="Times New Roman" w:hAnsi="Times New Roman"/>
                <w:sz w:val="14"/>
                <w:szCs w:val="14"/>
                <w:color w:val="auto"/>
              </w:rPr>
              <w:t>per depositary share for retail orders (depositary shares) and $per</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9700" w:type="dxa"/>
            <w:vAlign w:val="bottom"/>
            <w:gridSpan w:val="8"/>
          </w:tcPr>
          <w:p>
            <w:pPr>
              <w:ind w:left="440"/>
              <w:spacing w:after="0" w:line="149" w:lineRule="exact"/>
              <w:rPr>
                <w:sz w:val="20"/>
                <w:szCs w:val="20"/>
                <w:color w:val="auto"/>
              </w:rPr>
            </w:pPr>
            <w:r>
              <w:rPr>
                <w:rFonts w:ascii="Times New Roman" w:cs="Times New Roman" w:eastAsia="Times New Roman" w:hAnsi="Times New Roman"/>
                <w:sz w:val="14"/>
                <w:szCs w:val="14"/>
                <w:color w:val="auto"/>
              </w:rPr>
              <w:t>depositary share for institutional orders ( depositary shares). See “Underwriting” for additional disclosure regarding the underwriting discount and estimated</w:t>
            </w: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35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offering expenses payable by us.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5100" w:type="dxa"/>
            <w:vAlign w:val="bottom"/>
            <w:gridSpan w:val="4"/>
          </w:tcPr>
          <w:p>
            <w:pPr>
              <w:ind w:left="440"/>
              <w:spacing w:after="0"/>
              <w:rPr>
                <w:sz w:val="20"/>
                <w:szCs w:val="20"/>
                <w:color w:val="auto"/>
              </w:rPr>
            </w:pPr>
            <w:r>
              <w:rPr>
                <w:rFonts w:ascii="Times New Roman" w:cs="Times New Roman" w:eastAsia="Times New Roman" w:hAnsi="Times New Roman"/>
                <w:sz w:val="14"/>
                <w:szCs w:val="14"/>
                <w:color w:val="auto"/>
              </w:rPr>
              <w:t xml:space="preserve">We have granted the underwriters an option to purchase up to an additional       </w:t>
            </w:r>
          </w:p>
        </w:tc>
        <w:tc>
          <w:tcPr>
            <w:tcW w:w="460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color w:val="auto"/>
              </w:rPr>
              <w:t>depositary shares, at the public offering price less the underwriting discount,</w:t>
            </w: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55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for 30 days after the date of this prospectus supplement solely to cover over-allotments, if any.</w:t>
            </w:r>
          </w:p>
        </w:tc>
        <w:tc>
          <w:tcPr>
            <w:tcW w:w="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9700" w:type="dxa"/>
            <w:vAlign w:val="bottom"/>
            <w:gridSpan w:val="8"/>
          </w:tcPr>
          <w:p>
            <w:pPr>
              <w:ind w:left="440"/>
              <w:spacing w:after="0"/>
              <w:rPr>
                <w:sz w:val="20"/>
                <w:szCs w:val="20"/>
                <w:color w:val="auto"/>
              </w:rPr>
            </w:pPr>
            <w:r>
              <w:rPr>
                <w:rFonts w:ascii="Times New Roman" w:cs="Times New Roman" w:eastAsia="Times New Roman" w:hAnsi="Times New Roman"/>
                <w:sz w:val="14"/>
                <w:szCs w:val="14"/>
                <w:color w:val="auto"/>
              </w:rPr>
              <w:t>We expect to deliver the depositary shares against payment for the depositary shares on or about the date specified in the immediately prior paragraph, which</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55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color w:val="auto"/>
              </w:rPr>
              <w:t>will be the       business day following the date of the pricing of the depositary shares (“T+ </w:t>
            </w:r>
          </w:p>
        </w:tc>
        <w:tc>
          <w:tcPr>
            <w:tcW w:w="4200" w:type="dxa"/>
            <w:vAlign w:val="bottom"/>
            <w:gridSpan w:val="3"/>
          </w:tcPr>
          <w:p>
            <w:pPr>
              <w:jc w:val="right"/>
              <w:ind w:right="121"/>
              <w:spacing w:after="0" w:line="149" w:lineRule="exact"/>
              <w:rPr>
                <w:sz w:val="20"/>
                <w:szCs w:val="20"/>
                <w:color w:val="auto"/>
              </w:rPr>
            </w:pPr>
            <w:r>
              <w:rPr>
                <w:rFonts w:ascii="Times New Roman" w:cs="Times New Roman" w:eastAsia="Times New Roman" w:hAnsi="Times New Roman"/>
                <w:sz w:val="14"/>
                <w:szCs w:val="14"/>
                <w:color w:val="auto"/>
              </w:rPr>
              <w:t>”). Under Rule 15c6-1 under the Securities Exchange Act of 1934, as</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9700" w:type="dxa"/>
            <w:vAlign w:val="bottom"/>
            <w:gridSpan w:val="8"/>
          </w:tcPr>
          <w:p>
            <w:pPr>
              <w:ind w:left="60"/>
              <w:spacing w:after="0" w:line="149" w:lineRule="exact"/>
              <w:rPr>
                <w:sz w:val="20"/>
                <w:szCs w:val="20"/>
                <w:color w:val="auto"/>
              </w:rPr>
            </w:pPr>
            <w:r>
              <w:rPr>
                <w:rFonts w:ascii="Times New Roman" w:cs="Times New Roman" w:eastAsia="Times New Roman" w:hAnsi="Times New Roman"/>
                <w:sz w:val="14"/>
                <w:szCs w:val="14"/>
                <w:color w:val="auto"/>
              </w:rPr>
              <w:t>amended (the “Exchange Act”), trades in the secondary market generally are required to settle in one business day, unless the parties to a trade expressly agree</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9700" w:type="dxa"/>
            <w:vAlign w:val="bottom"/>
            <w:gridSpan w:val="8"/>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otherwise. Accordingly, purchasers who wish to trade depositary shares on any date prior to the business day before the settlement date will be required, by virtue of</w:t>
            </w: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3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fact that the depositary shares initially will settle in T+ </w:t>
            </w:r>
          </w:p>
        </w:tc>
        <w:tc>
          <w:tcPr>
            <w:tcW w:w="6200" w:type="dxa"/>
            <w:vAlign w:val="bottom"/>
            <w:gridSpan w:val="6"/>
          </w:tcPr>
          <w:p>
            <w:pPr>
              <w:jc w:val="right"/>
              <w:ind w:right="1601"/>
              <w:spacing w:after="0"/>
              <w:rPr>
                <w:sz w:val="20"/>
                <w:szCs w:val="20"/>
                <w:color w:val="auto"/>
              </w:rPr>
            </w:pPr>
            <w:r>
              <w:rPr>
                <w:rFonts w:ascii="Times New Roman" w:cs="Times New Roman" w:eastAsia="Times New Roman" w:hAnsi="Times New Roman"/>
                <w:sz w:val="14"/>
                <w:szCs w:val="14"/>
                <w:color w:val="auto"/>
              </w:rPr>
              <w:t>, to specify alternative settlement arrangements to prevent a failed settlement.</w:t>
            </w: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9700" w:type="dxa"/>
            <w:vAlign w:val="bottom"/>
            <w:gridSpan w:val="8"/>
          </w:tcPr>
          <w:p>
            <w:pPr>
              <w:ind w:left="440"/>
              <w:spacing w:after="0"/>
              <w:rPr>
                <w:sz w:val="20"/>
                <w:szCs w:val="20"/>
                <w:color w:val="auto"/>
              </w:rPr>
            </w:pPr>
            <w:r>
              <w:rPr>
                <w:rFonts w:ascii="Times New Roman" w:cs="Times New Roman" w:eastAsia="Times New Roman" w:hAnsi="Times New Roman"/>
                <w:sz w:val="14"/>
                <w:szCs w:val="14"/>
                <w:color w:val="auto"/>
              </w:rPr>
              <w:t>The underwriters expect to deliver the depositary shares to purchasers in book-entry form only through the facilities of The Depository Trust Company, or</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9700" w:type="dxa"/>
            <w:vAlign w:val="bottom"/>
            <w:gridSpan w:val="8"/>
          </w:tcPr>
          <w:p>
            <w:pPr>
              <w:ind w:left="60"/>
              <w:spacing w:after="0" w:line="149" w:lineRule="exact"/>
              <w:rPr>
                <w:sz w:val="20"/>
                <w:szCs w:val="20"/>
                <w:color w:val="auto"/>
              </w:rPr>
            </w:pPr>
            <w:r>
              <w:rPr>
                <w:rFonts w:ascii="Times New Roman" w:cs="Times New Roman" w:eastAsia="Times New Roman" w:hAnsi="Times New Roman"/>
                <w:sz w:val="14"/>
                <w:szCs w:val="14"/>
                <w:color w:val="auto"/>
              </w:rPr>
              <w:t>“DTC”, for the accounts of its participants, including Clearstream Banking S.A., or “Clearstream”, and Euroclear Bank S.A./N.V., or “Euroclear”, against payment in</w:t>
            </w: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3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New York, New York on or about             , 2026.</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Borders>
              <w:bottom w:val="single" w:sz="8" w:color="auto"/>
            </w:tcBorders>
            <w:gridSpan w:val="2"/>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ind w:left="480"/>
              <w:spacing w:after="0"/>
              <w:rPr>
                <w:sz w:val="20"/>
                <w:szCs w:val="20"/>
                <w:color w:val="auto"/>
              </w:rPr>
            </w:pPr>
            <w:r>
              <w:rPr>
                <w:rFonts w:ascii="Times New Roman" w:cs="Times New Roman" w:eastAsia="Times New Roman" w:hAnsi="Times New Roman"/>
                <w:sz w:val="14"/>
                <w:szCs w:val="14"/>
                <w:i w:val="1"/>
                <w:iCs w:val="1"/>
                <w:color w:val="auto"/>
              </w:rPr>
              <w:t>Joint Bookrunners</w:t>
            </w: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Morgan Stanley</w:t>
            </w:r>
          </w:p>
        </w:tc>
        <w:tc>
          <w:tcPr>
            <w:tcW w:w="21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RBC Capital Markets</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UBS Investment Bank</w:t>
            </w:r>
          </w:p>
        </w:tc>
        <w:tc>
          <w:tcPr>
            <w:tcW w:w="210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Wells Fargo Securities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Keefe, Bruyette &amp; Woods</w:t>
            </w:r>
          </w:p>
        </w:tc>
        <w:tc>
          <w:tcPr>
            <w:tcW w:w="0" w:type="dxa"/>
            <w:vAlign w:val="bottom"/>
          </w:tcPr>
          <w:p>
            <w:pPr>
              <w:spacing w:after="0"/>
              <w:rPr>
                <w:sz w:val="1"/>
                <w:szCs w:val="1"/>
                <w:color w:val="auto"/>
              </w:rPr>
            </w:pPr>
          </w:p>
        </w:tc>
      </w:tr>
    </w:tbl>
    <w:p>
      <w:pPr>
        <w:spacing w:after="0" w:line="193" w:lineRule="exact"/>
        <w:rPr>
          <w:sz w:val="24"/>
          <w:szCs w:val="24"/>
          <w:color w:val="auto"/>
        </w:rPr>
      </w:pPr>
    </w:p>
    <w:p>
      <w:pPr>
        <w:sectPr>
          <w:pgSz w:w="11900" w:h="16838" w:orient="portrait"/>
          <w:cols w:equalWidth="0" w:num="1">
            <w:col w:w="11140"/>
          </w:cols>
          <w:pgMar w:left="320" w:top="225"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            , 2026</w:t>
      </w:r>
    </w:p>
    <w:p>
      <w:pPr>
        <w:sectPr>
          <w:pgSz w:w="11900" w:h="16838" w:orient="portrait"/>
          <w:cols w:equalWidth="0" w:num="1">
            <w:col w:w="11140"/>
          </w:cols>
          <w:pgMar w:left="32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5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5"/>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25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840" w:type="dxa"/>
            <w:vAlign w:val="bottom"/>
            <w:gridSpan w:val="5"/>
            <w:vMerge w:val="restart"/>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2540" w:type="dxa"/>
            <w:vAlign w:val="bottom"/>
            <w:gridSpan w:val="11"/>
            <w:vMerge w:val="continue"/>
          </w:tcPr>
          <w:p>
            <w:pPr>
              <w:spacing w:after="0" w:line="20" w:lineRule="exact"/>
              <w:rPr>
                <w:sz w:val="1"/>
                <w:szCs w:val="1"/>
                <w:color w:val="auto"/>
              </w:rPr>
            </w:pPr>
          </w:p>
        </w:tc>
        <w:tc>
          <w:tcPr>
            <w:tcW w:w="1840" w:type="dxa"/>
            <w:vAlign w:val="bottom"/>
            <w:gridSpan w:val="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20" w:type="dxa"/>
            <w:vAlign w:val="bottom"/>
            <w:vMerge w:val="continue"/>
          </w:tcPr>
          <w:p>
            <w:pPr>
              <w:spacing w:after="0"/>
              <w:rPr>
                <w:sz w:val="14"/>
                <w:szCs w:val="14"/>
                <w:color w:val="auto"/>
              </w:rPr>
            </w:pPr>
          </w:p>
        </w:tc>
        <w:tc>
          <w:tcPr>
            <w:tcW w:w="2540" w:type="dxa"/>
            <w:vAlign w:val="bottom"/>
            <w:tcBorders>
              <w:bottom w:val="single" w:sz="8" w:color="0000EE"/>
            </w:tcBorders>
            <w:gridSpan w:val="11"/>
            <w:vMerge w:val="continue"/>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368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Series B Preferred Stock</w:t>
            </w:r>
          </w:p>
        </w:tc>
        <w:tc>
          <w:tcPr>
            <w:tcW w:w="12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S-19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Book-Entry Procedures and Settlement</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S-34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ERISA Considerations</w:t>
            </w:r>
          </w:p>
        </w:tc>
        <w:tc>
          <w:tcPr>
            <w:tcW w:w="2000" w:type="dxa"/>
            <w:vAlign w:val="bottom"/>
            <w:tcBorders>
              <w:top w:val="single" w:sz="8" w:color="0000EE"/>
            </w:tcBorders>
            <w:gridSpan w:val="6"/>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S-39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S-50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8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240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S-51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20" w:type="dxa"/>
            <w:vAlign w:val="bottom"/>
          </w:tcPr>
          <w:p>
            <w:pPr>
              <w:jc w:val="right"/>
              <w:ind w:right="495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18"/>
        </w:trPr>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3000" w:type="dxa"/>
            <w:vAlign w:val="bottom"/>
            <w:gridSpan w:val="7"/>
          </w:tcPr>
          <w:p>
            <w:pPr>
              <w:spacing w:after="0"/>
              <w:rPr>
                <w:sz w:val="24"/>
                <w:szCs w:val="24"/>
                <w:color w:val="auto"/>
              </w:rPr>
            </w:pP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7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80" w:type="dxa"/>
            <w:vAlign w:val="bottom"/>
            <w:tcBorders>
              <w:top w:val="single" w:sz="8" w:color="0000EE"/>
            </w:tcBorders>
          </w:tcPr>
          <w:p>
            <w:pPr>
              <w:spacing w:after="0"/>
              <w:rPr>
                <w:sz w:val="17"/>
                <w:szCs w:val="17"/>
                <w:color w:val="auto"/>
              </w:rPr>
            </w:pPr>
          </w:p>
        </w:tc>
        <w:tc>
          <w:tcPr>
            <w:tcW w:w="1780" w:type="dxa"/>
            <w:vAlign w:val="bottom"/>
            <w:gridSpan w:val="2"/>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0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620" w:type="dxa"/>
            <w:vAlign w:val="bottom"/>
            <w:gridSpan w:val="10"/>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Notes Regarding Forward-Looking Statements</w:t>
            </w:r>
          </w:p>
        </w:tc>
        <w:tc>
          <w:tcPr>
            <w:tcW w:w="420" w:type="dxa"/>
            <w:vAlign w:val="bottom"/>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General Description of Securities</w:t>
            </w:r>
          </w:p>
        </w:tc>
        <w:tc>
          <w:tcPr>
            <w:tcW w:w="2240" w:type="dxa"/>
            <w:vAlign w:val="bottom"/>
            <w:gridSpan w:val="4"/>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3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60" w:type="dxa"/>
            <w:vAlign w:val="bottom"/>
            <w:gridSpan w:val="5"/>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220" w:type="dxa"/>
            <w:vAlign w:val="bottom"/>
            <w:gridSpan w:val="8"/>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640" w:type="dxa"/>
            <w:vAlign w:val="bottom"/>
            <w:gridSpan w:val="11"/>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contains the specific terms of this offering of depositary shares. The second part, the accompanying prospectus dated November 17, 2025, which is part of our Registration Statement on Form S-3, gives more general information, some of which may not apply to this offering.</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by reference in this prospectus supplement may add, update or change information contained in the accompanying prospectus. If there is any inconsistency between the information in this prospectus supplement and the information contained in the accompanying prospectus, the information in this prospectus supplement will apply and will supersede any such information in the accompanying prospectus.</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making your investment decision, it is important for you to read and consider all information contained or incorporated by reference in this prospectus supplement, the accompanying prospectus and any free writing prospectus relating to this offering prepared by us or on our behalf or to which we have referred you. You should also read and consider the information in the documents to which we have referred you in “Where You Can Find More Information” in the accompanying prospectus.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have authorized anyone to provide any information other than that contained in or incorporated by reference in this prospectus supplement, the accompanying prospectus and any free writing prospectus relating to this offering prepared by us or on our behalf or to which we have referred you. We and the underwriters take no responsibility for, and provide no assurance as to the reliability of, any other information that others may give you.</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is making an offer to sell or soliciting offers to buy these securities in any jurisdiction where or to any person to whom the offer or sale is not permitted. The information contained or incorporated by reference in this prospectus supplement, the accompanying prospectus or any free writing prospectus that we may provide you in connection with this offering or other offering material filed by us with the SEC is accurate only as of the date of those documents or information, regardless of the time of delivery of the documents or information or the time of any sale of the securities. Our business, financial condition, results of operations and future growth prospects may have changed since those dates.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has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the context may otherwise require in this prospectus supplement, references to:</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and the “Company” are to BREAD FINANCIAL HOLDINGS, INC. and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are to BREAD FINANCIAL HOLDINGS, INC.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“Banks” are to Comenity Bank and Comenity Capital Bank (wholly-owned subsidiaries of Bread Financial);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“Board” are to Bread Financial’s board of directors.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09" w:lineRule="auto"/>
        <w:rPr>
          <w:sz w:val="20"/>
          <w:szCs w:val="20"/>
          <w:color w:val="auto"/>
        </w:rPr>
      </w:pPr>
      <w:r>
        <w:rPr>
          <w:rFonts w:ascii="Times New Roman" w:cs="Times New Roman" w:eastAsia="Times New Roman" w:hAnsi="Times New Roman"/>
          <w:sz w:val="18"/>
          <w:szCs w:val="18"/>
          <w:color w:val="auto"/>
        </w:rPr>
        <w:t>“Bread Financial” and its logos and other trademarks referred to in this prospectus supplement, including Bread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Financial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Bread Pay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belong to us or our subsidiaries. Solely for convenience, we refer to our trademarks in this prospectus supplement without the TM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that we will not assert, to the fullest extent under applicable law, our rights to our trademarks. Other service marks, trademarks and trade names referred to in this prospectus supplement are the property of their respective owners.</w:t>
      </w:r>
    </w:p>
    <w:p>
      <w:pPr>
        <w:spacing w:after="0" w:line="19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addition, in this prospectus supplement Bread Financial may refer to the retailers and other companies with whom Bread Financial does business as Bread Financial’s “partners”, “brand partners”, or “clients”, provided that the use of the term “partner”, “partnering” or any similar term does not mean or imply a formal legal partnership, and is not meant in any way to alter the terms of Bread Financial’s relationship with any third parties.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This summary is not complete and does not contain all the important information you should consider. Except as noted or where context suggests otherwise, references in this prospectus supplement to “we,” “our,” “us,” “Bread Financial” and “our company” are to Bread Financial Holdings, Inc. and its consolidated subsidiaries. We urge you to carefully read the entire prospectus and the documents incorporated by reference herein, including our consolidated financial statements and accompanying notes, to gain a fuller understanding of our business and the terms of the depositary shares, as well as some of the other considerations that may be important to you, before making your investment decision. You should pay special attention to the “Risk Factors” sections of this prospectus supplement and in our Annual Report on Form 10-K for the year ended December 31, 2025 and our Quarterly Report on Form 10-Q for the quarter ended March 31, 2026 to determine whether an investment in the depositary shares is appropriate for you.</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spacing w:after="0" w:line="183"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w:t>
      </w:r>
    </w:p>
    <w:p>
      <w:pPr>
        <w:spacing w:after="0" w:line="27" w:lineRule="exact"/>
        <w:rPr>
          <w:sz w:val="20"/>
          <w:szCs w:val="20"/>
          <w:color w:val="auto"/>
        </w:rPr>
      </w:pPr>
    </w:p>
    <w:p>
      <w:pPr>
        <w:ind w:left="300" w:hanging="2"/>
        <w:spacing w:after="0" w:line="251" w:lineRule="auto"/>
        <w:tabs>
          <w:tab w:leader="none" w:pos="4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193" w:lineRule="exact"/>
        <w:rPr>
          <w:sz w:val="20"/>
          <w:szCs w:val="20"/>
          <w:color w:val="auto"/>
        </w:rPr>
      </w:pPr>
    </w:p>
    <w:p>
      <w:pPr>
        <w:ind w:left="300" w:right="580" w:firstLine="426"/>
        <w:spacing w:after="0" w:line="289" w:lineRule="auto"/>
        <w:rPr>
          <w:sz w:val="20"/>
          <w:szCs w:val="20"/>
          <w:color w:val="auto"/>
        </w:rPr>
      </w:pPr>
      <w:r>
        <w:rPr>
          <w:rFonts w:ascii="Times New Roman" w:cs="Times New Roman" w:eastAsia="Times New Roman" w:hAnsi="Times New Roman"/>
          <w:sz w:val="17"/>
          <w:szCs w:val="17"/>
          <w:color w:val="auto"/>
        </w:rPr>
        <w:t>Our principal executive offices are located at 3095 Loyalty Circle, Columbus, Ohio 43219 (telephone: (614) 729-4000). Our principal website is www.breadfinancial.com. The information found on our website is not considered part of, or incorporated by reference in, this prospectus supplement. Bread Financial’s common stock is listed on The New York Stock Exchange, trading under the symbol “BFH.”</w:t>
      </w: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27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1127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at www.sec.gov that contains reports, proxy statements and other information regarding issuers, including us, who file electronically with the SEC. The reports and other information filed by us with the SEC are also available on our website located at </w:t>
      </w:r>
      <w:r>
        <w:rPr>
          <w:rFonts w:ascii="Times New Roman" w:cs="Times New Roman" w:eastAsia="Times New Roman" w:hAnsi="Times New Roman"/>
          <w:sz w:val="18"/>
          <w:szCs w:val="18"/>
          <w:i w:val="1"/>
          <w:iCs w:val="1"/>
          <w:color w:val="auto"/>
        </w:rPr>
        <w:t>investor.breadfinancial.com</w:t>
      </w:r>
      <w:r>
        <w:rPr>
          <w:rFonts w:ascii="Times New Roman" w:cs="Times New Roman" w:eastAsia="Times New Roman" w:hAnsi="Times New Roman"/>
          <w:sz w:val="18"/>
          <w:szCs w:val="18"/>
          <w:color w:val="auto"/>
        </w:rPr>
        <w:t>. The web addresses of the SEC and Bread Financial have been included as inactive textual references only. The information contained on those websites is expressly not considered part of, or incorporated by reference into, this prospectus supplement.</w:t>
      </w:r>
    </w:p>
    <w:p>
      <w:pPr>
        <w:spacing w:after="0" w:line="3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720"/>
          </w:cols>
          <w:pgMar w:left="320" w:top="455" w:right="8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0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section, references to “Bread Financial,” “the Issuer,” “we,” “us” and “our” mean BREAD FINANCIAL HOLDINGS, INC., excluding its subsidiaries.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BREAD FINANCIAL HOLDINGS, INC.</w:t>
            </w:r>
          </w:p>
        </w:tc>
      </w:tr>
      <w:tr>
        <w:trPr>
          <w:trHeight w:val="45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9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xml:space="preserve">          </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depositary shares (or           </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depositary shares if the underwriters exercise in</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full their option to purchase additional depositary shares from us), each representing a</w:t>
            </w:r>
          </w:p>
        </w:tc>
      </w:tr>
      <w:tr>
        <w:trPr>
          <w:trHeight w:val="216"/>
        </w:trPr>
        <w:tc>
          <w:tcPr>
            <w:tcW w:w="2840" w:type="dxa"/>
            <w:vAlign w:val="bottom"/>
          </w:tcPr>
          <w:p>
            <w:pPr>
              <w:spacing w:after="0"/>
              <w:rPr>
                <w:sz w:val="18"/>
                <w:szCs w:val="18"/>
                <w:color w:val="auto"/>
              </w:rPr>
            </w:pPr>
          </w:p>
        </w:tc>
        <w:tc>
          <w:tcPr>
            <w:tcW w:w="41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7"/>
              </w:rPr>
              <w:t>1/40th ownership interest in a share of  </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 Fixed Rate Reset Non-Cumulative Perpetual</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Preferred Stock, Series B, par value $0.01 per share (the “Series B Preferred Stock”), with</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 liquidation preference of $25 per depositary share (equivalent to $1,000 per share of</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Series B Preferred Stock). Each holder of a depositary share will be entitled, through the</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depositary, in proportion to the applicable fraction of a share of Series B Preferred Stock</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represented by such depositary share, to all the rights and preferences of the Series B</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Preferred Stock represented thereby (including with respect to dividends, voting,</w:t>
            </w:r>
          </w:p>
        </w:tc>
      </w:tr>
      <w:tr>
        <w:trPr>
          <w:trHeight w:val="234"/>
        </w:trPr>
        <w:tc>
          <w:tcPr>
            <w:tcW w:w="2840" w:type="dxa"/>
            <w:vAlign w:val="bottom"/>
          </w:tcPr>
          <w:p>
            <w:pPr>
              <w:spacing w:after="0"/>
              <w:rPr>
                <w:sz w:val="20"/>
                <w:szCs w:val="20"/>
                <w:color w:val="auto"/>
              </w:rPr>
            </w:pPr>
          </w:p>
        </w:tc>
        <w:tc>
          <w:tcPr>
            <w:tcW w:w="41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redemption and liquidation rights).</w:t>
            </w:r>
          </w:p>
        </w:tc>
        <w:tc>
          <w:tcPr>
            <w:tcW w:w="3640" w:type="dxa"/>
            <w:vAlign w:val="bottom"/>
          </w:tcPr>
          <w:p>
            <w:pPr>
              <w:spacing w:after="0"/>
              <w:rPr>
                <w:sz w:val="20"/>
                <w:szCs w:val="20"/>
                <w:color w:val="auto"/>
              </w:rPr>
            </w:pPr>
          </w:p>
        </w:tc>
      </w:tr>
      <w:tr>
        <w:trPr>
          <w:trHeight w:val="44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Over-allotment Option</w:t>
            </w: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xml:space="preserve">We have granted the underwriters an option to purchase up to an additional          </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depositary shares within 30 days after the date of this prospectus supplement at the public</w:t>
            </w:r>
          </w:p>
        </w:tc>
      </w:tr>
      <w:tr>
        <w:trPr>
          <w:trHeight w:val="234"/>
        </w:trPr>
        <w:tc>
          <w:tcPr>
            <w:tcW w:w="2840" w:type="dxa"/>
            <w:vAlign w:val="bottom"/>
          </w:tcPr>
          <w:p>
            <w:pPr>
              <w:spacing w:after="0"/>
              <w:rPr>
                <w:sz w:val="20"/>
                <w:szCs w:val="20"/>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offering price, less underwriting discount, solely to cover over-allotments, if any.</w:t>
            </w:r>
          </w:p>
        </w:tc>
      </w:tr>
      <w:tr>
        <w:trPr>
          <w:trHeight w:val="44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We will pay dividends on the Series B Preferred Stock, when, as, and if declared by our</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Board of Directors or a duly authorized committee of our Board of Directors to the extent</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that we have lawfully available funds to pay dividends, quarterly in arrears on March 15,</w:t>
            </w:r>
          </w:p>
        </w:tc>
      </w:tr>
      <w:tr>
        <w:trPr>
          <w:trHeight w:val="234"/>
        </w:trPr>
        <w:tc>
          <w:tcPr>
            <w:tcW w:w="2840" w:type="dxa"/>
            <w:vAlign w:val="bottom"/>
          </w:tcPr>
          <w:p>
            <w:pPr>
              <w:spacing w:after="0"/>
              <w:rPr>
                <w:sz w:val="20"/>
                <w:szCs w:val="20"/>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June 15, September 15, and December 15 of each year, beginning on September 15, 2026.</w:t>
            </w:r>
          </w:p>
        </w:tc>
      </w:tr>
      <w:tr>
        <w:trPr>
          <w:trHeight w:val="441"/>
        </w:trPr>
        <w:tc>
          <w:tcPr>
            <w:tcW w:w="2840" w:type="dxa"/>
            <w:vAlign w:val="bottom"/>
          </w:tcPr>
          <w:p>
            <w:pPr>
              <w:spacing w:after="0"/>
              <w:rPr>
                <w:sz w:val="24"/>
                <w:szCs w:val="24"/>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When, as, and if declared by our Board of Directors (or a duly authorized committee</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thereof), (i) dividends payable from the date of issuance to but excluding the First Reset</w:t>
            </w:r>
          </w:p>
        </w:tc>
      </w:tr>
      <w:tr>
        <w:trPr>
          <w:trHeight w:val="216"/>
        </w:trPr>
        <w:tc>
          <w:tcPr>
            <w:tcW w:w="2840" w:type="dxa"/>
            <w:vAlign w:val="bottom"/>
          </w:tcPr>
          <w:p>
            <w:pPr>
              <w:spacing w:after="0"/>
              <w:rPr>
                <w:sz w:val="18"/>
                <w:szCs w:val="18"/>
                <w:color w:val="auto"/>
              </w:rPr>
            </w:pPr>
          </w:p>
        </w:tc>
        <w:tc>
          <w:tcPr>
            <w:tcW w:w="7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Date, will be payable based on the liquidation preference of the Series B Preferred Stock at</w:t>
            </w:r>
          </w:p>
        </w:tc>
      </w:tr>
      <w:tr>
        <w:trPr>
          <w:trHeight w:val="234"/>
        </w:trPr>
        <w:tc>
          <w:tcPr>
            <w:tcW w:w="2840" w:type="dxa"/>
            <w:vAlign w:val="bottom"/>
          </w:tcPr>
          <w:p>
            <w:pPr>
              <w:spacing w:after="0"/>
              <w:rPr>
                <w:sz w:val="20"/>
                <w:szCs w:val="20"/>
                <w:color w:val="auto"/>
              </w:rPr>
            </w:pPr>
          </w:p>
        </w:tc>
        <w:tc>
          <w:tcPr>
            <w:tcW w:w="19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3"/>
              </w:rPr>
              <w:t>a rate of  </w:t>
            </w: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per annum, and (ii) dividends payable from and including the First Reset</w:t>
            </w:r>
          </w:p>
        </w:tc>
      </w:tr>
    </w:tbl>
    <w:p>
      <w:pPr>
        <w:ind w:left="4340" w:right="80"/>
        <w:spacing w:after="0" w:line="265" w:lineRule="auto"/>
        <w:rPr>
          <w:sz w:val="20"/>
          <w:szCs w:val="20"/>
          <w:color w:val="auto"/>
        </w:rPr>
      </w:pPr>
      <w:r>
        <w:rPr>
          <w:rFonts w:ascii="Times New Roman" w:cs="Times New Roman" w:eastAsia="Times New Roman" w:hAnsi="Times New Roman"/>
          <w:sz w:val="17"/>
          <w:szCs w:val="17"/>
          <w:color w:val="auto"/>
        </w:rPr>
        <w:t>Date and each subsequent reset date (as defined below), as applicable, during each reset period, will be payable based on the liquidation preference of the Series B Preferred Stock at a rate per annum equal to the Five-Year U.S. Treasury Rate as of the most recent reset dividend determination date (as described elsewhere in this prospectus supplement) plus</w:t>
      </w:r>
    </w:p>
    <w:p>
      <w:pPr>
        <w:spacing w:after="0" w:line="1" w:lineRule="exact"/>
        <w:rPr>
          <w:sz w:val="20"/>
          <w:szCs w:val="20"/>
          <w:color w:val="auto"/>
        </w:rPr>
      </w:pPr>
    </w:p>
    <w:p>
      <w:pPr>
        <w:ind w:left="4340" w:hanging="5"/>
        <w:spacing w:after="0" w:line="252" w:lineRule="auto"/>
        <w:tabs>
          <w:tab w:leader="none" w:pos="4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“reset date” means the First Reset Date and each date falling on the fifth anniversary of the preceding reset date. A “reset period” means the period from, and including, the First Reset Date to, but excluding, the next following reset date and thereafter each period from, and including, each reset date to, but excluding, the next following reset date. See also “Description of the Series B Preferred Stock—Dividends” on page S-19. Upon payment of any dividends on the Series B Preferred Stock, holders of depositary shares are expected to receive a proportionate payment.</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42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Dividends on the Series B Preferred Stock will not be cumulative. If our Board of Directors or a duly authorized committee of our Board of Directors does not declare a dividend on the Series B Preferred Stock in respect of a dividend period, then no dividend shall be deemed to have accrued for such dividend period, be payable on the applicable dividend payment date, or be cumulative, and we will have no obligation to pay any dividend for that dividend period, whether or not our Board of Directors or a duly authorized committee of our Board of Directors declares a dividend on the Series B Preferred Stock for any future dividend period.</w:t>
      </w:r>
    </w:p>
    <w:p>
      <w:pPr>
        <w:spacing w:after="0" w:line="219" w:lineRule="exact"/>
        <w:rPr>
          <w:sz w:val="20"/>
          <w:szCs w:val="20"/>
          <w:color w:val="auto"/>
        </w:rPr>
      </w:pPr>
    </w:p>
    <w:p>
      <w:pPr>
        <w:jc w:val="both"/>
        <w:ind w:left="4340" w:right="100"/>
        <w:spacing w:after="0" w:line="266" w:lineRule="auto"/>
        <w:rPr>
          <w:sz w:val="20"/>
          <w:szCs w:val="20"/>
          <w:color w:val="auto"/>
        </w:rPr>
      </w:pPr>
      <w:r>
        <w:rPr>
          <w:rFonts w:ascii="Times New Roman" w:cs="Times New Roman" w:eastAsia="Times New Roman" w:hAnsi="Times New Roman"/>
          <w:sz w:val="18"/>
          <w:szCs w:val="18"/>
          <w:color w:val="auto"/>
        </w:rPr>
        <w:t>If Bread Financial ever becomes a Regulated Institution, our ability to pay dividends will be subject to bank regulatory requirements, including the capital adequacy regulations and guidelines established by the applicable federal banking agency.</w:t>
      </w:r>
    </w:p>
    <w:p>
      <w:pPr>
        <w:spacing w:after="0" w:line="203" w:lineRule="exact"/>
        <w:rPr>
          <w:sz w:val="20"/>
          <w:szCs w:val="20"/>
          <w:color w:val="auto"/>
        </w:rPr>
      </w:pPr>
    </w:p>
    <w:p>
      <w:pPr>
        <w:jc w:val="both"/>
        <w:ind w:left="4340" w:right="180"/>
        <w:spacing w:after="0" w:line="289" w:lineRule="auto"/>
        <w:rPr>
          <w:sz w:val="20"/>
          <w:szCs w:val="20"/>
          <w:color w:val="auto"/>
        </w:rPr>
      </w:pPr>
      <w:r>
        <w:rPr>
          <w:rFonts w:ascii="Times New Roman" w:cs="Times New Roman" w:eastAsia="Times New Roman" w:hAnsi="Times New Roman"/>
          <w:sz w:val="17"/>
          <w:szCs w:val="17"/>
          <w:color w:val="auto"/>
        </w:rPr>
        <w:t>While the Series B Preferred Stock is outstanding, unless, in each case, the full dividends for the preceding dividend period on all outstanding shares of preferred stock have been paid in full or declared and a sum sufficient for the payment thereof has been set aside:</w:t>
      </w:r>
    </w:p>
    <w:p>
      <w:pPr>
        <w:spacing w:after="0" w:line="185" w:lineRule="exact"/>
        <w:rPr>
          <w:sz w:val="20"/>
          <w:szCs w:val="20"/>
          <w:color w:val="auto"/>
        </w:rPr>
      </w:pPr>
    </w:p>
    <w:p>
      <w:pPr>
        <w:ind w:left="4520" w:right="100" w:hanging="185"/>
        <w:spacing w:after="0" w:line="282" w:lineRule="auto"/>
        <w:tabs>
          <w:tab w:leader="none" w:pos="4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will be declared or paid or set aside for payment and no distribution will be declared or made or set aside for payment on any junior stock, other than:</w:t>
      </w:r>
    </w:p>
    <w:p>
      <w:pPr>
        <w:spacing w:after="0" w:line="67" w:lineRule="exact"/>
        <w:rPr>
          <w:rFonts w:ascii="Times New Roman" w:cs="Times New Roman" w:eastAsia="Times New Roman" w:hAnsi="Times New Roman"/>
          <w:sz w:val="18"/>
          <w:szCs w:val="18"/>
          <w:color w:val="auto"/>
        </w:rPr>
      </w:pPr>
    </w:p>
    <w:p>
      <w:pPr>
        <w:ind w:left="4840" w:hanging="289"/>
        <w:spacing w:after="0"/>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payable solely in junior stock, or</w:t>
      </w:r>
    </w:p>
    <w:p>
      <w:pPr>
        <w:spacing w:after="0" w:line="130" w:lineRule="exact"/>
        <w:rPr>
          <w:rFonts w:ascii="Times New Roman" w:cs="Times New Roman" w:eastAsia="Times New Roman" w:hAnsi="Times New Roman"/>
          <w:sz w:val="18"/>
          <w:szCs w:val="18"/>
          <w:color w:val="auto"/>
        </w:rPr>
      </w:pPr>
    </w:p>
    <w:p>
      <w:pPr>
        <w:ind w:left="4840" w:right="200" w:hanging="289"/>
        <w:spacing w:after="0" w:line="282"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in connection with the implementation of a shareholders’ rights plan or the redemption or repurchase of any rights under any such plan;</w:t>
      </w:r>
    </w:p>
    <w:p>
      <w:pPr>
        <w:spacing w:after="0" w:line="67" w:lineRule="exact"/>
        <w:rPr>
          <w:rFonts w:ascii="Times New Roman" w:cs="Times New Roman" w:eastAsia="Times New Roman" w:hAnsi="Times New Roman"/>
          <w:sz w:val="18"/>
          <w:szCs w:val="18"/>
          <w:color w:val="auto"/>
        </w:rPr>
      </w:pPr>
    </w:p>
    <w:p>
      <w:pPr>
        <w:ind w:left="4520" w:right="140" w:hanging="185"/>
        <w:spacing w:after="0" w:line="266" w:lineRule="auto"/>
        <w:tabs>
          <w:tab w:leader="none" w:pos="4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stock shall be repurchased, redeemed or otherwise acquired for consideration by us, directly or indirectly (nor shall any monies be paid to or made available for a sinking fund for the redemption of any such securities by us) other than:</w:t>
      </w:r>
    </w:p>
    <w:p>
      <w:pPr>
        <w:spacing w:after="0" w:line="81" w:lineRule="exact"/>
        <w:rPr>
          <w:rFonts w:ascii="Times New Roman" w:cs="Times New Roman" w:eastAsia="Times New Roman" w:hAnsi="Times New Roman"/>
          <w:sz w:val="18"/>
          <w:szCs w:val="18"/>
          <w:color w:val="auto"/>
        </w:rPr>
      </w:pPr>
    </w:p>
    <w:p>
      <w:pPr>
        <w:ind w:left="4840" w:hanging="289"/>
        <w:spacing w:after="0"/>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junior stock for or into other junior stock;</w:t>
      </w:r>
    </w:p>
    <w:p>
      <w:pPr>
        <w:spacing w:after="0" w:line="130" w:lineRule="exact"/>
        <w:rPr>
          <w:rFonts w:ascii="Times New Roman" w:cs="Times New Roman" w:eastAsia="Times New Roman" w:hAnsi="Times New Roman"/>
          <w:sz w:val="18"/>
          <w:szCs w:val="18"/>
          <w:color w:val="auto"/>
        </w:rPr>
      </w:pPr>
    </w:p>
    <w:p>
      <w:pPr>
        <w:ind w:left="4840" w:right="120" w:hanging="289"/>
        <w:spacing w:after="0" w:line="282"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one share of junior stock for or into another share of junior stock;</w:t>
      </w:r>
    </w:p>
    <w:p>
      <w:pPr>
        <w:spacing w:after="0" w:line="67" w:lineRule="exact"/>
        <w:rPr>
          <w:rFonts w:ascii="Times New Roman" w:cs="Times New Roman" w:eastAsia="Times New Roman" w:hAnsi="Times New Roman"/>
          <w:sz w:val="18"/>
          <w:szCs w:val="18"/>
          <w:color w:val="auto"/>
        </w:rPr>
      </w:pPr>
    </w:p>
    <w:p>
      <w:pPr>
        <w:ind w:left="4840" w:right="320" w:hanging="289"/>
        <w:spacing w:after="0" w:line="282"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use of the proceeds of a substantially contemporaneous sale of other shares of junior stock;</w:t>
      </w:r>
    </w:p>
    <w:p>
      <w:pPr>
        <w:spacing w:after="0" w:line="67" w:lineRule="exact"/>
        <w:rPr>
          <w:rFonts w:ascii="Times New Roman" w:cs="Times New Roman" w:eastAsia="Times New Roman" w:hAnsi="Times New Roman"/>
          <w:sz w:val="18"/>
          <w:szCs w:val="18"/>
          <w:color w:val="auto"/>
        </w:rPr>
      </w:pPr>
    </w:p>
    <w:p>
      <w:pPr>
        <w:ind w:left="4840" w:right="20" w:hanging="289"/>
        <w:spacing w:after="0" w:line="266"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other acquisitions of shares of the junior stock in connection with any employment contract, benefit plan or other similar arrangement with or for the benefit of employees, officers, directors or consultants;</w:t>
      </w:r>
    </w:p>
    <w:p>
      <w:pPr>
        <w:spacing w:after="0" w:line="81" w:lineRule="exact"/>
        <w:rPr>
          <w:rFonts w:ascii="Times New Roman" w:cs="Times New Roman" w:eastAsia="Times New Roman" w:hAnsi="Times New Roman"/>
          <w:sz w:val="18"/>
          <w:szCs w:val="18"/>
          <w:color w:val="auto"/>
        </w:rPr>
      </w:pPr>
    </w:p>
    <w:p>
      <w:pPr>
        <w:jc w:val="both"/>
        <w:ind w:left="4840" w:right="120" w:hanging="289"/>
        <w:spacing w:after="0" w:line="266"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junior stock pursuant to a contractually binding requirement to buy junior stock existing prior to the preceding dividend period, including under a contractually binding stock repurchase plan;</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8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40" w:right="12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fractional interests in shares of junior stock pursuant to the conversion or exchange provisions of such stock or the security being converted or exchanged; or</w:t>
      </w:r>
    </w:p>
    <w:p>
      <w:pPr>
        <w:spacing w:after="0" w:line="81" w:lineRule="exact"/>
        <w:rPr>
          <w:rFonts w:ascii="Times New Roman" w:cs="Times New Roman" w:eastAsia="Times New Roman" w:hAnsi="Times New Roman"/>
          <w:sz w:val="18"/>
          <w:szCs w:val="18"/>
          <w:color w:val="auto"/>
        </w:rPr>
      </w:pPr>
    </w:p>
    <w:p>
      <w:pPr>
        <w:ind w:left="4840" w:right="6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us or any of our subsidiaries of record ownership in junior stock for the beneficial ownership of any other persons (other than for the beneficial ownership by us or any of our subsidiaries), including as trustees or custodians; and</w:t>
      </w:r>
    </w:p>
    <w:p>
      <w:pPr>
        <w:spacing w:after="0" w:line="81" w:lineRule="exact"/>
        <w:rPr>
          <w:rFonts w:ascii="Times New Roman" w:cs="Times New Roman" w:eastAsia="Times New Roman" w:hAnsi="Times New Roman"/>
          <w:sz w:val="18"/>
          <w:szCs w:val="18"/>
          <w:color w:val="auto"/>
        </w:rPr>
      </w:pPr>
    </w:p>
    <w:p>
      <w:pPr>
        <w:ind w:left="4520" w:right="120" w:hanging="185"/>
        <w:spacing w:after="0" w:line="258" w:lineRule="auto"/>
        <w:tabs>
          <w:tab w:leader="none" w:pos="4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stock, including our outstanding 8.625% Non-Cumulative Perpetual Preferred Stock, Series A (the “Series A Preferred Stock”), shall be repurchased, redeemed or otherwise acquired for consideration by us, directly or indirectly (nor shall any monies be paid to or made available for a sinking fund for the redemption of any such securities by us), during a dividend period, other than:</w:t>
      </w:r>
    </w:p>
    <w:p>
      <w:pPr>
        <w:spacing w:after="0" w:line="88" w:lineRule="exact"/>
        <w:rPr>
          <w:rFonts w:ascii="Times New Roman" w:cs="Times New Roman" w:eastAsia="Times New Roman" w:hAnsi="Times New Roman"/>
          <w:sz w:val="18"/>
          <w:szCs w:val="18"/>
          <w:color w:val="auto"/>
        </w:rPr>
      </w:pPr>
    </w:p>
    <w:p>
      <w:pPr>
        <w:ind w:left="4840" w:right="500" w:hanging="289"/>
        <w:spacing w:after="0" w:line="282"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pro rata offers to purchase all, or a pro rata portion of the Series B Preferred Stock and such parity stock;</w:t>
      </w:r>
    </w:p>
    <w:p>
      <w:pPr>
        <w:spacing w:after="0" w:line="67" w:lineRule="exact"/>
        <w:rPr>
          <w:rFonts w:ascii="Times New Roman" w:cs="Times New Roman" w:eastAsia="Times New Roman" w:hAnsi="Times New Roman"/>
          <w:sz w:val="18"/>
          <w:szCs w:val="18"/>
          <w:color w:val="auto"/>
        </w:rPr>
      </w:pPr>
    </w:p>
    <w:p>
      <w:pPr>
        <w:ind w:left="4840" w:hanging="289"/>
        <w:spacing w:after="0"/>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parity stock for or into other parity stock;</w:t>
      </w:r>
    </w:p>
    <w:p>
      <w:pPr>
        <w:spacing w:after="0" w:line="130" w:lineRule="exact"/>
        <w:rPr>
          <w:rFonts w:ascii="Times New Roman" w:cs="Times New Roman" w:eastAsia="Times New Roman" w:hAnsi="Times New Roman"/>
          <w:sz w:val="18"/>
          <w:szCs w:val="18"/>
          <w:color w:val="auto"/>
        </w:rPr>
      </w:pPr>
    </w:p>
    <w:p>
      <w:pPr>
        <w:ind w:left="4840" w:right="280" w:hanging="289"/>
        <w:spacing w:after="0" w:line="282"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parity stock for or into other parity stock or junior stock;</w:t>
      </w:r>
    </w:p>
    <w:p>
      <w:pPr>
        <w:spacing w:after="0" w:line="67" w:lineRule="exact"/>
        <w:rPr>
          <w:rFonts w:ascii="Times New Roman" w:cs="Times New Roman" w:eastAsia="Times New Roman" w:hAnsi="Times New Roman"/>
          <w:sz w:val="18"/>
          <w:szCs w:val="18"/>
          <w:color w:val="auto"/>
        </w:rPr>
      </w:pPr>
    </w:p>
    <w:p>
      <w:pPr>
        <w:ind w:left="4840" w:right="320" w:hanging="289"/>
        <w:spacing w:after="0" w:line="282"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use of the proceeds of a substantially contemporaneous sale of other shares of parity stock;</w:t>
      </w:r>
    </w:p>
    <w:p>
      <w:pPr>
        <w:spacing w:after="0" w:line="67" w:lineRule="exact"/>
        <w:rPr>
          <w:rFonts w:ascii="Times New Roman" w:cs="Times New Roman" w:eastAsia="Times New Roman" w:hAnsi="Times New Roman"/>
          <w:sz w:val="18"/>
          <w:szCs w:val="18"/>
          <w:color w:val="auto"/>
        </w:rPr>
      </w:pPr>
    </w:p>
    <w:p>
      <w:pPr>
        <w:ind w:left="484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parity stock pursuant to a contractually binding requirement to buy parity stock existing prior to the preceding dividend period, including under a contractually binding stock repurchase plan;</w:t>
      </w:r>
    </w:p>
    <w:p>
      <w:pPr>
        <w:spacing w:after="0" w:line="81" w:lineRule="exact"/>
        <w:rPr>
          <w:rFonts w:ascii="Times New Roman" w:cs="Times New Roman" w:eastAsia="Times New Roman" w:hAnsi="Times New Roman"/>
          <w:sz w:val="18"/>
          <w:szCs w:val="18"/>
          <w:color w:val="auto"/>
        </w:rPr>
      </w:pPr>
    </w:p>
    <w:p>
      <w:pPr>
        <w:ind w:left="4840" w:right="12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fractional interests in shares of parity stock pursuant to the conversion or exchange provisions of such stock or the security being converted or exchanged; or</w:t>
      </w:r>
    </w:p>
    <w:p>
      <w:pPr>
        <w:spacing w:after="0" w:line="81" w:lineRule="exact"/>
        <w:rPr>
          <w:rFonts w:ascii="Times New Roman" w:cs="Times New Roman" w:eastAsia="Times New Roman" w:hAnsi="Times New Roman"/>
          <w:sz w:val="18"/>
          <w:szCs w:val="18"/>
          <w:color w:val="auto"/>
        </w:rPr>
      </w:pPr>
    </w:p>
    <w:p>
      <w:pPr>
        <w:ind w:left="4840" w:right="16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us or any of our subsidiaries of record ownership in parity stock for the beneficial ownership of any other persons (other than for the beneficial ownership by us or any of our subsidiaries), including as trustees or custodians.</w:t>
      </w:r>
    </w:p>
    <w:p>
      <w:pPr>
        <w:spacing w:after="0" w:line="203" w:lineRule="exact"/>
        <w:rPr>
          <w:sz w:val="20"/>
          <w:szCs w:val="20"/>
          <w:color w:val="auto"/>
        </w:rPr>
      </w:pPr>
    </w:p>
    <w:p>
      <w:pPr>
        <w:ind w:left="4340" w:right="100"/>
        <w:spacing w:after="0" w:line="253" w:lineRule="auto"/>
        <w:rPr>
          <w:sz w:val="20"/>
          <w:szCs w:val="20"/>
          <w:color w:val="auto"/>
        </w:rPr>
      </w:pPr>
      <w:r>
        <w:rPr>
          <w:rFonts w:ascii="Times New Roman" w:cs="Times New Roman" w:eastAsia="Times New Roman" w:hAnsi="Times New Roman"/>
          <w:sz w:val="18"/>
          <w:szCs w:val="18"/>
          <w:color w:val="auto"/>
        </w:rPr>
        <w:t>While the Series B Preferred Stock is outstanding, unless the full dividends for the preceding dividend period on all outstanding shares of Series B Preferred Stock have been paid in full or declared and a sum sufficient for the payment thereof has been set aside, no dividend will be declared or paid or set aside for payment and no distribution will be declared or made or set aside for payment on any securities that rank equally with the Series B Preferred Stock. When dividends are not paid in full upon the shares of Series B Preferred Stock and any parity stock, including the Series A Preferred Stock, all dividends declared upon shares of Series B Preferred Stock and parity stock will be declared on a proportional basis so that the amount of dividends declared per share will bear to each other the same ratio that dividends payable for the</w:t>
      </w: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00" w:type="dxa"/>
            <w:vAlign w:val="bottom"/>
            <w:tcBorders>
              <w:top w:val="single" w:sz="8" w:color="auto"/>
              <w:left w:val="single" w:sz="8" w:color="auto"/>
            </w:tcBorders>
          </w:tcPr>
          <w:p>
            <w:pPr>
              <w:spacing w:after="0"/>
              <w:rPr>
                <w:sz w:val="24"/>
                <w:szCs w:val="24"/>
                <w:color w:val="auto"/>
              </w:rPr>
            </w:pPr>
          </w:p>
        </w:tc>
        <w:tc>
          <w:tcPr>
            <w:tcW w:w="792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then-current dividend period per share on Series B Preferred Stock, and dividends payable,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including any accumulations on parity stock, including the Series A Preferred Stock, bear</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to each other.</w:t>
            </w:r>
          </w:p>
        </w:tc>
      </w:tr>
      <w:tr>
        <w:trPr>
          <w:trHeight w:val="454"/>
        </w:trPr>
        <w:tc>
          <w:tcPr>
            <w:tcW w:w="31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If Bread Financial ever becomes a Regulated Institution, dividends on the Series B</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Preferred Stock will not be declared, paid or set aside for payment to the extent such act</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would cause us to fail to comply with applicable laws and regulations, including applicable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capital adequacy regulations and guidelines of the applicable federal banking agency. See</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“Description of the Series B Preferred Stock—Dividends” beginning on page S-19.</w:t>
            </w:r>
          </w:p>
        </w:tc>
      </w:tr>
      <w:tr>
        <w:trPr>
          <w:trHeight w:val="441"/>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Payment Dates</w:t>
            </w: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Dividends on the Series B Preferred Stock will be payable when, as, and if declared by our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Board of Directors or a duly authorized committee of our Board of Directors, quarterly in</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arrears on March 15, June 15, September 15, and December 15 of each year, beginning on</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September 15, 2026 (each a “dividend payment date”). If any date on which dividends</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would otherwise be payable is not a business day, then such dividends will be paid on the</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next business day without any adjustment to the amount of dividends paid.</w:t>
            </w:r>
          </w:p>
        </w:tc>
      </w:tr>
      <w:tr>
        <w:trPr>
          <w:trHeight w:val="441"/>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 Series B Preferred Stock is perpetual and has no maturity date. Subject to any</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regulatory approval requirements as are in effect at such time, we may redeem the Series B</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Preferred Stock at our option, (i) in whole or in part, from time to time, on the First Reset</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Date or any dividend payment date thereafter, at a redemption price equal to $1,000 per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share (equivalent to $25 per depositary share), plus any declared and unpaid dividends, or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(ii) in whole but not in part, at any time within 90 days following a regulatory capital</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treatment event (as defined herein), at a redemption price equal to $1,000 per share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(equivalent to $25 per depositary share), plus any declared and unpaid dividends. If we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redeem the Series B Preferred Stock, the depositary will redeem a proportionate number of</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depositary shares. Neither the holders of Series B Preferred Stock nor holders of depositary</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shares will have the right to require the redemption or repurchase of the Series B Preferred</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Stock.</w:t>
            </w:r>
          </w:p>
        </w:tc>
      </w:tr>
      <w:tr>
        <w:trPr>
          <w:trHeight w:val="441"/>
        </w:trPr>
        <w:tc>
          <w:tcPr>
            <w:tcW w:w="31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If Bread Financial ever becomes a Regulated Institution, any redemption of the Series B</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Preferred Stock will be subject to our receipt of prior approval by the applicable federal</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banking agency and to the satisfaction of any conditions set forth in the applicable capital</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adequacy regulations and guidelines of such federal banking agency applicable to</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redemption of the Series B Preferred Stock.</w:t>
            </w:r>
          </w:p>
        </w:tc>
      </w:tr>
      <w:tr>
        <w:trPr>
          <w:trHeight w:val="441"/>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Liquidation Rights</w:t>
            </w: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 the event we liquidate, dissolve or wind-up our business and affairs, either voluntarily or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involuntarily, holders of the Series B Preferred Stock are entitled to receive a liquidating</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distribution of $1,000 per share (equivalent to $25 per depositary share), plus any declared</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and unpaid dividends, without accumulation of any undeclared dividends before we make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any distribution of assets to the holders of our common stock or any other class or series of</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shares of junior stock.</w:t>
            </w:r>
          </w:p>
        </w:tc>
      </w:tr>
      <w:tr>
        <w:trPr>
          <w:trHeight w:val="172"/>
        </w:trPr>
        <w:tc>
          <w:tcPr>
            <w:tcW w:w="3100" w:type="dxa"/>
            <w:vAlign w:val="bottom"/>
            <w:tcBorders>
              <w:left w:val="single" w:sz="8" w:color="auto"/>
              <w:bottom w:val="single" w:sz="8" w:color="auto"/>
            </w:tcBorders>
          </w:tcPr>
          <w:p>
            <w:pPr>
              <w:spacing w:after="0"/>
              <w:rPr>
                <w:sz w:val="14"/>
                <w:szCs w:val="14"/>
                <w:color w:val="auto"/>
              </w:rPr>
            </w:pPr>
          </w:p>
        </w:tc>
        <w:tc>
          <w:tcPr>
            <w:tcW w:w="7920" w:type="dxa"/>
            <w:vAlign w:val="bottom"/>
            <w:tcBorders>
              <w:bottom w:val="single" w:sz="8" w:color="auto"/>
              <w:right w:val="single" w:sz="8" w:color="auto"/>
            </w:tcBorders>
          </w:tcPr>
          <w:p>
            <w:pPr>
              <w:spacing w:after="0"/>
              <w:rPr>
                <w:sz w:val="14"/>
                <w:szCs w:val="14"/>
                <w:color w:val="auto"/>
              </w:rPr>
            </w:pPr>
          </w:p>
        </w:tc>
      </w:tr>
      <w:tr>
        <w:trPr>
          <w:trHeight w:val="361"/>
        </w:trPr>
        <w:tc>
          <w:tcPr>
            <w:tcW w:w="3100" w:type="dxa"/>
            <w:vAlign w:val="bottom"/>
          </w:tcPr>
          <w:p>
            <w:pPr>
              <w:spacing w:after="0"/>
              <w:rPr>
                <w:sz w:val="24"/>
                <w:szCs w:val="24"/>
                <w:color w:val="auto"/>
              </w:rPr>
            </w:pPr>
          </w:p>
        </w:tc>
        <w:tc>
          <w:tcPr>
            <w:tcW w:w="79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460" w:type="dxa"/>
            <w:vAlign w:val="bottom"/>
            <w:tcBorders>
              <w:top w:val="single" w:sz="8" w:color="auto"/>
              <w:left w:val="single" w:sz="8" w:color="auto"/>
            </w:tcBorders>
          </w:tcPr>
          <w:p>
            <w:pPr>
              <w:spacing w:after="0"/>
              <w:rPr>
                <w:sz w:val="24"/>
                <w:szCs w:val="24"/>
                <w:color w:val="auto"/>
              </w:rPr>
            </w:pPr>
          </w:p>
        </w:tc>
        <w:tc>
          <w:tcPr>
            <w:tcW w:w="75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Distributions will be made only to the extent of our assets that are available after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satisfaction of all liabilities to creditors and subject to the rights of holders of any securities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ranking senior to the Series B Preferred Stock and pro rata as to the Series B Preferred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Stock and any other shares of our stock ranking equally as to such distribution, including</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Series A Preferred Stock.</w:t>
            </w:r>
          </w:p>
        </w:tc>
      </w:tr>
      <w:tr>
        <w:trPr>
          <w:trHeight w:val="459"/>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Shares of the Series B Preferred Stock:</w:t>
            </w:r>
          </w:p>
        </w:tc>
      </w:tr>
      <w:tr>
        <w:trPr>
          <w:trHeight w:val="351"/>
        </w:trPr>
        <w:tc>
          <w:tcPr>
            <w:tcW w:w="346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will rank senior to our common stock,</w:t>
            </w:r>
          </w:p>
        </w:tc>
      </w:tr>
      <w:tr>
        <w:trPr>
          <w:trHeight w:val="338"/>
        </w:trPr>
        <w:tc>
          <w:tcPr>
            <w:tcW w:w="346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will rank junior to any of our existing and future indebtedness; and</w:t>
            </w:r>
          </w:p>
        </w:tc>
      </w:tr>
      <w:tr>
        <w:trPr>
          <w:trHeight w:val="319"/>
        </w:trPr>
        <w:tc>
          <w:tcPr>
            <w:tcW w:w="346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will rank at least equally with each other series of our preferred stock, including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Series A Preferred Stock, we have issued or may issue if provided for in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certificate of designations relating to such preferred stock or otherwise (except for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any senior series that may be issued with the requisite consent of the holders of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Series B Preferred Stock and all other parity stock, including the Series A Preferred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Stock), with respect to the payment of dividends and distributions upon liquidation,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dissolution or winding up. See “Description of the Series B Preferred Stock-Other</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Preferred Stock.”</w:t>
            </w:r>
          </w:p>
        </w:tc>
      </w:tr>
      <w:tr>
        <w:trPr>
          <w:trHeight w:val="441"/>
        </w:trPr>
        <w:tc>
          <w:tcPr>
            <w:tcW w:w="346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We will generally be able to pay dividends and distributions upon liquidation, dissolution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or winding up only out of lawfully available assets for such payment after satisfaction of all</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claims for indebtedness and other non-equity claims.</w:t>
            </w:r>
          </w:p>
        </w:tc>
      </w:tr>
      <w:tr>
        <w:trPr>
          <w:trHeight w:val="441"/>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Maturity</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Series B Preferred Stock does not have any maturity date, and we are not required to</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redeem the Series B Preferred Stock. Accordingly, the Series B Preferred Stock will remain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outstanding indefinitely, unless and until we decide to redeem it. If Bread Financial ever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becomes a Regulated Institution, any redemption of the Series B Preferred Stock will be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subject to our receipt of prior approval by the applicable federal banking agency and to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satisfaction of any conditions set forth in the applicable capital adequacy regulations and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guidelines of such federal banking agency applicable to redemption of the Series B</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Preferred Stock.</w:t>
            </w:r>
          </w:p>
        </w:tc>
      </w:tr>
      <w:tr>
        <w:trPr>
          <w:trHeight w:val="441"/>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Holders of the Series B Preferred Stock and the depositary shares will have limited voting</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rights. See “Description of the Series B Preferred Stock-Voting Rights.”</w:t>
            </w:r>
          </w:p>
        </w:tc>
      </w:tr>
      <w:tr>
        <w:trPr>
          <w:trHeight w:val="459"/>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Preemptive and Conversion Rights</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Issues</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We reserve the right to re-open this series of preferred stock and issue additional shares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Series B Preferred Stock either through public or private sales at any time and from</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time to time. The additional shares would form a single series with the Series B Preferred</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Stock offered by</w:t>
            </w:r>
          </w:p>
        </w:tc>
      </w:tr>
      <w:tr>
        <w:trPr>
          <w:trHeight w:val="172"/>
        </w:trPr>
        <w:tc>
          <w:tcPr>
            <w:tcW w:w="3460" w:type="dxa"/>
            <w:vAlign w:val="bottom"/>
            <w:tcBorders>
              <w:left w:val="single" w:sz="8" w:color="auto"/>
              <w:bottom w:val="single" w:sz="8" w:color="auto"/>
            </w:tcBorders>
          </w:tcPr>
          <w:p>
            <w:pPr>
              <w:spacing w:after="0"/>
              <w:rPr>
                <w:sz w:val="14"/>
                <w:szCs w:val="14"/>
                <w:color w:val="auto"/>
              </w:rPr>
            </w:pPr>
          </w:p>
        </w:tc>
        <w:tc>
          <w:tcPr>
            <w:tcW w:w="7560" w:type="dxa"/>
            <w:vAlign w:val="bottom"/>
            <w:tcBorders>
              <w:bottom w:val="single" w:sz="8" w:color="auto"/>
              <w:right w:val="single" w:sz="8" w:color="auto"/>
            </w:tcBorders>
          </w:tcPr>
          <w:p>
            <w:pPr>
              <w:spacing w:after="0"/>
              <w:rPr>
                <w:sz w:val="14"/>
                <w:szCs w:val="14"/>
                <w:color w:val="auto"/>
              </w:rPr>
            </w:pPr>
          </w:p>
        </w:tc>
      </w:tr>
      <w:tr>
        <w:trPr>
          <w:trHeight w:val="361"/>
        </w:trPr>
        <w:tc>
          <w:tcPr>
            <w:tcW w:w="3460" w:type="dxa"/>
            <w:vAlign w:val="bottom"/>
          </w:tcPr>
          <w:p>
            <w:pPr>
              <w:spacing w:after="0"/>
              <w:rPr>
                <w:sz w:val="24"/>
                <w:szCs w:val="24"/>
                <w:color w:val="auto"/>
              </w:rPr>
            </w:pPr>
          </w:p>
        </w:tc>
        <w:tc>
          <w:tcPr>
            <w:tcW w:w="7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86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this prospectus supplement. In addition, we may from time to time, without notice to or</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consent of holders of the Series B Preferred Stock or the depositary shares, issue additional</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shares of preferred stock that rank equally with or junior to the Series B Preferred Stock.</w:t>
            </w:r>
          </w:p>
        </w:tc>
      </w:tr>
      <w:tr>
        <w:trPr>
          <w:trHeight w:val="454"/>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 will apply to list the depositary shares on the NYSE under the symbol “BFH PrB.”</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Trading of the depositary shares on the NYSE is expected to commence within the 30-day</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period following the original issue date of the depositary shares.</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Considerations</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 a discussion of the material U.S. federal income tax considerations relating to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Series B Preferred Stock and the depositary shares, see the section entitled “Material</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United States Federal Income Tax Considerations” beginning on page S-34 in this</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 estimate that the net proceeds to us from the sale of depositary shares in this offering,</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after deducting underwriting discounts and estimated offering expenses payable by us, will</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be approximately $         million (or $         million if the underwriters exercise in full</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their option to purchase additional depositary shares). We intend to use the net proceeds</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from our sale of the depositary shares in this offering for general corporate purposes, which</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may include contributing or lending all or a portion of the proceeds to one of our subsidiary</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Banks, Comenity Capital Bank, and share repurchases. See “Use of Proceeds.”</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Depositary Agent, Transfer Agent &amp; Registrar</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Computershare Trust Company, N.A. and Computershare Inc. collectively will be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depositary and will be transfer agent and registrar for the Series B Preferred Stock, in their</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respective capacities.</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Calculation Agent</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 will appoint a calculation agent for the Series B Preferred Stock prior to the reset</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dividend determination date preceding the First Reset Date. We may appoint an affiliate of</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ours as calculation agent.</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See the sections entitled “Risk Factors” beginning on page S-11 and under the heading</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“Item 1A. Risk Factors” in our Annual Report on Form 10-K for the year ended</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December 31, 2025, as updated by our subsequent filings under the Exchange Act,</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including our Quarterly Report on Form 10-Q and our Current Reports on Form 8-K and</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any amendments thereof, for a discussion of some of the factors you should consider before</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investing in the depositary shares.</w:t>
            </w:r>
          </w:p>
        </w:tc>
      </w:tr>
      <w:tr>
        <w:trPr>
          <w:trHeight w:val="172"/>
        </w:trPr>
        <w:tc>
          <w:tcPr>
            <w:tcW w:w="3860" w:type="dxa"/>
            <w:vAlign w:val="bottom"/>
            <w:tcBorders>
              <w:left w:val="single" w:sz="8" w:color="auto"/>
              <w:bottom w:val="single" w:sz="8" w:color="auto"/>
            </w:tcBorders>
          </w:tcPr>
          <w:p>
            <w:pPr>
              <w:spacing w:after="0"/>
              <w:rPr>
                <w:sz w:val="14"/>
                <w:szCs w:val="14"/>
                <w:color w:val="auto"/>
              </w:rPr>
            </w:pPr>
          </w:p>
        </w:tc>
        <w:tc>
          <w:tcPr>
            <w:tcW w:w="7160" w:type="dxa"/>
            <w:vAlign w:val="bottom"/>
            <w:tcBorders>
              <w:bottom w:val="single" w:sz="8" w:color="auto"/>
              <w:right w:val="single" w:sz="8" w:color="auto"/>
            </w:tcBorders>
          </w:tcPr>
          <w:p>
            <w:pPr>
              <w:spacing w:after="0"/>
              <w:rPr>
                <w:sz w:val="14"/>
                <w:szCs w:val="14"/>
                <w:color w:val="auto"/>
              </w:rPr>
            </w:pPr>
          </w:p>
        </w:tc>
      </w:tr>
      <w:tr>
        <w:trPr>
          <w:trHeight w:val="361"/>
        </w:trPr>
        <w:tc>
          <w:tcPr>
            <w:tcW w:w="3860" w:type="dxa"/>
            <w:vAlign w:val="bottom"/>
          </w:tcPr>
          <w:p>
            <w:pPr>
              <w:spacing w:after="0"/>
              <w:rPr>
                <w:sz w:val="24"/>
                <w:szCs w:val="24"/>
                <w:color w:val="auto"/>
              </w:rPr>
            </w:pPr>
          </w:p>
        </w:tc>
        <w:tc>
          <w:tcPr>
            <w:tcW w:w="7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Section 27A of the Securities Act of 1933, as amended, and Section 21E of the Securities Exchange Act of 1934, as amended (the “Exchange Act”).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 In various places throughout this prospectus supplement, we refer to the laws, rules, regulations, requirements and guidelines that would apply to us if Bread Financial ever becomes a Regulated Institution in the future; any such references should be read and understood to refer to such laws, rules, regulations, requirements and guidelines of the applicable federal banking agency or agencies as are in effect at such time.</w:t>
      </w:r>
    </w:p>
    <w:p>
      <w:pPr>
        <w:spacing w:after="0" w:line="19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prospectus supplement, and no assurances can be given that our expectations will prove to have been correct. Factors that could cause the outcomes to differ materially include, but are not limited to, the following: macroeconomic conditions, including market conditions, inflation, interest rates, labor market conditions, recessionary pressures or concerns over a prolonged economic slowdown, and the related impact on consumer spending behavior, payments, debt levels, savings rates and other behaviors; global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military conflicts, and international tensions or hostilities; local or global public health issues, climate-related events, impacts to the power grid, and natural disasters; future credit performance of our customers, including the level of future delinquency and charge-off rates; 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increases or volatility in the Allowance for credit losses that may result from the application of the current expected credit loss (CECL) model; inaccuracies in the models and estimates on which we rely, including our credit risk management models and the amount of our Allowance for credit losses; increases in fraudulent activity; failure to identify, complete or successfully integrate or disaggregate business acquisitions, divestitures and other strategic initiatives, including, with respect to divested businesses, any associated guarantees, indemnities or other liabilities; the extent to which our results are dependent upon our brand partners, including our brand partners’ financial performance and reputation, as well as the effective promotion and support of our products by brand partners; increases in the cost of doing business, including market interest rates; our level of indebtedness and inability to access financial or capital markets, including asset-backed securitization funding or deposits markets; restrictions that limit our Banks’ ability to pay dividends to us; pending and future litigation; pending and future federal, state, local and foreign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increases in regulatory capital requirements or other support for our Banks; failures, or breaches in our operational or security systems, including as a result of cyberattacks, unanticipated impacts from technology modernization projects, failure of our information security controls or otherwise; loss of consumer information or other data due to compromised</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physical or cyber security, including disruptive attacks from financially motivated bad actors and third-party supply chain issues; any liability or other adverse impacts arising out of or related to the spinoff of our former LoyaltyOne segment or the bankruptcy filings of Loyalty Ventures Inc. (LVI) and certain of its subsidiaries, including the pending litigation against us in connection with the spinoff; and those factors identified in our filings with the SEC, including in the “Risk Factors” and “Management’s Discussion and Analysis of Financial Condition and Results of Operations” sections of our Annual Report on Form 10-K for the year ended December 31, 2025 and our subsequent Quarterly Report on Form 10-Q or Current Reports on Form 8-K for a further description of these and other factors. For the reasons described above, we caution you against relying on any forward-looking statements. You should not consider any list of such factors to be an exhaustive statement of all of the risks, uncertainties, or potentially inaccurate assumptions that could cause our current expectations or beliefs to change.</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prospectus supplement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Market and industry data and forecasts included or incorporated by reference in this prospectus supplement have been obtained from independent industry sources as well as from research reports prepared for other purposes. Although we believe these third-party sources to be reliable, neither we nor the initial purchasers have independently verified the data obtained from these sources and we cannot assure you of the accuracy or completeness of the data. Forecasts and other forward-looking information obtained from these sources are subject to the same qualifications and uncertainties as the other forward-looking statements included or incorporated by reference in this prospectus supplement.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securities to which this prospectus supplement relates involves risks. You should carefully consider the following risks and those included under the heading “Item 1A. Risk Factors” in our Annual Report on Form 10-K for the year ended December 31, 2025 and our Quarterly Report on Form 10-Q for the quarter ended March 31, 2026 and the other information and data set forth in this prospectus supplement and the accompanying prospectus and the documents incorporated by reference herein and therein before investing in the Series B Preferred Stock. These risks could materially affect our business, results of operations or financial condition and cause the trading price of the depositary shares to decline. You could lose part or all of your investment.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are making an investment decision about both the depositary shares and the Series B Preferred Stock.</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described in this prospectus supplement, Bread Financial is issuing depositary shares representing fractional interests in the Series B Preferred Stock. The depositary will rely solely on the payments it receives on the Series B Preferred Stock to fund all payments on the depositary shares. You should carefully review the information in this prospectus supplement and the accompanying prospectus regarding both of these securities.</w:t>
      </w:r>
    </w:p>
    <w:p>
      <w:pPr>
        <w:spacing w:after="0" w:line="280"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B Preferred Stock will be an equity security and will be subordinate to Bread Financial’s existing and future indebtedness, and Bread Financial’s ability to pay dividends on the Series B Preferred Stock may be limited by regulatory policies and requirements.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shares of Series B Preferred Stock will be equity interests in Bread Financial and will not constitute indebtedness. This means that the depositary shares, which represent fractional interests in the Series B Preferred Stock, will rank junior to all existing and future indebtedness and other non-equity claims on Bread Financial with respect to assets available to satisfy claims on Bread Financial, including claims in the event of Bread Financial’s liquidation. As of March 31, 2026, total liabilities of Bread Financial and its subsidiaries, including indebtedness and deposit liabilities (excluding, in each case, intercompany liabilities), were approximately $19.0 billion, and Bread Financial’s total liabilities, including indebtedness and deposit liabilities (excluding, in each case, intercompany liabilities), were approximately $0.8 billion. Bread Financial may incur additional liabilities (including indebtedness) in the future. Bread Financial’s existing and future indebtedness may restrict payment of dividends on the Series B Preferred Stock.</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unlike indebtedness, where principal and interest customarily are payable on specified due dates, in the case of preferred stock like the Series B Preferred Stock, (1) dividends will be payable only if declared by Bread Financial’s Board of Directors or a duly authorized committee of Bread Financial’s Board of Directors, (2) dividends will not accumulate if they are not declared and (3) as a Delaware corporation, Bread Financial may make dividend payments and redemption payments only out of funds legally available under Delaware law.</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Also, if Bread Financial ever becomes a Regulated Institution, our ability to declare and pay dividends and redeem the Series B Preferred Stock will be subject to various regulatory policies and requirements relating to capital actions. In particular, the federal banking agencies’ capital rules set forth criteria for qualifying additional Tier 1 capital instruments, including that any dividends on such instruments only be paid out of a banking organization’s net income, retained earnings and surplus related to other additional Tier 1 capital instruments. In addition, restrictions may be applied to Bread Financial’s dividends based on the applicable federal banking regulator’s review of its capital plan. Such criteria and restrictions could adversely affect Bread Financial’s ability to pay dividends or may result in additional limitations on its ability to pay dividends or redeem shares of the Series B Preferred Stock.</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evaluating the appropriateness of a proposed redemption or repurchase of stock if Bread Financial were to become a Regulated Institution, the applicable federal banking regulator would consider, among other things,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potential loss that Bread Financial may suffer from the prospective need to increase reserves and write down assets as a result of continued asset deterioration, and its ability to raise additional capital to replace the stock that will be redeemed or repurchased. The applicable federal banking regulator also would consider the potential negative effects on Bread Financial’s capital structure of replacing capital instruments with any lower-tier form of regulatory capital issued. Moreover, regulatory review of any capital plan that Bread Financial may be required to submit could result in restrictions on its ability to pay dividends or make other capital distributions.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Series B Preferred Stock places no restrictions on Bread Financial’s business or operations or on Bread Financial’s ability to incur indebtedness or engage in any transactions, subject only to the limited voting rights referred to below under “Description of the Series B Preferred Stock —Voting Rights” beginning on page S-25 of this prospectus supplement.</w:t>
      </w:r>
    </w:p>
    <w:p>
      <w:pPr>
        <w:spacing w:after="0" w:line="280" w:lineRule="exact"/>
        <w:rPr>
          <w:sz w:val="20"/>
          <w:szCs w:val="20"/>
          <w:color w:val="auto"/>
        </w:rPr>
      </w:pPr>
    </w:p>
    <w:p>
      <w:pPr>
        <w:ind w:left="3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B Preferred Stock may be junior in rights and preferences to Bread Financial’s future preferred stock, including senior stock authorized and issued without your consent.</w:t>
      </w:r>
    </w:p>
    <w:p>
      <w:pPr>
        <w:spacing w:after="0" w:line="5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Series B Preferred Stock may rank junior to preferred stock issued in the future that by its terms is expressly senior in rights and preferences to the Series B Preferred Stock. It is possible that Bread Financial may authorize and issue such shares without your vote or consent, although the affirmative vote or consent of the holders of at least two-thirds of all outstanding shares of the Series B Preferred Stock is required to authorize or issue any shares of senior stock as described under “Description of the Series B Preferred Stock—Voting Rights.” In addition, the terms of any of Bread Financial’s future preferred stock expressly senior to the Series B Preferred Stock may restrict dividend payments on the Series B Preferred Stock, except for dividends payable solely in shares of the Series B Preferred Stock. Unless full dividends for all of Bread Financial’s outstanding preferred stock senior to the Series B Preferred Stock have been paid in full or declared and a sum sufficient for the payment thereof has been set aside for payment, no dividends will be declared or paid and no distribution will be made on any shares of the Series B Preferred Stock, and no shares of the Series B Preferred Stock may be repurchased, redeemed, or otherwise acquired by Bread Financial, directly or indirectly, for consideration. This could result in dividends on the Series B Preferred Stock not being paid when due to you.</w:t>
      </w:r>
    </w:p>
    <w:p>
      <w:pPr>
        <w:spacing w:after="0" w:line="298" w:lineRule="exact"/>
        <w:rPr>
          <w:sz w:val="20"/>
          <w:szCs w:val="20"/>
          <w:color w:val="auto"/>
        </w:rPr>
      </w:pPr>
    </w:p>
    <w:p>
      <w:pPr>
        <w:ind w:left="3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on the Series B Preferred Stock are discretionary and non-cumulative and if Bread Financial is not paying full dividends on any outstanding parity stock, it will not be able to pay full dividends on the Series B Preferred Stock.</w:t>
      </w:r>
    </w:p>
    <w:p>
      <w:pPr>
        <w:spacing w:after="0" w:line="51"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Dividends on the Series B Preferred Stock are discretionary and will not be cumulative. If Bread Financial’s Board of Directors or a duly authorized committee of Bread Financial’s Board of Directors does not declare a dividend on the Series B Preferred Stock in respect of a dividend period, then no dividend shall be deemed to have accrued for such dividend period, be payable on the applicable dividend payment date or be cumulative, and Bread Financial will have no obligation to pay any dividend for that dividend period, whether or not Bread Financial’s Board of Directors or a duly authorized committee of Bread Financial’s Board of Directors declares a dividend on the Series B Preferred Stock for any future dividend period.</w:t>
      </w:r>
    </w:p>
    <w:p>
      <w:pPr>
        <w:spacing w:after="0" w:line="18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Additionally, if Bread Financial is not paying full dividends on any outstanding parity stock, including the Series A Preferred Stock, Bread Financial will not be able to pay full dividends on the Series B Preferred Stock. When dividends are not paid in full upon the Series B Preferred Stock and any parity stock, including the Series A Preferred Stock, all dividends declared upon the Series B Preferred Stock and parity stock, including the Series A Preferred Stock, will be declared on a proportional basis so that the amount of dividends declared per share will bear to each other the same ratio that dividends payable for the then-current dividend period per share on Series B Preferred Stock, and dividends payable, including any accumulations, if any, on parity stock, including the Series A Preferred Stock, bear to each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dividend rate will reset on the First Reset Date and each subsequent reset date and any dividends declared may be less than the initial fixed rate of   % in effect until the First Reset Date.</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annual dividend rate on the Series B Preferred Stock for each reset period will equal to the Five-Year U.S. Treasury Rate as of the most recent reset dividend determination date plus        % per annum. Therefore, any dividends declared after the First Reset Date could be more or less than the fixed rate for the initial five-year period. We have no control over the factors that may affect Five-Year U.S. Treasury Rates, including geopolitical conditions and economic, financial, political, regulatory, judicial or other events that may impact Five-Year U.S. Treasury Rates.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historical Five-Year U.S. Treasury Rates are not an indication of future Five-Year U.S. Treasury Rates.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past, Five-Year U.S. Treasury Rates have experienced significant fluctuations. You should note that historical levels, fluctuations and trends of Five-Year U.S. Treasury Rates are not necessarily indicative of future levels. Any historical upward or downward trend in Five-Year U.S. Treasury Rates is not an indication that Five-Year U.S. Treasury Rates are more or less likely to increase or decrease at any time after the First Reset Date, and you should not take the historical Five-Year U.S. Treasury Rates as an indication of future rates.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 if we, in our sole discretion, determine that the Five-Year U.S. Treasury Rate cannot be determined in the manner then applicable for such rate, we may, in our sole discretion, designate a Designee (as defined below) to determine whether there is an industry-accepted successor rate to the then applicable base rate and, if applicable, to determine and make certain adjustments as further described under “Description of the Series B Preferred Stock—Dividends.”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may not reflect all risks associated with an investment in the Series B Preferred Stock and the depositary shares.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Credit rating agencies rate the Series B Preferred Stock and the depositary shares on factors that include Bread Financial’s results of operations, actions that Bread Financial takes, their view of the general outlook for Bread Financial’s industry and their view of the general outlook for the economy. Actions taken by the rating agencies can occur at any time and without any notice by the rating agencies, include maintaining, upgrading or downgrading the current rating or placing Bread Financial on a watch list for possible future downgrading. Downgrading the credit rating of Bread Financial’s depositary shares or placing Bread Financial on a watch list for possible future downgrading could, among other things, adversely limit Bread Financial’s access to the capital markets, adversely affect the cost and other terms upon which Bread Financial is able to obtain funding, and adversely affect the market price of Bread Financial’s securities, including the depositary shares offered hereby. Moreover, our ability to raise funding through offerings of senior and subordinated notes as well as through offerings of asset-backed securities in the securitization market also depends, in part, on the credit ratings of those respective securities. If we are not able to satisfy rating agency requirements to confirm the ratings of those securities, it could limit our ability to access the relevant markets.</w:t>
      </w:r>
    </w:p>
    <w:p>
      <w:pPr>
        <w:spacing w:after="0" w:line="19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Ratings issued by a credit ratings agency only reflect the views of the issuing rating agency or agencies and such ratings could at any time be revised downward or withdrawn entirely at the discretion of the issuing rating agency. Also, ratings issued by a ratings agency may differ as among different securities and ratings issued for the same security may differ as among the different issuing ratings agencies. For example, there is no guarantee that ratings issued for our Series B Preferred Stock and depositary shares would be the same as ratings issued for our senior or subordinated notes.</w:t>
      </w:r>
    </w:p>
    <w:p>
      <w:pPr>
        <w:spacing w:after="0" w:line="16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 a rating is not a recommendation to purchase, sell or hold any particular security, including the depositary shares. Ratings do not reflect market prices or suitability of a security for a particular investor and any rating of the depositary shares or the Series B Preferred Stock may not reflect all risks related to Bread Financial and its business, or the structure or market value of the depositary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B Preferred Stock may be redeemed at Bread Financial’s option, and you may not be able to reinvest the redemption price you receive in a similar security.</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Bread Financial may redeem the Series B Preferred Stock at its option, either in whole or in part, from time to time on any dividend payment date on or after the First Reset Date. If Bread Financial ever becomes a Regulated Institution, Bread Financial may also redeem at its option the Series B Preferred Stock at any time in whole, but not in part, upon the occurrence of a “regulatory capital treatment event,” such as a proposed change in law or regulation after the initial issuance date with respect to whether the Series B Preferred Stock would qualify as a Tier 1 capital instrument. If Bread Financial ever becomes a Regulated Institution, any redemption of the Series B Preferred Stock will be subject to our receipt of any prior approval required by the applicable federal banking agency. If Bread Financial redeems the Series B Preferred Stock and the depositary redeems the depositary shares in respect thereof, you may not be able to reinvest the redemption price you receive in a similar security. See “Description of the Series B Preferred Stock—Redemption—Redemption Following a Regulatory Capital Treatment Event” beginning on page S-23 for more information on redemption of the Series B Preferred Stock.</w:t>
      </w:r>
    </w:p>
    <w:p>
      <w:pPr>
        <w:spacing w:after="0" w:line="292"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should not expect Bread Financial to redeem the Series B Preferred Stock on the date it becomes redeemable or on any particular date after it becomes redeemable.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Series B Preferred Stock is a perpetual equity security. This means that it has no maturity or mandatory redemption date and is not redeemable at the option of the holders of the Series B Preferred Stock or the holders of the depositary shares offered by this prospectus supplement. The Series B Preferred Stock may be redeemed by Bread Financial at its option, subject to any regulatory approval requirements as are in effect at such time, either in whole or in part, from time to time, on any dividend payment date on or after the First Reset Date. If Bread Financial becomes a Regulated Institution, the Series B Preferred Stock may also be redeemed by Bread Financial at its option at any time in whole, but not in part, upon the occurrence of a “regulatory capital treatment event” as described herein. Any decision Bread Financial may make at any time to propose a redemption of the Series B Preferred Stock will depend upon, among other things, Bread Financial’s evaluation of its capital position, the composition of Bread Financial stockholders’ equity and general market conditions at that time.</w:t>
      </w:r>
    </w:p>
    <w:p>
      <w:pPr>
        <w:spacing w:after="0" w:line="192"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If Bread Financial ever becomes a Regulated Institution, any redemption of the Series B Preferred Stock will be subject to our receipt of any prior approval required by the applicable federal banking agency. Under the federal banking agencies’ capital adequacy regulations and guidelines applicable to Regulated Institutions, any redemption of the Series B Preferred Stock would be subject to prior approval of the applicable federal banking regulator. Additionally, prior to redeeming the Series B Preferred Stock or immediately afterward, Bread Financial would be required to either replace the redeemed Series B Preferred Stock with an equal amount of Tier 1 capital instruments or demonstrate to the applicable federal banking regulator’s satisfaction that following redemption, Bread Financial would continue to hold capital commensurate with its risks. Bread Financial cannot assure you that the applicable federal banking regulator would approve any redemption of the Series B Preferred Stock that Bread Financial may propose.</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Bread Financial’s ability to receive dividends and other distributions from its subsidiaries could affect its liquidity and ability to pay dividends.</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Bread Financial is a separate and distinct legal entity from its subsidiaries. Bread Financial anticipates that dividends and other distributions to Bread Financial from its direct and indirect subsidiaries (including the Banks) will represent a major source of funds for Bread Financial to pay dividends on the Series B Preferred Stock, make payments on corporate debt securities and meet other obligations. There are various federal and state law limitations on the extent to which the Banks can finance or otherwise supply funds to Bread Financial through dividends and loans. These limitations include capital adequacy regulations and guidelines of the Banks’ regulators generally and federal and state banking law requirements concerning the payment of dividends out of net profits or surplus, Sections 23A and 23B of the Federal Reserve Act and Regulation W governing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transactions between an insured depository institution and its affiliates, as well as general federal and state regulatory oversight to prevent unsafe or unsound practices. If Bread Financial’s subsidiaries’ earnings are not sufficient to make dividend payments to Bread Financial while maintaining adequate capital levels, Bread Financial’s liquidity may be affected and it may not be able to make dividend payments to holders of the Series B Preferred Stock, make payments on outstanding corporate debt securities or meet other obligations, each and any of which could have a material adverse impact on Bread Financial’s results of operations, financial position or perception of financial health.</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Series B Preferred Stock and the depositary shares will have limited 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the Series B Preferred Stock will have no voting rights with respect to matters that generally require the approval of voting shareholders. Holders of the Series B Preferred Stock will have voting rights only with respect to authorizing or increasing the amount of any equity security ranking senior to the Series B Preferred Stock, certain changes in terms of the Series B Preferred Stock, certain nonpayment of dividends and as otherwise required by applicable law. See “Description of the Series B Preferred Stock—Voting Rights” beginning on page S-25 of this prospectus supplement. Holders of depositary shares must act through the depository to exercise any voting rights of the Series B Preferred Stock.</w:t>
      </w:r>
    </w:p>
    <w:p>
      <w:pPr>
        <w:spacing w:after="0" w:line="287"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Offerings of debt, which is senior to the Series B Preferred Stock upon liquidation, may adversely affect the market price of Bread Financial’s depositary shares.</w:t>
      </w:r>
    </w:p>
    <w:p>
      <w:pPr>
        <w:spacing w:after="0" w:line="5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Bread Financial may attempt to increase Bread Financial’s capital resources in the future or, if Bread Financial becomes a Regulated Institution and if its regulatory capital ratios fell below the required minimums, Bread Financial could be forced to raise additional capital by making additional offerings of debt or equity securities, including senior or subordinated notes, preferred stock and common stock. Upon liquidation, holders of Bread Financial’s debt securities and lenders with respect to other borrowings will receive distributions of Bread Financial’s available assets prior to the holders of its Series B Preferred Stock and depositary shares.</w:t>
      </w:r>
    </w:p>
    <w:p>
      <w:pPr>
        <w:spacing w:after="0" w:line="287" w:lineRule="exact"/>
        <w:rPr>
          <w:sz w:val="20"/>
          <w:szCs w:val="20"/>
          <w:color w:val="auto"/>
        </w:rPr>
      </w:pPr>
    </w:p>
    <w:p>
      <w:pPr>
        <w:ind w:left="3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Bread Financial cannot assure you that a liquid trading market for the depositary shares will develop, and you may find it difficult to sell your depositary shares.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Bread Financial will apply to list the depositary shares on the NYSE under the symbol “BFH PrB.” However, there is no guarantee that Bread Financial will be able to list the depositary shares. If approved, Bread Financial expects trading of the depositary shares on the NYSE to begin within the 30-day period after the original issue date. Even if the depositary shares are listed, there may be little or no secondary market for the depositary shares. The underwriters have advised Bread Financial that they intend to make a market in the depositary shares. However, they are not obligated to do so and may discontinue any market making in the depositary shares at any time in their sole discretion. Even if a secondary market for the depositary shares develops, it may not provide significant liquidity and transaction costs in any secondary market could be high. As a result, the difference between bid and asked prices in any secondary market could be substantial. Bread Financial cannot assure you that you will be able to sell your depositary shares at a particular time or that the price you receive when you sell will be favorable.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market conditions and unpredictable factors could adversely affect market prices for the depositary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trading prices of the depositary shares will depend on many factors, including: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Bread Financial declares or fails to declare dividends on the Series B Preferred Stock from time to time;</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Financial’s operating performance, financial condition and prospects, or the operating performance, financial condition and prospects of Bread Financial’s competitors;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Financial’s creditworthiness and the credit performance of our customers;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ratings given to Bread Financial’s securities by credit-rating agencies, including the ratings given to the Series B Preferred Stock or depositary shares;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inflation, interest rates, labor market conditions, recessionary pressures or concerns over a prolonged economic slowdown, and the related impact on consumer spending behavior, payments, debt levels, savings rates and other behavior;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financial, geopolitical, regulatory or judicial events affecting Bread Financial or the financial markets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similar securities;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other risk factors identified in Bread Financial’s filings with the SEC, including in Bread Financial’s Annual Report on Form 10-K for the year ended December 31, 2025 and our subsequent Quarterly Report on Form 10-Q and Current Reports on Form 8-K.</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Accordingly, the depositary shares may trade at a discount to the price per share paid for such shares even if a secondary market for the depositary shares develops.</w:t>
      </w:r>
    </w:p>
    <w:p>
      <w:pPr>
        <w:spacing w:after="0" w:line="266" w:lineRule="exact"/>
        <w:rPr>
          <w:sz w:val="20"/>
          <w:szCs w:val="20"/>
          <w:color w:val="auto"/>
        </w:rPr>
      </w:pPr>
    </w:p>
    <w:p>
      <w:pPr>
        <w:ind w:left="3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issuances of preferred stock or securities convertible into preferred stock may further dilute existing holders of Bread Financial’s depositary shares.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Bread Financial may, in the future, determine that it is advisable, or Bread Financial may encounter circumstances where Bread Financial determines it is necessary, to issue additional shares of preferred stock, securities convertible into, exchangeable for or that represent an interest in preferred stock, or preferred stock-equivalent securities to fund strategic initiatives or other business needs, to build additional capital, or to institute a stockholder rights plan, or so-called “poison pill.” Bread Financial’s Board of Directors is authorized to cause Bread Financial to issue one or more classes or series of preferred stock from time to time without any action on the part of the stockholders. Bread Financial’s Board of Directors also has the power, without stockholder approval, to set the terms of any such classes or series of preferred stock that may be issued, including voting rights, dividend rights, and preferences over the Series B Preferred Stock with respect to dividends or upon Bread Financial’s dissolution, winding up and liquidation and other terms. Though the approval of holders of depositary shares representing interests in the Series B Preferred Stock will be needed to issue any equity security ranking above the Series B Preferred Stock, if Bread Financial issues preferred stock in the future that has preference over the Series B Preferred Stock with respect to the payment of dividends or upon liquidation, or if Bread Financial issues preferred stock with voting rights that dilute the voting power of the Series B Preferred Stock or depositary shares, the rights of holders of the depositary shares or the market price of the depositary shares could be adversely affected. The market price of the depositary shares could decline as a result of this offering or other offerings, as well as other sales of a large block of depositary shares, Series B Preferred Stock or similar securities in the market thereafter, or the perception that such sales could occur.</w:t>
      </w:r>
    </w:p>
    <w:p>
      <w:pPr>
        <w:spacing w:after="0" w:line="3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calculation agent will have the authority to make determinations that could affect the market value of your depositary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have validly called all shares of the Series B Preferred Stock for redemption on the First Reset Date, we will appoint a calculation agent for the Series B Preferred Stock prior to the reset dividend determination date preceding the First Reset Date. We may appoint an affiliate of ours as calculation agent.</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calculation agent will make determinations with respect to the Series B Preferred Stock and related depositary shares as specified in this prospectus supplement and in the accompanying prospectus and may have discretion in calculating the amounts payable in respect of the Series B Preferred Stock and depositary shares. The exercise of this discretion by the calculation agent could adversely affect the value of your depositary shares and may present itself with a conflict of interest. We may change the calculation agent at any time without notice.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Bread Financial or one of its affiliates may be the calculation agent and, as a result, potential conflicts of interest could arise.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Bread Financial has not yet appointed a calculation agent. When it does, it can appoint itself or one of its affiliates to be the calculation agent for purposes of determining, among other things, the Five-Year U.S. Treasury Rate for each reset period. Although the calculation agent will exercise its judgment in good faith when performing its functions, if the calculation agent is Bread Financial or one of its affiliates, potential conflicts of interest may exist between the calculation agent and you.</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960"/>
          </w:cols>
          <w:pgMar w:left="320" w:top="455" w:right="6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to us from the sale of depositary shares in this offering, after deducting underwriting discounts and estimated offering expenses payable by us, will be approximately $    million (or $      million if the underwriters exercise in full their option to purchase additional depositary shares). We intend to use the net proceeds from our sale of the depositary shares in this offering for general corporate purposes, which may include contributing or lending all or a portion of the proceeds to one of our subsidiary Banks, Comenity Capital Bank, and share repurchases.</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0840"/>
          </w:cols>
          <w:pgMar w:left="320" w:top="455" w:right="7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THE SERIES B PREFERRED STOCK</w:t>
      </w:r>
    </w:p>
    <w:p>
      <w:pPr>
        <w:spacing w:after="0" w:line="22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supplements and, to the extent it is inconsistent, supersedes the description of the general provisions of our preferred stock set forth under “Description of Capital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 in the accompanying prospectus. As used in this description of the Series B Preferred Stock, “we,” “our,” “us” and “Bread Financial” refer to BREAD FINANCIAL HOLDINGS, INC. and not to any of our subsidiaries. The following description is qualified in its entirety by the Certificate of Designations relating to the Series B Preferred Stock (the “Certificate of Designations”), and where this description is inconsistent with the description of the Preferred Stock contained in the accompanying prospectus or the description of the Series B Preferred Stock in the Certificate of Designations, the Certificate of Designations will control.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Series B Preferred Stock is a single series of our authorized preferred stock. We are offering            depositary shares,</w:t>
      </w:r>
    </w:p>
    <w:p>
      <w:pPr>
        <w:spacing w:after="0" w:line="27" w:lineRule="exact"/>
        <w:rPr>
          <w:sz w:val="20"/>
          <w:szCs w:val="20"/>
          <w:color w:val="auto"/>
        </w:rPr>
      </w:pPr>
    </w:p>
    <w:p>
      <w:pPr>
        <w:jc w:val="both"/>
        <w:ind w:left="120" w:right="40"/>
        <w:spacing w:after="0" w:line="252" w:lineRule="auto"/>
        <w:rPr>
          <w:sz w:val="20"/>
          <w:szCs w:val="20"/>
          <w:color w:val="auto"/>
        </w:rPr>
      </w:pPr>
      <w:r>
        <w:rPr>
          <w:rFonts w:ascii="Times New Roman" w:cs="Times New Roman" w:eastAsia="Times New Roman" w:hAnsi="Times New Roman"/>
          <w:sz w:val="18"/>
          <w:szCs w:val="18"/>
          <w:color w:val="auto"/>
        </w:rPr>
        <w:t>representing        shares of the Series B Preferred Stock (or        depositary shares representing         shares of Series B Preferred Stock if the underwriters exercise in full their option to purchase an additional depositary shares from us), by this prospectus supplement and the accompanying prospectus. Shares of the Series B Preferred Stock, upon issuance against full payment of the purchase price for the depositary shares, will be fully paid and nonassessable. The depositary will be the sole holder of shares of the Series B Preferred Stock. The holders of depositary shares will be required to exercise their proportional rights in the Series B Preferred Stock through the depositary, as described in the section entitled “Description of Depositary Shares” beginning on page S-28 in this prospectus supplement.</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Shares of the Series B Preferred Stock: (i) will rank senior to our common stock; (ii) will rank junior to any of our existing and future indebtedness and (iii) will rank at least equally with each other series of preferred stock, including the Series A Preferred stock, we have issued or may issue if provided for in the certificate of designations relating to such preferred stock or otherwise (except for any senior stock that may be issued with the requisite consent of the holders of the Series B Preferred Stock and all other parity stock, including the Series A Preferred Stock), with respect to the payment of dividends and distributions of assets upon liquidation, dissolution or winding up. See “—Other Preferred Stock” below. In addition, we will generally be able to pay dividends and distributions upon liquidation, dissolution or winding up only out of lawfully available assets for such payment (after satisfaction of all claims for indebtedness and other non-equity claims). As of the date of this prospectus supplement, our Series A Preferred Stock is the only series of our preferred stock outstanding.</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Series B Preferred Stock will not be convertible into, or exchangeable for, shares of any other class or series of stock or other securities of Bread Financial. The Series B Preferred Stock has no stated maturity and will not be subject to any sinking fund or other obligation of Bread Financial to redeem or repurchase the Series B Preferred Stock.</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reserve the right to re-open this series of preferred stock and issue additional shares of the Series B Preferred Stock either through public or private sales at any time and from time to time. The additional shares would form a single series with the Series B Preferred Stock offered by this prospectus supplement. In addition, we may from time to time, without notice to or consent of holders of the Series B Preferred Stock or the depositary shares, issue additional shares of preferred stock that rank equally with or junior to the Series B Preferred Stock.</w:t>
      </w:r>
    </w:p>
    <w:p>
      <w:pPr>
        <w:spacing w:after="0" w:line="284" w:lineRule="exact"/>
        <w:rPr>
          <w:sz w:val="20"/>
          <w:szCs w:val="20"/>
          <w:color w:val="auto"/>
        </w:rPr>
      </w:pPr>
    </w:p>
    <w:p>
      <w:pPr>
        <w:jc w:val="right"/>
        <w:ind w:right="102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7" w:lineRule="exact"/>
        <w:rPr>
          <w:sz w:val="20"/>
          <w:szCs w:val="20"/>
          <w:color w:val="auto"/>
        </w:rPr>
      </w:pPr>
    </w:p>
    <w:p>
      <w:pPr>
        <w:jc w:val="right"/>
        <w:ind w:right="101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Dividends on the Series B Preferred Stock will not be cumulative. If our Board of Directors or a duly authorized committee of our Board of Directors does not declare a dividend on the Series B Preferred Stock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respect of a dividend period, then no dividend shall be deemed to have accrued for such dividend period, be payable on the applicable dividend payment date, or be cumulative, and we will have no obligation to pay any dividend for that dividend period, whether or not our Board of Directors or a duly authorized committee of our Board of Directors declares a dividend on the Series B Preferred Stock for any future dividend period. A dividend period is the period from and including a dividend payment date to but excluding the next dividend payment date, except that the initial dividend period will commence on and include the original issue date of the Series B Preferred Stock.</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Holders of Series B Preferred Stock will be entitled to receive, when, as, and if declared by our Board of Directors or a duly authorized committee of our Board of Directors, out of assets legally available for the payment of dividends under Delaware law, non-cumulative cash dividends quarterly in arrears, on March 15, June 15, September 15, and December 15 of each year, beginning on September 15, 2026 based on the liquidation preference of the Series B Preferred Stock at a rate equal to:</w:t>
      </w:r>
    </w:p>
    <w:p>
      <w:pPr>
        <w:spacing w:after="0" w:line="8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from the original issue date of the Series B Preferred Stock, to but excluding, the First Reset Date, a fixed rate of       % per annum; and</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including, the First Reset Date and each subsequent reset date (as defined below), as applicable, during each reset period, a rate</w:t>
      </w:r>
    </w:p>
    <w:p>
      <w:pPr>
        <w:spacing w:after="0" w:line="27" w:lineRule="exact"/>
        <w:rPr>
          <w:sz w:val="20"/>
          <w:szCs w:val="20"/>
          <w:color w:val="auto"/>
        </w:rPr>
      </w:pPr>
    </w:p>
    <w:p>
      <w:pPr>
        <w:ind w:left="1080" w:right="800"/>
        <w:spacing w:after="0" w:line="260" w:lineRule="auto"/>
        <w:rPr>
          <w:sz w:val="20"/>
          <w:szCs w:val="20"/>
          <w:color w:val="auto"/>
        </w:rPr>
      </w:pPr>
      <w:r>
        <w:rPr>
          <w:rFonts w:ascii="Times New Roman" w:cs="Times New Roman" w:eastAsia="Times New Roman" w:hAnsi="Times New Roman"/>
          <w:sz w:val="18"/>
          <w:szCs w:val="18"/>
          <w:color w:val="auto"/>
        </w:rPr>
        <w:t>per annum equal to the Five-Year U.S. Treasury Rate as of the most recent reset dividend determination date, plus     % on the liquidation preference of $1,000 per share.</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declared by our Board of Directors or a duly authorized committee of our Board of Directors, we will pay dividends on the Series B Preferred Stock quarterly in arrears on March 15, June 15, September 15, and December 15 of each year, beginning on September 15, 2026 (each such date, a “dividend payment date”). If any dividend payment date or redemption date would fall on a day that is not a business day, then the payment of any dividends (or, in respect of a redemption, the redemption price and any declared and unpaid dividends), as applicable, payable on such date will be made on the next business day without any adjustment to the amount of dividends paid. A business day means any weekday that is not a legal holiday in New York, New York, and is not a day on which banking institutions in New York, New York, are closed.</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Dividends will be payable to holders of record of Series B Preferred Stock as they appear on our stock register on the applicable record date, which shall be the 15th calendar day before the applicable dividend payment date, or such other record date, not exceeding 30 days before the applicable payment date, as shall be fixed by our Board of Directors or a duly authorized committee of our Board of Directors. The corresponding record dates for the depositary shares will be the same as the record dates for the Series B Preferred Stock.</w:t>
      </w:r>
    </w:p>
    <w:p>
      <w:pPr>
        <w:spacing w:after="0" w:line="180"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 “dividend period” is the period from and including a dividend payment date to but excluding the next dividend payment date, except that the initial dividend period will commence on and include the original issue date of the Series B Preferred Stock and end on September 14, 2026, with the first dividend payment date being September 15, 2026. Dividends payable on the Series B Preferred Stock will be computed on the basis of a 360-day year consisting of twelve 30-day months.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 “reset date” means the First Reset Date and each date falling on the fifth anniversary of the preceding reset date. Reset dates, including the First Reset Date, will not be adjusted for business days.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 “reset period” means the period from, and including, the First Reset Date to, but excluding, the next following reset date and thereafter each period from, and including, each reset date to, but excluding, the next following reset date.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“reset dividend determination date” means, in respect of any reset period, the day falling three business days prior to the beginning of such reset period.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any reset period commencing on or after the First Reset Date, the “Five-Year U.S. Treasury Rate” will mean: (i) the average of the yields on actively traded U.S. treasury securities adjusted to constant maturity, for five-year maturities, for the five business days immediately preceding the relevant reset dividend determination date (or, if fewer than five business days appear, such number of business days appearing) appearing under the caption “Treasury Constant Maturities—Nominal” in the most recently published H.15 Daily (as defined below) as of 5:00 p.m. (Eastern Time) as of any date of determination; or (ii) if there are no such published yields on actively traded U.S. treasury securities adjusted to constant maturity, for five-year maturities, then the rate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dividend determination date and (B) the other maturing as close as possible to, but later than, the reset date following the next succeeding reset dividend determination date, in each case for the five business days immediately preceding the relevant reset dividend determination date (or, if fewer than five business days appear, such number of business days appearing) appearing under the caption “Treasury Constant Maturities—Nominal” in the H.15 Daily as of 5:00 p.m. (Eastern Time) as of any date of determination.</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in our sole discretion, determine that the Five-Year U.S. Treasury Rate (the “Base Rate”) cannot be determined in the manner applicable for such rate (which, as of the original issue date of the Series B Preferred Stock, is pursuant to the methods described in clauses (i) or (ii) of the immediately preceding paragraph), we may, in our sole discretion, designate an unaffiliated agent or advisor, which may include an unaffiliated underwriter for the offering of the depositary shares representing interests in the Series B Preferred Stock or any affiliate of any such underwriter (the “Designee”), to determine whether there is an industry-accepted successor rate to the then-applicable Base Rate (which, as of the original issue date of the Series B Preferred Stock, is the initial Base Rate). If the Designee determines that there is such an industry-accepted successor Base Rate, then the Five-Year U.S. Treasury Rate shall be such successor Base Rate and, in that case, the Designee may then determine and adjust the business day convention, the definition of business day and the reset dividend determination date to be used and any other relevant methodology for determining or otherwise calculating such successor Base Rate, including any adjustment factor needed to make such successor Base Rate comparable to the then-applicable Base Rate (which, as of the original issue date of the Series B Preferred Stock, is the initial Base Rate) in each case, in a manner that is consistent with industry-accepted practices for the use of such successor rate. If we, in our sole discretion, do not designate a Designee or if the Designee determines that there is no industry-accepted successor rate to the then-applicable Base Rate, then the Five-Year U.S. Treasury Rate will be the same interest rate determined for the prior reset dividend determination date or, if this sentence is applicable with respect to the first reset dividend determination date,    %.</w:t>
      </w:r>
    </w:p>
    <w:p>
      <w:pPr>
        <w:spacing w:after="0" w:line="19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“H.15 Daily” means the daily statistical release designated Selected Interest Rates (Daily) - H.15, or any successor release, published by the Federal Reserve.</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Five-Year U.S. Treasury Rate will be determined by the calculation agent on the reset dividend determination date. Dividends on the Series B Preferred Stock will cease to accrue on the redemption date, if any, as described below under “—Redemption,” unless we default in the payment of the redemption price of the shares of the Series B Preferred Stock called for redemption.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Dollar amounts resulting from that calculation will be rounded to the nearest cent, with one-half cent being rounded upward. Dividends on the Series B Preferred Stock will cease to accrue on the redemption date, if any, as described below under “—Redemption,” on page S-23, unless we default in the payment of the redemption price of the shares of the Series B Preferred Stock called for redemption.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Bread Financial ever becomes a Regulated Institution, our ability to pay dividends in the future would be subject to applicable bank regulatory requirements, including any applicable capital adequacy regulations and guidelines.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So long as any share of Series B Preferred Stock remains outstanding, (1) no dividend will be declared or paid or set aside for payment and no distribution will be declared or made or set aside for payment on any junior stock (other than (i) a dividend payable solely in junior stock or (ii) any dividend in connection with the implementation of a shareholders’ rights plan, or the redemption or repurchase of any rights under any such plan), (2) no shares of junior stock shall be repurchased, redeemed or otherwise acquired for consideration by us, directly or indirectly, nor shall any monies be paid to or made available for a sinking fund for the redemption of any such securities by us (other than (i) as a result of a reclassification of junior stock for or into other junior stock, (ii) the exchange or conversion of one share of junior stock for or into another share of junior stock, (iii) through the use of the proceeds of a substantially contemporaneous sale of other shares of junior stock, (iv) purchases, redemptions or other acquisitions of shares of the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preceding dividend period, including under a contractually binding stock repurchase plan, (vi) the purchase of fractional interests in shares of junior stock pursuant to the conversion or exchange provisions of such stock or the security being converted or exchanged, or (vii) the acquisition by us or any of our subsidiaries of record ownership in junior stock for the beneficial ownership of any other persons (other than for the beneficial ownership by us or any of our subsidiaries), including as trustees or custodians) and (3) no shares of parity stock, including the Series A Preferred Stock, shall be repurchased, redeemed or otherwise acquired for consideration by us, directly or indirectly (nor shall any monies be paid to or made available for a sinking fund for the redemption of any such securities by us), during a dividend period (other than (i) pursuant to pro rata offers to purchase all, or a pro rata portion, of the Series B Preferred Stock and such parity stock, including the Series A Preferred Stock, (ii) as a result of a reclassification of parity stock for or into other parity stock, (iii) the exchange or conversion of parity stock for or into other parity stock or junior stock, (iv) through the use of the proceeds of a substantially contemporaneous sale of other shares of parity stock, (v) purchases of shares of parity stock pursuant to a contractually binding requirement to buy parity stock existing prior to the preceding dividend period, including under a contractually binding stock repurchase plan, (vi) the purchase of fractional interests in shares of parity stock pursuant to the conversion or exchange provisions of such stock or the security being converted or exchanged, or (vii) the acquisition by us or any of our subsidiaries of record ownership in parity stock for the beneficial ownership of any other persons (other than for the beneficial ownership by us or any of our subsidiaries), including as trustees or custodians) unless, in each case, the full dividends for the preceding dividend period on all outstanding shares of Series B Preferred Stock have been paid in full or declared and a sum sufficient for the payment thereof has been set aside for payment.</w:t>
      </w:r>
    </w:p>
    <w:p>
      <w:pPr>
        <w:spacing w:after="0" w:line="20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will not declare or pay or set apart funds for the payment of dividends on any securities which rank equally with the Series B Preferred Stock, including the Series A Preferred Stock, unless we have paid or set apart funds for the payment of dividends on the Series B Preferred Stock.</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When dividends are not paid in full upon the shares of Series B Preferred Stock and parity stock, including the Series A Preferred Stock, all dividends declared upon shares of Series B Preferred Stock and parity stock, including the Series A Preferred Stock, will be declared on a proportional basis so that the amount of dividends declared per share will bear to each other the same ratio that dividends payable for the then-current dividend period per share on Series B Preferred Stock, and dividends payable, including any accumulations, if any, on parity stock, including the Series A Preferred Stock, bear to each other.</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supplement, “junior stock” means our common stock and any other class or series of stock of Bread Financial hereafter authorized over which Series B Preferred Stock has preference or priority in the payment of dividends or in the distribution of assets on any liquidation, dissolution or winding up of Bread Financial.</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supplement, “parity stock” means any other class or series of stock of Bread Financial that ranks on a parity with the Series B Preferred Stock in the payment of dividends and in the distribution of assets on any liquidation, dissolution or winding up of Bread Financial. As of March 31, 2026,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parity stock outstanding is our Series A Preferred Stock, of which 75,000 shares are currently outstanding. See “—Other Preferred Stock” below.</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“senior stock” means any other class or series of stock of Bread Financial ranking senior to the Series B Preferred Stock with respect to payment of dividends or the distribution of assets upon liquidation, dissolution or winding up of Bread Financial.</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considerations described above, and not otherwise, dividends (payable in cash, stock or otherwise), as may be determined by our Board of Directors or a duly authorized committee of our Board of Directors, may be declared and paid on our common stock and any other stock ranking equally with or junior to the Series B Preferred Stock from time to time out of any assets legally available for such payment, and the holders of Series B Preferred Stock shall not be entitled to participate in any such dividend.</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Dividends on the Series B Preferred Stock will not be declared, paid or set aside for payment to the extent such act would cause us to fail to comply with applicable laws and regulations, including, if Bread Financial were to become a Regulated Institution, capital regulations and guidelines applicable to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Series B Preferred Stock is not subject to any mandatory redemption, sinking fund or other similar provisions.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Redemption on or Following the First Reset Date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upon a regulatory capital treatment event, as described below, the Series B Preferred Stock is not redeemable prior to the First Reset Date. On that date, and on any dividend payment date thereafter, we may redeem the Series B Preferred Stock at our option, subject to any regulatory approval requirements as are in effect at such time, in whole or in part, from time to time, at a redemption price equal to $1,000 per share (equivalent to $25 per depositary share), plus any declared and unpaid dividends. Neither the holders of Series B Preferred Stock nor holders of depositary shares will have the right to require the redemption or repurchase of the Series B Preferred Stock.</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Redemption Following a Regulatory Capital Treatment Event</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If Bread Financial ever becomes a Regulated Institution, we may redeem shares of the Series B Preferred Stock at any time within 90 days following a regulatory capital treatment event, in whole but not in part, at a redemption price equal to $1,000 per share (equivalent to $25 per depositary share), plus any declared and unpaid dividends on the shares of Series B Preferred Stock called for redemption up to the redemption date. A “regulatory capital treatment event” means the good faith determination by Bread Financial that, as a result of (i) any amendment to, or change (including any announced prospective change) in, the laws or regulations of the United States or any political subdivision of or in the United States that is enacted or becomes effective after the initial issuance of any share of Series B Preferred Stock; or (ii) any official administrative decision or judicial decision or administrative action or other official pronouncement interpreting or applying those laws or regulations that is announced after the initial issuance of any share of Series B Preferred Stock, there is more than an insubstantial risk that Bread Financial will not be entitled to treat the full liquidation value of the shares of Series B Preferred Stock then outstanding as Tier 1 capital (or its equivalent) for purposes of the capital adequacy regulations and guidelines of the Federal Reserve or such other applicable federal banking agency (or, as and if applicable, the capital adequacy regulations and guidelines of any successor “appropriate federal banking agency”), as then in effect and applicable, for as long as any share of Series B Preferred Stock is outstanding,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assuming such capital adequacy regulations and guidelines were applicable to us. “Appropriate federal banking agency” means the appropriate federal banking agency with respect to us, if Bread Financial ever becomes a Regulated Institution, as that term is defined in Section 3(q) of the Federal Deposit Insurance Act or any successor provision. Dividends will cease to accrue on those shares on the redemption date.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shares of the Series B Preferred Stock are to be redeemed, the notice of redemption shall be sent to the holders of record of the Series B Preferred Stock to be redeemed, sent not less than 30 days nor more than 60 days prior to the date fixed for redemption thereof (provided that, if the depositary shares representing the Series B Preferred Stock are held in book-entry form through DTC, we may give such notice in any manner permitted by DTC). Each notice of redemption will include a statement setting forth:</w:t>
      </w:r>
    </w:p>
    <w:p>
      <w:pPr>
        <w:spacing w:after="0" w:line="85"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B Preferred Stock to be redeemed and, if less than all the shares held by the holder are to be redeemed, the number of shares of Series B Preferred Stock to be redeemed from the holder;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certificates evidencing shares of Series B Preferred Stock are to be surrendered for payment of the redemption price.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and after the redemption date, dividends will cease to be payable on shares of Series B Preferred Stock to be redeemed, and such shares of Series B Preferred Stock shall no longer be deemed outstanding and all rights of the holders of such shares will terminate, including rights described under “—Voting Rights” below, except the right to receive the redemption price plus any declared and unpaid dividends. See “Description of Depositary Shares” beginning on page S-28 of this prospectus supplement for information about redemption of the depositary shares relating to the Series B Preferred Stock.</w:t>
      </w:r>
    </w:p>
    <w:p>
      <w:pPr>
        <w:spacing w:after="0" w:line="183"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case of any redemption of only part of the shares of the Series B Preferred Stock at the time outstanding, the shares to be redeemed shall be selected pro rata or by lot. Subject to the provisions hereof, our Board of Directors shall have full power and authority to prescribe the terms and conditions upon which shares of Series B Preferred Stock shall be redeemed from time to time.</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Bread Financial ever becomes a Regulated Institution, any redemption of the Series B Preferred Stock will be subject to our receipt of any prior approval required by the applicable federal banking agency and to the satisfaction of any conditions set forth in applicable regulations and guidelines of such federal banking agency applicable to the redemption of the Series B Preferred Stock, including capital regulations and guidelines. Under the current regulations of the federal banking agencies, if Bread Financial were a Regulated Institution, prior to exercising the option to redeem the Series B Preferred Stock or immediately thereafter, we would be required to either replace the Series B Preferred Stock with an equal amount of instruments that meet the applicable federal banking agency’s criteria for regulatory capital treatment or demonstrate to the satisfaction of such federal banking agency that, following redemption, the Company would continue to hold capital commensurate with its risk. See “Risk Factors—Investors should not expect Bread Financial to redeem the Series B Preferred Stock on the date it becomes redeemable or on any particular date after it becomes redeemable” on page S-14 in this prospectus supplement. Neither the holders of the Series B Preferred Stock nor the holders of the related depositary shares have the right to require the redemption or repurchase of the Series B Preferred Stock.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event we liquidate, dissolve or wind-up our business and affairs, either voluntarily or involuntarily, holders of the Series B Preferred Stock are entitled to receive a liquidating distribution of $1,000 per share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(equivalent to $25 per depositary share), plus any declared and unpaid dividends, without accumulation of any undeclared dividends before we make any distribution of assets to the holders of our common stock or any other class or series of shares ranking junior to the Series B Preferred Stock. Holders of the Series B Preferred Stock will not be entitled to any other amounts from us after they have received their full liquidating distribution.</w:t>
      </w:r>
    </w:p>
    <w:p>
      <w:pPr>
        <w:spacing w:after="0" w:line="15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any such distribution, if the assets of Bread Financial are not sufficient to pay the liquidation preferences plus declared and unpaid dividends in full to all holders of the Series B Preferred Stock and all holders of parity stock, including the Series A Preferred Stock, as to such distribution with the Series B Preferred Stock, the amounts paid to the holders of Series B Preferred Stock and parity stock, including the Series A Preferred Stock, will be paid pro rata in accordance with the respective aggregate liquidating distribution owed to those holders. If the liquidation preference plus declared and unpaid dividends has been paid in full to all holders of Series B Preferred Stock and parity stock, including the Series A Preferred Stock, the holders of our junior stock shall be entitled to receive all remaining assets of Bread Financial according to their respective rights and preferences.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we will generally be able to pay dividends and distributions upon liquidation, dissolution or winding up only out of lawfully available assets for such payment (after satisfaction of all claims for indebtedness and other non-equity claims).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section, the merger or consolidation of Bread Financial with any other entity, including a merger or consolidation in which the holders of Series B Preferred Stock receive cash, securities or property for their shares, or the sale, lease or exchange of all or substantially all of the assets of Bread Financial for cash, securities or other property, shall not constitute a liquidation, dissolution or winding up of Bread Financial.</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Because we are a holding company, our rights and the rights of our creditors and our shareholders, including the holders of the Series B Preferred Stock, to participate in the assets of any of our subsidiaries, upon that subsidiary’s liquidation or recapitalization may be subject to the prior claims of that subsidiary’s creditors, except to the extent that we are a creditor with recognized claims against the subsidiary.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provided below, the holders of the Series B Preferred Stock will have no voting rights.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Elect Two Directors upon Nonpayment</w:t>
      </w:r>
    </w:p>
    <w:p>
      <w:pPr>
        <w:spacing w:after="0" w:line="121"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If we fail to pay, or declare and set apart for payment, dividends on outstanding shares of the Series B Preferred Stock for six quarterly dividend periods, whether or not consecutive, the number of directors on our Board of Directors shall be increased by two at our first annual meeting of the shareholders held thereafter, and at such meeting and at each subsequent annual meeting until continuous noncumulative dividends for at least one year on all outstanding shares of Series B Preferred Stock entitled thereto shall have been paid in full, the holders of shares of Series B Preferred Stock shall have the right, voting separately as a class together with holders of any other equally ranked series of preferred stock that have similar voting rights, including the Series A Preferred Stock, to elect such two additional members of our Board of Directors to hold office for a term of one year; provided that our Board of Directors shall at no time include more than two additional directors elected by holders of shares of Series B Preferred Stock and any other equally ranked series of preferred stock having similar voting rights, including the Series A Preferred Stock, voting together as one class. Upon such payment in full, the terms of the two additional directors so elected shall forthwith terminate, and the number of directors shall be reduced by two, and such voting right of the holders of shares of Series B Preferred Stock shall cease, subject to increase in the number of directors as described above and to revesting of such voting right in the event of each and every additional failure in the payment of dividends for six quarterly dividend periods, whether or not consecutive, as described above. In addition, if and when the rights of holders of Series B Preferred Stock terminate for any reason, including under circumstances described above under “—Redemption,” such voting rights shall terminate along with the other rights (except, if applicable, the right to receive the redemption price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9" w:lineRule="auto"/>
        <w:rPr>
          <w:sz w:val="20"/>
          <w:szCs w:val="20"/>
          <w:color w:val="auto"/>
        </w:rPr>
      </w:pPr>
      <w:r>
        <w:rPr>
          <w:rFonts w:ascii="Times New Roman" w:cs="Times New Roman" w:eastAsia="Times New Roman" w:hAnsi="Times New Roman"/>
          <w:sz w:val="17"/>
          <w:szCs w:val="17"/>
          <w:color w:val="auto"/>
        </w:rPr>
        <w:t>plus any declared and unpaid dividends), and the terms of any additional directors elected by the holders of Series B Preferred Stock and any other equally ranked series of preferred stock having similar voting rights, including the Series A Preferred Stock, shall terminate automatically and the number of directors reduced by two, assuming that the rights of holders of such equally ranked series of preferred stock have similarly terminated.</w:t>
      </w:r>
    </w:p>
    <w:p>
      <w:pPr>
        <w:spacing w:after="0" w:line="15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the holders of any series of preferred stock are or become entitled to vote separately for the election of directors as a class, such series, along with any other holders of stock that are entitled to vote for the election of directors with that series, will be deemed a class of voting securities for purposes of certain banking laws, including the Change in Bank Control Act of 1978 and the FDIC’s implementing regulations. Because the Banks are “insured depository institutions” within the meaning of the Federal Deposit Insurance Act and the Change in Bank Control Act, an individual or entity is generally required, pursuant to the Change in Bank Control Act and the FDIC’s implementing regulations, to provide 60 days’ prior notice to the FDIC before acquiring, either acting alone or in concert with others, 25% or more of any class of our voting stock or otherwise acquiring control of us. An individual or entity is presumed to control us, and therefore generally required to provide 60 days’ prior notice to the FDIC, if the individual or entity, either acting alone or in concert with others, acquires 10% or more of any class of our voting stock, although the individual or entity may seek to rebut this presumption of control based on the facts.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Voting Rights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So long as any shares of Series B Preferred Stock remain outstanding, the affirmative vote or consent of the holders of at least two-thirds of all outstanding shares of the Series B Preferred Stock, voting separately as a class, shall be required to:</w:t>
      </w:r>
    </w:p>
    <w:p>
      <w:pPr>
        <w:spacing w:after="0" w:line="67" w:lineRule="exact"/>
        <w:rPr>
          <w:sz w:val="20"/>
          <w:szCs w:val="20"/>
          <w:color w:val="auto"/>
        </w:rPr>
      </w:pPr>
    </w:p>
    <w:p>
      <w:pPr>
        <w:ind w:left="1080" w:right="3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increase the authorized amount of, or issue shares of, any class or series of senior stock, or issue any obligation or security convertible into or evidencing the right to purchase any such shares;</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provisions of our Third Amended and Restated Certificate of Incorporation so as to adversely affect the powers, preferences, privileges or rights of the Series B Preferred Stock, taken as a whole; provided, however, that any increase in the amount of the authorized or issued Series B Preferred Stock or authorized common stock or preferred stock or the creation and issuance, or an increase in the authorized or issued amount, of other series of preferred stock ranking equally with or junior to the Series B Preferred Stock with respect to the payment of dividends (whether such dividends are cumulative or non-cumulative) or the distribution of assets upon liquidation, dissolution or winding up of Bread Financial will not be deemed to adversely affect the powers, preferences, privileges or rights of the Series B Preferred Stock; or</w:t>
      </w:r>
    </w:p>
    <w:p>
      <w:pPr>
        <w:spacing w:after="0" w:line="94"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binding share-exchange or reclassification involving the Series B Preferred Stock, or a merger or our consolidation with or into another entity unless (i) the shares of the Series B Preferred Stock remain outstanding or are converted into or exchanged for preference securities of the new surviving entity and (ii) the shares of the remaining Series B Preferred Stock or new preferred securities have terms that are not materially less favorable to holders than the Series B Preferred Stock.</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voting provisions will not apply if, at or prior to the time when the act with respect to which such vote would otherwise be required shall be effected, all outstanding shares of Series B Preferred Stock shall have been redeemed or repurchased.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 under Delaware Law</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Section 242(b)(2) of the General Corporation Law of the State of Delaware provides that the holders of preferred stock will have the right to vote separately as a class on any amendment to our Third Amended and Restated Certificate of Incorporation that would increase or decrease the aggregate number of authorized shares of such class, increase or decrease the par value of the shares of such class, or alter or change the powers,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preferences, or special rights of the shares of such class so as to affect them adversely. If any such proposed amendment would alter or change the powers, preferences or special rights of one or more series of preferred stock so as to affect them adversely, but would not so affect the entire class of preferred stock, only the shares of the series so affected shall be considered a separate class for purposes of this vote on the amendment. This right is in addition to any voting rights that may be provided for in our Third Amended and Restated Certificate of Incorporation.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authorizes our Board of Directors to create and provide for the issuance of one or more series of preferred stock, par value $0.01 per share, without the approval of our stockholders. Our Board of Directors can also determine the terms, including the designations, powers, preferences and rights (including conversion, voting and other rights) and the qualifications, limitations or restrictions, of any preferred stock. Currently, 19,880,000 shares of our capital stock are classified as preferred stock under our Third Amended and Restated Certificate of Incorporation. As of the date of this prospectus supplement, we have 75,000 shares of preferred stock outstanding, consisting of Series A Preferred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Agent, Transfer Agent and Registrar</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Computershare Trust Company, N.A and Computershare Inc. collectively will be the depositary and will be the transfer agent and registrar for the Series B Preferred Stock, in their respective capacities. We may, in our sole discretion, remove the depositary in accordance with the agreement between us and the depositary; provided that we will appoint a successor depositary who will accept such appointment prior to the effectiveness of its removal in accordance with the terms of the agreement between us and the depository.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Agent</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Unless we have validly called all shares of Series B Preferred Stock for redemption on or prior to the First Reset Date, we will appoint a calculation agent with respect to the Series B Preferred Stock prior to the reset dividend determination date preceding the First Reset Date. We may appoint ourselves or an affiliate of ours as calculation agent. We may terminate the appointment of the calculation agent at any time and from time to time, provided we shall use our best efforts to ensure that there is, at all times when the Series B Preferred Stock is outstanding, a person or entity appointed and serving as such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Preemptive and Conversion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the Series B Preferred Stock do not have any preemptive or conversion rights.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following description summarizes specific terms and provisions of the depositary shares relating to the Series B Preferred Stock.</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are issuing depositary shares representing proportional fractional interests in shares of the Series B Preferred Stock. Each depositary share represents a 1/40th interest in a share of the Series B Preferred Stock, and will be evidenced by depositary receipts. We will deposit the underlying shares of the Series B Preferred Stock with a depositary pursuant to a deposit agreement among us, Computershare Trust Company, N.A. and Computershare Inc. collectively acting as depositary and the holders from time to time of the depositary receipts evidencing the depositary shares (the “Deposit Agreement”). Subject to the terms of the Deposit Agreement, each holder of a depositary share will be entitled, through the depositary, in proportion to the applicable fraction of a share of Series B Preferred Stock represented by such depositary share, to all the rights and preferences of the Series B Preferred Stock represented thereby (including dividend, voting, redemption and liquidation rights).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this prospectus supplement, references to “holders” of depositary shares mean those who own depositary shares registered in their own names on the books that we or the depositary maintain for this purpose, and not indirect holders who own beneficial interests in depositary shares registered in street name or issued in book-entry form through DTC. Please review the special considerations that apply to indirect holders described in the section entitled “Book-Entry Procedures and Settlement” beginning on page S-31 of this prospectus supplement.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Immediately following the issuance of the Series B Preferred Stock, we will deposit the Series B Preferred Stock with the depositary, which will then issue the depositary shares to the underwriters. Copies of the forms of Deposit Agreement and the depositary receipt may be obtained from us upon request and in the manner described in the section entitled “Where You Can Find More Information” in the accompanying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dividend payable on a depositary share will be in an amount equal to 1/40th of the dividend declared and payable on the related share of the Series B Preferred Stock.</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distribute any cash dividends or other cash distributions received in respect of the deposited Series B Preferred Stock to the record holders of depositary shares relating to the underlying Series B Preferred Stock in proportion to the number of depositary shares held by the holders. If Bread Financial makes a distribution other than in cash, the depositary will distribute any property received by it to the record holders of depositary shares entitled to those distributions, unless it determines that the distribution cannot be made proportionally among those holders or that it is not feasible to make a distribution. In that event, the depositary may, with our approval, sell the property and distribute the net proceeds from the sale to the holders of the depositary shares.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Record dates for the payment of dividends and other matters relating to the depositary shares will be the same as the corresponding record dates for the Series B Preferred Stock.</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amounts distributed to holders of depositary shares will be reduced by any amounts required to be withheld by the depositary or by us on account of taxes or other governmental charges. The depositary may refuse to make any payment or distribution, or any transfer, exchange, or withdrawal of any depositary shares or the shares of the Series B Preferred Stock until such taxes or other governmental charges are paid.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redeem the Series B Preferred Stock represented by the depositary shares, the depositary shares will be redeemed from the proceeds received by the depositary resulting from the redemption of the Series B Preferred Stock held by the depositary in accordance with the agreement between us and the depository. The redemption price per depositary share is expected to be equal to 1/40th of the redemption price per share payable with respect to the Series B Preferred Stock (or $25 per depositary share), plus any declared and unpaid dividends.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Whenever we redeem shares of Series B Preferred Stock held by the depositary, the depositary will redeem, as of the same redemption date, the number of depositary shares representing shares of Series B Preferred Stock so redeemed in accordance with the agreement between us and the depository. If fewer than all of the outstanding depositary shares are redeemed, the depositary will select the depositary shares to be redeemed pro rata or by lot or in such other manner determined by us to be fair and equitable, pursuant to the terms of the agreement between us and the depository. If fewer than all of the Depositary Shares evidenced by a Receipt are called for redemption, the Depositary will deliver to the Holder of such Receipt upon its surrender to the Depositary, together with the redemption payment, a new Receipt evidencing the Depositary Shares evidenced by such prior Receipt and not called for redemption. In any such case, the Corporation shall redeem Depositary Shares only in increments of 10 Depositary Shares and any multiple thereof. The depositary will send notice of redemption to record holders of the depositary receipts not less than 30 and not more than 60 days prior to the date fixed for redemption of the Series B Preferred Stock and the related depositary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Series B Preferred Stock</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Because each depositary share represents a 1/40th interest in a share of the Series B Preferred Stock, holders of depositary receipts will be entitled to 1/40th of a vote per depositary share under those limited circumstances in which holders of the Series B Preferred Stock are entitled to a vote.</w:t>
      </w:r>
    </w:p>
    <w:p>
      <w:pPr>
        <w:spacing w:after="0" w:line="14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When the depositary receives notice of any meeting at which the holders of the Series B Preferred Stock are entitled to vote, the depositary will send the information contained in the notice to the record holders of the depositary shares relating to the Series B Preferred Stock. Each record holder of the depositary shares on the record date, which will be the same date as the record date for the Series B Preferred Stock, may instruct the depositary to vote the amount of the Series B Preferred Stock represented by the holder’s depositary shares. To the extent possible, the depositary will vote the amount of the Series B Preferred Stock represented by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depositary shares representing the Series B Preferred Stock, it will not vote the amount of the Series B Preferred Stock represented by such depositary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Agent, Transfer Agent and Registrar</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Computershare Trust Company, N.A and Computershare Inc. collectively will be the depositary and will be the transfer agent and registrar for the depositary shares, in their respective capacities. We may, in our sole discretion, remove the depositary in accordance with the agreement between us and the depositary; provided that we will appoint a successor depositary who will accept such appointment prior to the effectiveness of its removal.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Series B Preferred Stock and Depositary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shares shall be issued in book-entry form through DTC, as described in “Book-Entry Procedures and Settlement” on page S-31 in this prospectus supplement. The Series B Preferred Stock will be issued in registered form to the depositary.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Depositary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apply to list the depositary shares on the NYSE under the symbol “BFH PrB.” However, there is no guarantee that we will be able to list the depositary shares. If approved, we expect trading of the depositary shares on the NYSE to begin within the 30-day period following the original issue date. Even if the depositary shares are listed, there may be little or no secondary market for the depositary shares.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0980"/>
          </w:cols>
          <w:pgMar w:left="320" w:top="455" w:right="5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BOOK-ENTRY PROCEDURES AND SETTLEMENT</w:t>
      </w:r>
    </w:p>
    <w:p>
      <w:pPr>
        <w:spacing w:after="0" w:line="22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issue the depositary shares under a book-entry system in the form of one or more global depositary receipts. We will register the global depositary receipts in the name of Cede &amp; Co., as a nominee for The Depository Trust Company (“DTC”), or such other name as may be requested by an authorized representative of DTC. The global depositary receipts will be deposited with the depositary.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the issuance of the depositary shares in book-entry only form, DTC will credit the accounts of its participants with the depositary shares upon our instructions. DTC will thus be the only registered holder of the depositary receipts representing the depositary shares and will be considered the sole owner of the depositary receipts for purposes of the Deposit Agreement.</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Global depositary receipts may be transferred, in whole and not in part, only to another nominee of DTC or to a successor of DTC or its nominee. Beneficial interests in the global depositary receipts may be held through Euroclear Bank SA/NV, as operator of the Euroclear System, and Clearstream Banking, S.A., each as indirect participants in DTC. Transfers of beneficial interests in the global depositary receipts will be subject to the applicable rules and procedures of DTC and its direct and indirect participants, including, if applicable, those of Euroclear and Clearstream, which may change from time to time. DTC has advised us as follows: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deposit with it. DTC also facilitates the post-trade settlement among participants of sales and other securities transactions in deposited securities through electronic computerized book entry transfers and pledges between participants’ accounts, thereby eliminating the need for physical movement of securities certificates.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Direct participants in DTC’s system include both U.S. and non-U.S. securities brokers and dealers, banks, trust companies, clearing corporations, and certain other organizations. Access to DTC’s system also is available to others such as both U.S. and non- U.S. securities brokers and dealers, banks, trust companies and clearing corporations that clear through or maintain a custodial relationship with a direct participant, either directly or indirectly, which we collectively call indirect participants. Persons that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the indirect participants. The rules applicable to DTC and its participants are on file with the SEC.</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DTC has also advised us that, upon the issuance of the depositary receipts evidencing the depositary shares, it will credit, on its book-entry registration and transfer system, the depositary shares evidenced thereby to the designated accounts of participants. Ownership of beneficial interests in the global depositary receipts will be limited to participants or persons that may hold interests through participants. Ownership of beneficial interests in the global depositary receipts will be shown on, and the transfer of those ownership interests may be effected only through, records maintained by DTC or its nominee (with respect to participants) and the records of participants and indirect participants (with respect to other owners of beneficial interests in the global depositary receipts).</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Investors in the global depositary receipts that are participants may hold their interests therein directly through DTC. Investors in the global depositary receipts that are not participants may hold their interests therein indirectly through organizations (including Euroclear and Clearstream) that are participants in such system. Euroclear and Clearstream will hold interests in the global depositary receipts on behalf of their participants through customers’ securities accounts in their respective names on the books of their respective depositaries. All interests in a global depositary receipt, including those held through Euroclear or Clearstream, may be subject to the procedures and requirements of DTC. Those interests held through Euroclear or Clearstream may also be subject to the procedures and requirements of such systems.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laws of some states require that certain purchasers of securities take physical delivery of those securities in definitive form. These laws may impair the ability of holders to transfer beneficial interests in depositary receipts to certain purchasers. Because DTC can act only on behalf of the participants, which in turn act on behalf of the indirect participants, the ability of a person having beneficial interests in a global depositary receipt to pledge such interests to persons that do not participate in the DTC system, or otherwise take actions in respect of such interests, may be affected by the lack of a physical certificate evidencing such interests.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DTC or any successor depositary for a depositary receipt, or any nominee, is the registered holder of such depositary receipt, DTC or such successor depositary or nominee will be considered the sole owner or holder of the depositary shares represented by such depositary receipts for all purposes under the applicable indenture. Except as set forth below, owners of beneficial interests in a depositary receipt will not be entitled to have depositary shares represented by such depositary receipt registered in their names, will not receive or be entitled to receive physical delivery of depositary shares or depositary receipts in definitive form, and will not be considered the owners or holders thereof for any purpose under the Deposit Agreement. Accordingly, each person owning a beneficial interest in a depositary receipt must rely on the procedures of DTC and, if such person is not a participant, on the procedures of the participant through which such person owns its interest, to exercise any rights of a holder under the Deposit Agreement. We understand that, under existing industry practices, in the event that we request any action of holders or that an owner of a beneficial interest in the depositary receipts desires to give any consent or take any action under the Deposit Agreement, DTC or any successor depositary would authorize the participants holding the relevant beneficial interests to give or take such action or consent, and such participants would authorize beneficial owners owning through such participants to give or take such action or consent or would otherwise act upon the instructions of beneficial owners owning through them.</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Payment of dividends, if any, distributions upon liquidation or other distributions with respect to the depositary shares that are registered in the name of or held by DTC or any successor depositary or nominee will be payable to DTC or such successor depositary or nominee, as the case may be, in its capacity as registered holder of the global depositary receipts representing the depositary shares. Under the terms of the Deposit Agreement, the depositary will treat the persons in whose names the depositary shares, including the depositary receipts, are registered as the owners of such securities for the purpose of receiving payments and for all other purposes. Consequently, neither we, nor any depositary, nor any agent of us or any such depositary will have any responsibility or liability for any aspect of the records relating to, or payments made on account of, beneficial ownership interests in the depositary receipts, for maintaining, supervising or reviewing any records relating to such beneficial ownership interests, or for any other matter relating to the actions and practices of DTC or any of its participants or indirect participants.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DTC that its current practice, upon receipt of any payment of dividends, distributions upon liquidation or other distributions with respect to the depositary receipts, is to credit participants’ accounts with payments on the payment date, unless DTC has reason to believe it will not receive payments on such payment date. Each relevant participant is credited with an amount proportionate to its beneficial ownership of an interest in the relevant security as shown on the records of DTC. Payments by participants and indirect participants to owners of beneficial interests in the global depositary receipts held through such participants and indirect participants will be governed by standing instructions and customary practices, as is now the case with securities held for the accounts of customers in bearer form or registered in “street name,” and will be the responsibility of such participants or indirect participants, and will not be the responsibility of us, any depositary, nor any agent of us or of any such depositary. Neither we nor any such depositary or agent will be liable for any delay by DTC or by any participant or indirect participant in identifying the beneficial owners of the depositary shares, and we and any such depositary or agent may conclusively rely on and will be protected in relying on instructions from DTC or its nominee for all purposes.</w:t>
      </w:r>
    </w:p>
    <w:p>
      <w:pPr>
        <w:spacing w:after="0" w:line="19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Euroclear or Clearstream participants, on the other hand, will be effected through DTC in accordance with DTC’s rules on behalf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depositary receipts in DTC, and making or receiving payment in accordance with normal procedures for same-day funds settlement applicable to DTC. Euroclear participants and Clearstream participants may not deliver instructions directly to the depositories for Euroclear or Clearstream. DTC has advised us that it will take any action permitted to be taken by a holder of depositary shares only at the direction of one or more participants to whose account DTC has credited the interests in the global depositary receipts and only in respect of such portion of the aggregate amount of the depositary shares as to which such participant or participants has or have given such direction.</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Owners of beneficial interests in a global depositary receipt will not be entitled to receive physical delivery of the related depositary shares or any depositary receipts in certificated form and will not be considered the holders of the depositary shares or depositary receipts for any purpose Deposit Agreement, and no depositary receipt will be exchangeable, except for another depositary receipt of the same denomination and tenor to be registered in the name of DTC or a successor depositary or nominee. Accordingly, each beneficial owner must rely on the procedures of DTC and, if the beneficial owner is not a participant, on the procedures of the participant or indirect participant through which the beneficial owner owns its interest to exercise any rights of a holder under Deposit Agreement.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securities among participants in DTC, Euroclear and Clearstream, they are under no obligation to perform or to continue to perform such procedures, and may discontinue such procedures at any time. Neither we, nor any depositary, nor any agent of us or of any such depositary will have any responsibility for the performance by DTC, Euroclear or Clearstream or their respective participants or indirect participants of their respective obligations under the rules and procedures governing their operations.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information in this section, including any description of the operations and procedures of DTC, Euroclear and Clearstream, has been provided solely as a matter of convenience. We do not take any responsibility for the accuracy of this information, and this information is not intended to serve as a representation, warranty or contract modification of any kind. The operations and procedures of DTC, Euroclear and Clearstream are solely within the control of such settlement systems and are subject to changes by them. We urge investors to contact such systems or their participants directly to discuss these matters.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owning and disposing of depositary shares, but it does not purport to be a comprehensive description of all of the tax considerations that may be relevant to a particular person’s decision to acquire depositary shares. This discussion does not address state, local and non-U.S. tax consequences, any minimum tax consequences, any consequences resulting from the Medicare tax on investment income or any taxes other than income taxes. Moreover, the discussion below does not address the consequences to taxpayers subject to special tax accounting rules under Section 451(b) of the U.S. Internal Revenue Code of 1986, as amended (the “Code”). The discussion applies only to initial investors in depositary shares who hold depositary shares as “capital assets” within the meaning of Section 1221 of the Code (generally, property held for investment). In addition, it does not describe all of the tax consequences that may be relevant to investors subject to special rules, such as:</w:t>
      </w:r>
    </w:p>
    <w:p>
      <w:pPr>
        <w:spacing w:after="0" w:line="9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banks or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certain traders in securities that use a mark-to-market method of tax accounting;</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holding depositary shares as part of a “straddle,” wash sale, conversion transaction, integrated transaction or constructive sale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or other pass-through entities for U.S. federal income tax purposes (and partners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“individual retirement accounts” or “Roth IRAs”;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an entity or other arrangement that is classified as a partnership for U.S. federal income tax purposes holds the depositary shares, the U.S. federal income tax treatment of a partner in such partnership will generally depend on the status of the partner and the activities of the partnership. If you are a partnership holding the depositary shares or a partner in such a partnership, you should consult your tax adviser as to the particular U.S. federal tax consequences of holding and disposing of the depositary shares to you.</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remainder of this discussion is based on the Code, administrative pronouncements, judicial decisions and final, temporary and proposed U.S. Treasury regulations, all as of the date hereof. These laws are subject to change, possibly on a retroactive basis. Persons considering the purchase of depositary shares should consult their own tax advisers concerning the U.S. federal, state, local and non-U.S. tax consequences of owning and disposing of depositary shares in their particular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Depositary Shares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Beneficial owners of depositary shares will be treated as owners of the underlying Series B Preferred Stock for U.S. federal income tax purposes. Accordingly, each beneficial owner of a depositary share will be treated as receiving a proportionate share of all cash or other property received by a depositary in respect of the Series B Preferred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depositary shares that is, for U.S. federal tax purposes:</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administration of such trust and one or more U.S. persons have the authority to control all substantial decisions of the trust or (2) it has a valid election in place to be treated as a U.S. person;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Basis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Holder’s tax basis in depositary shares generally should equal the amount paid by the U.S. Holder to acquire the depositary shares.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Distributions paid on depositary shares will be treated as dividends to the extent paid out of our current or accumulated earnings and profits (as determined under U.S. federal income tax principles). If a distribution exceeds our current and accumulated earnings and profits, the excess will be first treated as a tax-free return of the U.S. Holder’s investment in the depositary shares, up to the U.S. Holder’s adjusted tax basis in the depositary shares. Any remaining excess will be treated as capital gain from the sale or exchange of such depositary shares, which is taxed as described below under “— Sale, Redemption or Other Disposition of Depositary Shares.” Subject to customary limitations and restrictions, dividends paid to non-corporate U.S. Holders will be treated as “qualified dividend income” (as defined in the Code) taxable at favorable rates applicable to long-term capital gains. Subject to customary limitations and restrictions, dividends paid to corporate U.S. Holders will be eligible for the dividends-received deduction. U.S. Holders should consult their own tax advisers regarding the application of reduced tax rates and the dividends-received deduction in their particular circumstances.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Redemption or Other Disposition of Depositary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U.S. federal income tax purposes, gain or loss realized by a U.S. Holder on the sale or other disposition (other than a redemption) of depositary shares will be capital gain or loss and will be long-term capital gain or loss if the U.S. Holder held the depositary shares for more than one year as of the date of sale or other disposition. The amount of the U.S. Holder’s gain or loss will be equal to the difference between the amount realized (excluding any declared but unpaid distributions treated as dividends for U.S. federal income tax purposes, which will generally be taxable to a U.S. Holder in the manner described above) on the sale or other disposition and the U.S. Holder’s adjusted tax basis in the depositary shares sold or otherwise disposed of.</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redemption will be taxed in the same manner as a distribution (as described above under “—Taxation of Distributions”) unless the redemption</w:t>
      </w:r>
    </w:p>
    <w:p>
      <w:pPr>
        <w:spacing w:after="0" w:line="27" w:lineRule="exact"/>
        <w:rPr>
          <w:sz w:val="20"/>
          <w:szCs w:val="20"/>
          <w:color w:val="auto"/>
        </w:rPr>
      </w:pPr>
    </w:p>
    <w:p>
      <w:pPr>
        <w:ind w:left="120" w:right="100" w:hanging="4"/>
        <w:spacing w:after="0" w:line="25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termination” of the U.S. Holder’s equity interest in us or (ii) is “not essentially equivalent to a dividend,” each within the meaning of Section 302(b) of the Code, with respect to the U.S. Holder. If a U.S. Holder owns none or only an insubstantial amount of our voting stock (actually or constructively, based on certain attribution rules), and does not exercise any control or management over our affairs, it is likely that a redemption of depositary shares that results (taking into account the overall circumstances of the redemption transaction) in a reduction in the U.S. Holder’s interest in our outstanding equity would be considered “not essentially equivalent to a dividend” (i.e., as a redemption resulting in capital gain or loss). If a redemption is not taxed in the same manner as a distribution, it will be taxed in the same manner as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sale or other disposition (as described in the previous paragraph). A redemption that is treated as a dividend and is either non-pro rata as to all stockholders or in partial liquidation of the corporation would generally be treated as an “extraordinary” dividend (as defined in the Code), the receipt of which may result in the reduction of a corporate U.S. Holder’s adjusted tax basis in the depositary shares. U.S. Holders should consult their own tax advisers regarding the application of the extraordinary dividend provisions of the Code rules in their particular circumstances.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jc w:val="both"/>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Payments of dividends on depositary shares, and the payment of proceeds from the sale or other disposition of depositary shares, generally are subject to information reporting and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Amounts withheld under the backup withholding rules are not additional taxes and may be credited against such U.S. Holder’s U.S. federal income tax liability and may entitle such U.S. Holder to a refund, provided that the required information is timely furnished to the Internal Revenue Service (the “IRS”).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depositary shares that is, for U.S. federal tax purposes:</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“Non-U.S. Holder” does not include a non-resident alien individual who is present in the United States for 183 days or more in the taxable year of disposition. Such an individual is urged to consult his or her own tax adviser regarding the U.S. federal income tax consequences of the ownership and the sale or other disposition of depositary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Dividends paid to a Non-U.S. Holder of depositary shares (including any redemption that is taxed as a dividend under the rules described above under “—Tax Consequences to U.S. Holders—Sale, Redemption or Other Disposition of Depositary Shares”) generally will be subject to withholding tax at a 30% rate or a reduced rate specified by an applicable income tax treaty. In order to obtain a reduced rate of withholding under an applicable income tax treaty, a Non-U.S. Holder will be required to provide an IRS Form W-8BEN (or other appropriate form) certifying its entitlement to benefits under a treaty.</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that provides an IRS Form W-8ECI (or other appropriate form), certifying that the dividends are effectively connected with the Non-U.S. Holder’s conduct of a trade or business within the United States, as described below.</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on Disposition of Depositary Shares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“—Information Reporting and Backup Withholding” and “—FATCA,” a Non-U.S. Holder generally will not be subject to U.S. federal income tax on gain realized on a sale, redemption (other than a redemption that is treated as the distribution of a dividend for U.S. federal income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tax purposes, as discussed in “Tax Consequences to U.S. Holders—Sale, Redemption or Other Disposition of Depositary Shares” above) or other disposition of depositary shares unless:</w:t>
      </w:r>
    </w:p>
    <w:p>
      <w:pPr>
        <w:spacing w:after="0" w:line="67" w:lineRule="exact"/>
        <w:rPr>
          <w:sz w:val="20"/>
          <w:szCs w:val="20"/>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of the Non-U.S. Holder in the United States, as described below;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within the meaning of Section 897 of the Code at any time within the five-year period preceding the disposition or the Non-U.S. Holder’s holding period, whichever period is shorter.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we are not, and do not anticipate becoming, a U.S. real property holding corporation.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Effectively Connected Income</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dividends or gains on depositary shares are effectively connected with a Non-U.S. Holder’s conduct of a trade or business in the United States (and, if required by an applicable income tax treaty, are attributable to a U.S. permanent establishment or fixed base maintained by the Non-U.S. Holder), the Non-U.S. Holder generally will be taxed in the same manner as a U.S. Holder (see “—Tax Consequences to U.S. Holders—Taxation of Distributions” and “—Tax Consequences to U.S. Holders—Sale, Redemption or Other Disposition of Depositary Shares” above). In that case, the Non-U.S. Holder will be exempt from the withholding tax on dividends discussed above, although the Non-U.S. Holder will be required to provide a properly executed IRS Form W-8ECI (or other appropriate form) in order to claim an exemption from withholding. A Non-U.S. Holder who is engaged in a trade or business in the United States should consult its own tax adviser with respect to other U.S. tax consequences of the ownership and disposition of depositary shares and, if the Non-U.S. Holder is a corporation, the possible imposition of a branch profits tax at a rate of 30% (or a lower treaty rate).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on depositary shares. A Non-U.S. Holder may have to comply with certification procedures to establish that it is not a United States person in order to avoid information reporting in respect of the payment of proceeds from a sale or other disposition of depositary shares and backup withholding on dividends or on the payment of proceeds from a sale or other disposition of depositary shares. Compliance with the certification procedures required to claim a reduced rate of withholding under a treaty will satisfy the certification requirements necessary to avoid backup withholding as well. Amounts withheld under the backup withholding rules are not additional taxes and may be credited against the Non-U.S. Holder’s U.S. federal income tax liability and may entitle the Non-U.S. Holder to a refund, provided that the required information is timely furnished to the IRS.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payments of U.S.-source dividends and the gross proceeds from the sale or other disposition of securities, such as our preferred stock or depositary shares, that can generate U.S.-source dividends or other U.S.-source “fixed or determinable annual or periodical” income (“FDAP income”)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may obtain a refund of any amounts withheld by filing a U.S. federal income tax return (which may entail significant administrative burden). The U.S. Department of Treasury has released proposed regulations which, if finalized in their present form, would eliminate the application of the FATCA withholding tax to the gross proceeds of a sale or other disposition of our preferred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stock or depositary shares. In its preamble to such proposed regulations, the U.S. Treasury stated that taxpayers may generally rely on the proposed regulations until final regulations are issued. You should consult your tax adviser regarding the effects of FATCA on your investment in our preferred stock or depositary shares, and the possible impact of these rules on the entities through which you hold our preferred stock or depositary shares, including, without limitation, the process and deadlines for meeting the applicable requirements to prevent the imposition of the FATCA withholding tax.</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0860"/>
          </w:cols>
          <w:pgMar w:left="320" w:top="455" w:right="7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certain considerations associated with the purchase and holding of the depositary shares by (a) employee benefit plans that are subject to Title I of the Employee Retirement Income Security Act of 1974, as amended (“ERISA”), (b) plans, individual retirement accounts and other arrangements that are subject to Section 4975 of the Code or provisions under any federal, state, local, non-U.S. or other laws or regulations that are similar to such provisions of ERISA or the Code (collectively, “Similar Laws”), and (c) entities whose underlying assets are considered to include assets of any such employee benefit plan, plan, account or arrangement (pursuant to regulations issued by the U.S. Department of Labor (the “DOL”), set forth in 29 C.F.R. Section 2510.3-101, as modified by Section 3(42) of ERISA, or otherwise) (each of the entities described in (a), (b) or (c), a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(any such plan, an “ERISA Plan”) and prohibit certain transactions involving the assets of an ERISA Plan and its fiduciaries or other interested parties. Under ERISA and the Code, any person who exercises any discretionary authority, responsibility or control over the administration of an ERISA Plan or the management or disposition of the assets of an ERISA Plan, or who renders investment advice to an ERISA Plan for a fee or other compensation, is generally considered to be a fiduciary of the ERISA Plan.</w:t>
      </w:r>
    </w:p>
    <w:p>
      <w:pPr>
        <w:spacing w:after="0" w:line="183"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considering an investment in the depositary shares by any Plan, fiduciaries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delegation of control and prohibited transaction provisions of ERISA, the Code and any other applicable Similar Laws.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Plan should consider the fact that none of us, the initial purchasers nor any of our or their respective affiliates (collectively, the “Transaction Parties”) is acting, or will act, as a fiduciary to any Plan with respect to the decision to purchase or hold the depositary shares (unless a statutory or administrative exemption applies (all of the applicable conditions of which are satisfied) or the transaction is not otherwise prohibited). The Transaction Parties are not undertaking to provide impartial investment advice or advice based on any particular investment need, or to give advice in a fiduciary capacity, with respect to the decision to purchase or hold the depositary shares (unless a statutory or administrative exemption applies (all of the applicable conditions of which are satisfied) or the transaction is not otherwise prohibited). All communications, correspondence and materials from the Transaction Parties with respect to the depositary shares are intended to be general in nature and are not directed at any specific purchaser of the depositary shares, and do not constitute advice regarding the advisability of investment in the depositary shares for any specific purchaser.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Prohibited Transaction Considerations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and/or the Code. In addition, the fiduciary of an ERISA Plan that engages in such a non-exempt prohibited transaction may be subject to penalties and liabilities under ERISA and the Code.</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acquisition and/or holding of depositary shares by an ERISA Plan with respect to which a Transaction Party is considered a party in interest or a disqualified person may constitute or result in a direct or indirect prohibited transaction under Section 406 of ERISA and/or Section 4975 of the Code, unless the investment 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acquired and is held in accordance with an applicable statutory, class or individual prohibited transaction exemption. In this regard, the DOL has issued prohibited transaction class exemptions (“PTCEs”) that may apply to the acquisition and/or holding of the depositary shares. These class exemptions include, without limitation, PTCE 84-14, respecting transactions determined by independent qualified professional asset managers, PTCE 90-1, respecting transactions involving insurance company pooled separate accounts, PTCE 91-38, respecting transactions involving bank collective investment funds, PTCE 95-60, respecting transactions involving insurance company general accounts and PTCE 96-23, respecting transactions determined by in-house asset managers. In addition, Section 408(b)(17) of ERISA and Section 4975(d)(20) of the Code provide an exemption from the prohibited transaction provisions of ERISA and Section 4975 of the Code, respectively, for the purchase and sale of securities, provided that neither the issuer of the securities nor any of its affiliates (directly or indirectly) has or exercises any discretionary authority or control or renders any investment advice with respect to the assets of any ERISA Plan involved in the transaction and provided further that the ERISA Plan receives no less, and pays no more, than adequate consideration in connection with the transaction. There can be no assurance that any such exemptions will be available, or that all of the conditions of any such exemptions will be satisfied, with respect to the transactions involving the depositary shares.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Governmental plans, certain church plans, non-U.S. plans and other plans, while not subject to the fiduciary responsibility provisions of Title I of ERISA or the prohibited transaction provisions described above, may nevertheless be subject to Similar Laws. Fiduciaries of any such plans should consult with their counsel regarding the potential consequences of an investment in the depositary shares under any applicable Similar Laws before purchasing any depositary shares.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Because of the foregoing, the depositary shares should not be purchased or held by any person investing the assets of any Plan, unless such purchase and holding will not constitute or result in a non-exempt prohibited transaction under ERISA or the Code and a violation under any applicable Similar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By its acceptance of a note, each purchaser and subsequent transferee will be deemed to have represented and warranted that either (i) such purchaser or subsequent transferee is not, and is not acting on behalf of or using the assets of, a Plan or (ii) the purchase, holding and subsequent disposition of a note by such purchaser or transferee will not constitute or result in a non-exempt prohibited transaction under Section 406 of ERISA or Section 4975 of the Code or a similar violation under any applicable Similar Laws, and none of the Transaction Parties is a fiduciary of such purchaser or transferee with respect to the purchase and holding of a note (unless a statutory or administrative exemption applies (all of the applicable conditions of which are satisfied) or the transaction is not otherwise prohibited).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foregoing discussion is merely a summary and should not be construed as legal advice or as complete in all relevant respects. The foregoing discussion is based on laws in effect on the date of this prospectus supplement and is subject to any subsequent changes therein. Due to the complexity of these rules and the penalties that may be imposed upon persons involved in non-exempt prohibited transactions, it is particularly important that fiduciaries or other persons considering investing in the depositary shares on behalf of, or with the assets of, any Plan, consult with their counsel regarding the potential applicability of ERISA, Section 4975 of the Code and any Similar Laws the acquisition, holding and disposition of the depositary shares. Acceptance of a note on behalf of a Plan is in no respect a representation by the Transaction Parties that such investment meets all relevant legal requirements with respect to investments by Plans generally or a particular Plan or that such investment is appropriate for Plans generally or a particular Plan.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 2026, we have agreed to sell to the underwriters named below, for whom Morgan Stanley &amp; Co. LLC, RBC Capital Markets, LLC, UBS Securities LLC, Wells Fargo Securities, LLC and Keefe, Bruyette &amp; Woods, Inc. are acting as representatives, and the underwriters have severally and not jointly agreed to purchase the respective number of depositary shares set forth opposite their names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880" w:type="dxa"/>
            <w:vAlign w:val="bottom"/>
            <w:vMerge w:val="restart"/>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Depositary</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7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pay for and accept delivery of the depositary shares are subject to, among other things, the approval of certain legal matters by their counsel and certain other conditions. The underwriters are obligated to purchase all the depositary shares offered by us if they purchase any depositary shares. The underwriting agreement also provides that if an underwriter defaults, the purchase commitments of non-defaulting underwriters may be increased or the offering may be terminated.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We have granted an option to the underwriters, exercisable for 30 days after the date of this prospectus supplement, to purchase up to          </w:t>
      </w:r>
    </w:p>
    <w:p>
      <w:pPr>
        <w:spacing w:after="0" w:line="27" w:lineRule="exact"/>
        <w:rPr>
          <w:sz w:val="20"/>
          <w:szCs w:val="20"/>
          <w:color w:val="auto"/>
        </w:rPr>
      </w:pP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additional depositary shares at the public offering price, less the underwriting discount. If the underwriters exercise this option, each will be obligated, subject to conditions contained in the underwriting agreement, to purchase a number of additional depositary shares proportionate to that underwriter’s initial amount reflected in the above table.</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initially propose to offer the depositary shares directly to the public at the public offering price that appears on the cover page of this prospectus supplement and to certain dealers at that price less a selling concession not in excess of $      per depositary share sold to institutional investors and $ per depositary share sold to retail investors. Any underwriter may allow, and such dealers may reallow, a selling concession not in excess of $per depositary share, to certain other brokers or dealers. After the initial offering of the depositary shares to the public, the underwriters may vary the offering price and other selling terms of the depositary shares from time to time. The offering of the depositary shares by the underwriters is subject to receipt and acceptance and subject to the underwriters’ right to reject any order in whole or in part. Sales of depositary shares made outside of the United States may be made by affiliates of the underwriters.</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depositary shares.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780" w:type="dxa"/>
            <w:vAlign w:val="bottom"/>
            <w:gridSpan w:val="3"/>
            <w:vMerge w:val="restart"/>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Public Offering</w:t>
            </w:r>
          </w:p>
        </w:tc>
        <w:tc>
          <w:tcPr>
            <w:tcW w:w="15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760" w:type="dxa"/>
            <w:vAlign w:val="bottom"/>
            <w:gridSpan w:val="4"/>
          </w:tcPr>
          <w:p>
            <w:pPr>
              <w:jc w:val="center"/>
              <w:ind w:left="556"/>
              <w:spacing w:after="0" w:line="149" w:lineRule="exact"/>
              <w:rPr>
                <w:sz w:val="20"/>
                <w:szCs w:val="20"/>
                <w:color w:val="auto"/>
              </w:rPr>
            </w:pPr>
            <w:r>
              <w:rPr>
                <w:rFonts w:ascii="Times New Roman" w:cs="Times New Roman" w:eastAsia="Times New Roman" w:hAnsi="Times New Roman"/>
                <w:sz w:val="14"/>
                <w:szCs w:val="14"/>
                <w:b w:val="1"/>
                <w:bCs w:val="1"/>
                <w:color w:val="auto"/>
              </w:rPr>
              <w:t>Bread Financial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Discount</w:t>
            </w:r>
            <w:r>
              <w:rPr>
                <w:rFonts w:ascii="Times New Roman" w:cs="Times New Roman" w:eastAsia="Times New Roman" w:hAnsi="Times New Roman"/>
                <w:sz w:val="10"/>
                <w:szCs w:val="10"/>
                <w:b w:val="1"/>
                <w:bCs w:val="1"/>
                <w:color w:val="auto"/>
              </w:rPr>
              <w:t>(1)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depositary share</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Without Exercise of Over-Allotment Option</w:t>
            </w:r>
          </w:p>
        </w:tc>
        <w:tc>
          <w:tcPr>
            <w:tcW w:w="10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With Full Exercise of Over-Allotment Option</w:t>
            </w:r>
            <w:r>
              <w:rPr>
                <w:rFonts w:ascii="Times New Roman" w:cs="Times New Roman" w:eastAsia="Times New Roman" w:hAnsi="Times New Roman"/>
                <w:sz w:val="25"/>
                <w:szCs w:val="25"/>
                <w:color w:val="auto"/>
                <w:vertAlign w:val="superscript"/>
              </w:rPr>
              <w:t>(2)</w:t>
            </w:r>
          </w:p>
        </w:tc>
        <w:tc>
          <w:tcPr>
            <w:tcW w:w="10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102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S-41</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35"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 xml:space="preserve">(1) The underwriting discount is calculated using a weighted average amount of $  depositary shares) and $      per depositary share for institutional orders ( 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780" w:hanging="10"/>
        <w:spacing w:after="0" w:line="282" w:lineRule="auto"/>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 xml:space="preserve"> </w:t>
      </w:r>
      <w:r>
        <w:rPr>
          <w:rFonts w:ascii="Times New Roman" w:cs="Times New Roman" w:eastAsia="Times New Roman" w:hAnsi="Times New Roman"/>
          <w:sz w:val="18"/>
          <w:szCs w:val="18"/>
          <w:color w:val="auto"/>
        </w:rPr>
        <w:t>per depositary share for retail orders (          depositary shares).</w:t>
      </w:r>
    </w:p>
    <w:p>
      <w:pPr>
        <w:spacing w:after="0" w:line="54" w:lineRule="exact"/>
        <w:rPr>
          <w:sz w:val="20"/>
          <w:szCs w:val="20"/>
          <w:color w:val="auto"/>
        </w:rPr>
      </w:pPr>
    </w:p>
    <w:p>
      <w:pPr>
        <w:sectPr>
          <w:pgSz w:w="11900" w:h="16838" w:orient="portrait"/>
          <w:cols w:equalWidth="0" w:num="2">
            <w:col w:w="6500" w:space="140"/>
            <w:col w:w="4460"/>
          </w:cols>
          <w:pgMar w:left="320" w:top="455" w:right="479" w:bottom="1440" w:gutter="0" w:footer="0" w:header="0"/>
          <w:type w:val="continuous"/>
        </w:sectPr>
      </w:pPr>
    </w:p>
    <w:p>
      <w:pPr>
        <w:ind w:left="560" w:right="60" w:hanging="4"/>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full exercise of the underwriters’ option to purchase additional depositary shares and assumes the sale of all such depositary shares to retail investors.</w:t>
      </w:r>
    </w:p>
    <w:p>
      <w:pPr>
        <w:spacing w:after="0" w:line="162" w:lineRule="exact"/>
        <w:rPr>
          <w:sz w:val="20"/>
          <w:szCs w:val="20"/>
          <w:color w:val="auto"/>
        </w:rPr>
      </w:pPr>
    </w:p>
    <w:p>
      <w:pPr>
        <w:ind w:left="560"/>
        <w:spacing w:after="0"/>
        <w:tabs>
          <w:tab w:leader="none" w:pos="9080" w:val="left"/>
        </w:tabs>
        <w:rPr>
          <w:sz w:val="20"/>
          <w:szCs w:val="20"/>
          <w:color w:val="auto"/>
        </w:rPr>
      </w:pPr>
      <w:r>
        <w:rPr>
          <w:rFonts w:ascii="Times New Roman" w:cs="Times New Roman" w:eastAsia="Times New Roman" w:hAnsi="Times New Roman"/>
          <w:sz w:val="18"/>
          <w:szCs w:val="18"/>
          <w:color w:val="auto"/>
        </w:rPr>
        <w:t xml:space="preserve">We estimate that our total expenses for this offering, excluding underwriting discount, will be approximately $       </w:t>
      </w:r>
      <w:r>
        <w:rPr>
          <w:sz w:val="20"/>
          <w:szCs w:val="20"/>
          <w:color w:val="auto"/>
        </w:rPr>
        <w:tab/>
      </w:r>
      <w:r>
        <w:rPr>
          <w:rFonts w:ascii="Times New Roman" w:cs="Times New Roman" w:eastAsia="Times New Roman" w:hAnsi="Times New Roman"/>
          <w:sz w:val="17"/>
          <w:szCs w:val="17"/>
          <w:color w:val="auto"/>
        </w:rPr>
        <w:t>million.</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or contribute to payments that the underwriters may be required to make in respect of, certain liabilities, including liabilities under the Securities Act.</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will apply to list the depositary shares on the NYSE under the symbol “BFH PrB.” However, there is no guarantee that we will be able to list the depositary shares. If approved, we expect trading of the depositary shares on the NYSE to begin within the 30-day period after the original issue date. Even if the depositary shares are listed, there may be little or no secondary market for the depositary shares. The underwriters have advised us that they intend to make a market in the depositary shares. However, they are not obligated to do so and may discontinue any market making in the depositary shares at any time in their sole discretion. Even if a secondary market for the depositary shares develops, it may not provide significant liquidity and transaction costs in any secondary market could be high. As a result, the difference between bid and asked prices in any secondary market could be substantial. We cannot assure you that you will be able to sell your depositary shares at a particular time or that the price you receive when you sell will be favorable.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for the period ending 30 days after the date of this prospectus supplement, and subject to certain exceptions, we will not, without the prior written consent of the representatives of the underwriters, (i) offer, pledge, announce the intention to sell, contract to sell, sell any option or contract to purchase, purchase any option or contract to sell, grant any option, right or warrant to purchase or otherwise transfer or dispose of, directly or indirectly, any Series B Preferred Stock or depositary shares, any other of our preferred stock (or depositary shares in respect thereof), or any securities convertible into or exercisable or exchangeable for Series B Preferred Stock, depositary shares, or any other of our preferred stock (or depositary shares in respect thereof), or (ii) enter into any swap or other agreement that transfers, in whole or in part, any of the economic consequences of ownership of Series B Preferred Stock or depositary shares, whether any such transaction described in clause (1) or (2) above is to be settled by delivery of Series B Preferred Stock or depositary shares or such other securities, in cash or otherwise.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short sales, syndicate covering transactions, stabilizing transactions and penalty bids in accordance with Regulation M under the Exchange Act. Short sales involve syndicate sales of depositary shares in excess of the number of depositary shares to be purchased by the underwriters in the offering, which create a syndicate short position. Syndicate covering transactions involve purchases of the depositary shares in the open market after the distribution has been completed in order to cover syndicate short positions. The underwriters may also cover a syndicate short position by exercising their option to purchase additional depositary shares. A short position is more likely to be created if the underwriters are concerned that there may be downward pressure on the price of the depositary shares in the open market after pricing that could adversely affect investors who purchase in the offering. Stabilizing transactions consist of bids for or purchases of depositary shares in the open market while the offering is in progress. The underwriters may also impose a penalty bid. This occurs when a particular underwriter repays to the underwriters a portion of the underwriting discount received by it because the representatives have repurchased depositary shares sold by or for the account of such underwriter in stabilizing or short covering transactions.</w:t>
      </w:r>
    </w:p>
    <w:p>
      <w:pPr>
        <w:spacing w:after="0" w:line="19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on the market price of the depositary shares. They may also cause the price of the depositary shares to be higher than the price that would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00"/>
          </w:cols>
          <w:pgMar w:left="320" w:top="455" w:right="47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otherwise exist in the open market in the absence of these transactions. If the underwriters engage in any of these transactions, they may discontinue any of them at any time without notice. Neither we nor the underwriters make any representation or prediction as to the direction or magnitude of any effect that the transactions described above may have on the price of the depositary shares.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depositary shares will be made upon the instructions of the joint book-running managers against payment on or about the date specified on the cover of this prospectus supplement, which is the business day following the date of pricing of the depositary shares. Under Rule 15c6-1 of the Exchange Act, trades in the secondary market generally are required to settle in one business day, unless the parties to a trade expressly agree otherwise. Accordingly, purchasers who wish to trade depositary shares on any date prior to the business day before delivery will be required, by virtue of the fact that the depositary shares initially will settle in         business days, to specify alternative settlement arrangements to prevent a failed settlement.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this offering and the distribution of this prospectus supplement and the accompanying prospectus. 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 prospectus or other disclosure document (as defined in the Corporations Act 2001 (Cth) of Australia (“Corporations Act”)) in relation to the depositary shares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81"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30" w:lineRule="exact"/>
        <w:rPr>
          <w:rFonts w:ascii="Times New Roman" w:cs="Times New Roman" w:eastAsia="Times New Roman" w:hAnsi="Times New Roman"/>
          <w:sz w:val="18"/>
          <w:szCs w:val="18"/>
          <w:color w:val="auto"/>
        </w:rPr>
      </w:pPr>
    </w:p>
    <w:p>
      <w:pPr>
        <w:ind w:left="1540" w:right="100" w:hanging="439"/>
        <w:spacing w:after="0" w:line="266"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30" w:lineRule="exact"/>
        <w:rPr>
          <w:rFonts w:ascii="Times New Roman" w:cs="Times New Roman" w:eastAsia="Times New Roman" w:hAnsi="Times New Roman"/>
          <w:sz w:val="18"/>
          <w:szCs w:val="18"/>
          <w:color w:val="auto"/>
        </w:rPr>
      </w:pPr>
    </w:p>
    <w:p>
      <w:pPr>
        <w:jc w:val="both"/>
        <w:ind w:left="1540" w:right="380" w:hanging="439"/>
        <w:spacing w:after="0" w:line="266"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8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depositary shares for resale in Australia within 12 months of the depositary shares being issued unless any such resale offer is exempt from the requirement to issue a disclosure document under section 708 of the Corporations Act.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offer of securities described in this prospectus supplement and the accompanying prospectus will not be carried out by any means that would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constitute a public offering in Brazil under Law No. 6385, of December 7, 1976, as amended, and under CVM Rule (Instrução) No. 400,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29, 2003, as amended. The offer and sale of the securities have not been and will not be registered with the Comissão de Valores Mobiliários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Brazil. Any representation to the contrary is untruthful and unlawful. Any public offering or distribution, as defined under Brazilian laws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regulations, of the interests in Brazil is not legal without such prior registration. Documents relating to the offering of the securities, as well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contained therein, may not be supplied to the public in Brazil, as the offering of the securities is not a public offering of securities in Brazil,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 may they be used in connection with any offer for sale of the securities to the public in Brazil. This prospectus supplement and the accompanying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 is addressed to you personally, upon your request and for your sole benefit, and is not to be transmitted to anyone else, to be relied upon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anyone else or for any other purpose either quoted or referred to in any other public or private document or to be filed with anyone without our prior,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express and written consent.</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depositary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Offered Securities Rules of the Dubai Financial Services Authority (“DFSA”).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the prospectus. The depositary shares to which this prospectus supplement and the accompanying prospectus relate may be illiquid and/or subject to restrictions on their resale. Prospective purchasers of the depositary shares offered should conduct their own due diligence on the depositary shares. If you do not understand the contents of this prospectus supplement or the accompanying prospectus you should consult an authorized financial advisor.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or any related free writing prospectus is a prospectus for the purposes of Regulation (EU) 2017/1129, as amended (the “Prospectus Regulation”).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prospectus supplement, the accompanying prospectus and any related free writing prospectus have been prepared on the basis that any offer of depositary shares in any Member State of the European Economic Area (the “EEA”) will only be made to a legal entity which is a qualified investor under the Prospectus Regulation (“EEA Qualified Investors”). Accordingly any person making or intending to make an offer in any Member State of the EEA of depositary shares which are the subject of the offering contemplated in this prospectus supplement, the accompanying prospectus and any related free writing prospectus may only do so with respect to EEA Qualified Investors. Neither Bread Financial nor the underwriters have authorized, nor do they authorize, the making of any offer of depositary shares in the EEA other than to EEA Qualified Investors.</w:t>
      </w:r>
    </w:p>
    <w:p>
      <w:pPr>
        <w:spacing w:after="0" w:line="183"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PROHIBITION OF SALES TO EEA RETAIL INVESTORS</w:t>
      </w:r>
      <w:r>
        <w:rPr>
          <w:rFonts w:ascii="Times New Roman" w:cs="Times New Roman" w:eastAsia="Times New Roman" w:hAnsi="Times New Roman"/>
          <w:sz w:val="17"/>
          <w:szCs w:val="17"/>
          <w:color w:val="auto"/>
        </w:rPr>
        <w:t>–The depositary shares are not intended to be offered, sold or otherwise made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w:t>
      </w:r>
    </w:p>
    <w:p>
      <w:pPr>
        <w:spacing w:after="0" w:line="1" w:lineRule="exact"/>
        <w:rPr>
          <w:sz w:val="20"/>
          <w:szCs w:val="20"/>
          <w:color w:val="auto"/>
        </w:rPr>
      </w:pPr>
    </w:p>
    <w:p>
      <w:pPr>
        <w:ind w:left="120" w:right="40" w:hanging="4"/>
        <w:spacing w:after="0" w:line="252" w:lineRule="auto"/>
        <w:tabs>
          <w:tab w:leader="none" w:pos="3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depositary shares to be offered so as to enable an investor to decide to purchase or subscribe for the depositary shares. Consequently, no key information document required by Regulation (EU) No 1286/2014 (as amended, the “PRIIPs Regulation”) for offering or selling the depositary shares or otherwise making them available to retail investors in the EEA has been prepared and therefore offering or selling the depositary shares or otherwise making them available to any retail investor in the EEA may be unlawful under the PRIIPs Regulation.</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depositary shares have not been and will not be offered or sold in Hong Kong by means of any document other than (i) in circumstances that do not constitute an offer to the public within the meaning of the Companies (Winding Up and Miscellaneous Provisions) Ordinance (Cap. 32, Laws of Hong Kong) (the “C(WUMP)O”), or (ii) to “professional investors” within the meaning of the Securities and Futures Ordinance (Cap. 571, Laws of Hong Kong) (the “SFO”) and any rules made thereunder, or (iii) in other circumstances that do not result in the document being a “prospectus” within the meaning of the C(WUMP)O, and no advertisement, invitation or document relating to the depositary shares has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depositary shares that are or are intended to be disposed of only to persons outside Hong Kong or only to “professional investors” within the meaning of the SFO and any rules made thereunder.</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depositary shares have not been and will not be registered under the Financial Instruments and Exchange Law of Japan (the “Financial Instruments and Exchange Law”) and accordingly, each underwriter has agreed that it will not offer or sell any depositary shares,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of benefit of any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institutional investors only. The depositary shares have not been and will not be registered under the Financial Investment Services and Capital Markets Act of Korea and none of the depositary shares may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offered or sold, directly or indirectly, in Korea or to any resident of Korea, or to any persons for reoffering or resale, directly or indirectly, in Korea or to, or for the account or benefit of, any resident of Korea (as such term is defined in the Foreign Exchange Transaction Law of Korea and rules and regulations promulgated thereunder), except as otherwise permitted under applicable laws and regulations.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No approval from the Securities Commission of Malaysia is or will be obtained, nor will any prospectus be filed or registered with the Securities Commission of Malaysia, for the offering of the depositary shares in Malaysia. This prospectus supplement and the accompanying prospectus do not constitute and are not intended to constitute an invitation or offer for subscription or purchase of the depositary shares, nor may this prospectus supplement, the accompanying prospectus or any other offering material or document relating to the depositary shares be published or distributed, directly or indirectly, to any person in Malaysia unless such invitation or offer falls within (a) Schedule 5 to the Capital Markets and Services Act 2007 (“CMSA”), (b) Schedule 6 or 7 to the CMSA as an “excluded offer or excluded invitation” or “excluded issue” within the meaning of section 229 and 230 of the CMSA and (c) Schedule 8 so the trust deed requirements in the CMSA are not applicable. No offer or invitation in respect of the depositary shares may be made in Malaysia except as an offer or invitation falling under Schedule 5, 6 or 7 and 8 to the CMSA</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not be circulated or distributed in the People’s Republic of China (“PRC”) and the depositary shares may not be offered or sold, and will not be offered or sold, directly or indirectly, to any resident of the PRC or to persons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filed with or reviewed or approved by, the Qatar Central Bank, any other relevant Qatar governmental body or securities exchange, nor any foreign governmental body or securities exchange. This prospectus supplement and the accompanying prospectus are being issued to a limited number of sophisticated investors and should not be provided to any person other than the original recipient. It is not for general circulation in the State of Qatar and should not be reproduced or used for any other purpose.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and will not be registered as a prospectus under the Securities and Futures Act 2001 (the “SFA”) by the Monetary Authority of Singapore, and the offer of the depositary shares in Singapore is made primarily pursuant to the exemptions under Section 274 and 275 of the SFA. Accordingly, each underwriter has advised that it has not offered or sold any depositary shares or caused the depositary shares to be made the subject of an invitation for subscription or purchase and will not offer or sell any depositary shares or cause the depositary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depositary shares whether directly or indirectly, to any person in Singapore other than (i) to an institutional investor (as defined in Section 4A of the SFA) pursuant to Section 274 of the SFA, (ii) to an accredited investor (as defined in Section 4A of the SFA) or other relevant person (as defined in Section 275(2) of the SFA) and pursuant to Section 275(1) of the SFA, or to any person pursuant to an offer referred to in Section 275(1A) of the SFA, and in accordance with the conditions specified in Section 275 of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SFA and (where applicable) Regulation 3 of the Securities and Futures (Classes of Investors) Regulations 2018, or (iii) otherwise pursuant to, and in accordance with the conditions of, any other applicable provision of the SFA.</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Where the depositary shares are subscribed for or acquired pursuant to an offer made in reliance on Section 275 of the SFA by a relevant person which is:</w:t>
      </w:r>
    </w:p>
    <w:p>
      <w:pPr>
        <w:spacing w:after="0" w:line="67" w:lineRule="exact"/>
        <w:rPr>
          <w:sz w:val="20"/>
          <w:szCs w:val="20"/>
          <w:color w:val="auto"/>
        </w:rPr>
      </w:pPr>
    </w:p>
    <w:p>
      <w:pPr>
        <w:ind w:left="1080" w:right="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depositary shares except:</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a relevant person, or which arises from an offer referred to in Section 275(1A) (in the case of that corporation) or Section 276(4)(c)(ii) (in the case of that trust) of the SFA;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our depositary shares. The depositary shares may not be publicly offered, directly or indirectly, in Switzerland within the meaning of the Swiss Financial Services Act (the “FinSA”), and no application has or will be made to admit the depositary shares to trading on any trading venue (exchange or multilateral trading facility) in Switzerland. Neither this prospectus supplement nor any other offering or marketing material relating to the depositary shares constitutes a prospectus pursuant to the FinSA, and neither this prospectus supplement nor any other offering or marketing material relating to the depositary shares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 (Excluding The Dubai International Financial Centre)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depositary shares have not been, and are not being, publicly offered, sold, promoted or advertised in the United Arab Emirates (the “U.A.E.”) other than in compliance with the laws of the U.A.E. Prospective investors in the Dubai International Financial Centre (“DIFC”) should have regard to the specific notice to prospective investors in the DIFC set out above. The information contained in this prospectus supplement and the accompanying prospectus does not constitute a public offer of depositary shares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or any related free writing prospectus is a prospectus for the purposes of the Prospectus Rules: Admissions to Trading on a Regulated Market Sourcebook of the United Kingdom (the “UK”) Financial Conduct Authority (the “FCA”). This prospectus supplement, the accompanying prospectus and any related free writing prospectus have been prepared on the basis that any offer of depositary shares in the UK will only be made to legal entities which are qualified investors as defined in paragraph 15 of Schedule 1 to the Public Offers and Admissions to Trading Regulations 2024 (the “POATRs”) (“UK Qualified Investors”). Each person who initially acquires any depositary shares which are the subject of the offering contemplated in this prospectus supplement, the accompanying prospectus and any related free writing prospectus or to whom any offer is made in the UK will be deemed to have represented, warranted and agreed to and with each underwriter and Bread Financial that it is a UK Qualified Investor. Neither Bread Financial nor the underwriters have authorized, nor do they authorize, the making of any offer of depositary shares in the UK other than to UK Qualified Investors.</w:t>
      </w:r>
    </w:p>
    <w:p>
      <w:pPr>
        <w:spacing w:after="0" w:line="184" w:lineRule="exact"/>
        <w:rPr>
          <w:sz w:val="20"/>
          <w:szCs w:val="20"/>
          <w:color w:val="auto"/>
        </w:rPr>
      </w:pPr>
    </w:p>
    <w:p>
      <w:pPr>
        <w:ind w:left="120"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PROHIBITION OF SALES TO UK RETAIL INVESTORS</w:t>
      </w:r>
      <w:r>
        <w:rPr>
          <w:rFonts w:ascii="Times New Roman" w:cs="Times New Roman" w:eastAsia="Times New Roman" w:hAnsi="Times New Roman"/>
          <w:sz w:val="17"/>
          <w:szCs w:val="17"/>
          <w:color w:val="auto"/>
        </w:rPr>
        <w:t>–The depositary shares are not intended to be offered, sold, distributed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made available to and should not be offered, sold, distributed or otherwise made available to any retail investor in the UK. For these purposes,</w:t>
      </w:r>
    </w:p>
    <w:p>
      <w:pPr>
        <w:spacing w:after="0" w:line="1" w:lineRule="exact"/>
        <w:rPr>
          <w:sz w:val="20"/>
          <w:szCs w:val="20"/>
          <w:color w:val="auto"/>
        </w:rPr>
      </w:pPr>
    </w:p>
    <w:p>
      <w:pPr>
        <w:ind w:left="120" w:right="180" w:hanging="4"/>
        <w:spacing w:after="0" w:line="250"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investor” means a person who is either one (or both) of the following: (i) not a professional client, as defined in point (8) of Article 2(1) of Regulation (EU) No 600/2014 as it forms part of domestic law in the UK by virtue of the European Union (Withdrawal) Act 2018, as amended; or</w:t>
      </w:r>
    </w:p>
    <w:p>
      <w:pPr>
        <w:ind w:left="120" w:hanging="4"/>
        <w:spacing w:after="0" w:line="253" w:lineRule="auto"/>
        <w:tabs>
          <w:tab w:leader="none" w:pos="3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paragraph 15 of Schedule 1 to the POATRs. Consequently, no disclosure document required by the FCA Product Disclosure Sourcebook (“DISC”) for offering, selling or distributing the depositary shares or otherwise making them available to retail investors in the UK has been prepared and therefore offering, selling or distributing the depositary shares or otherwise making them available to any retail investor in the UK may be unlawful under the DISC and the Consumer Composite Investments (Designated Activities) Regulations 2024.</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the above provisions, the expression an “offer” in relation to the depositary shares in the UK means the communication to any person which presents sufficient information on: (a) the depositary shares to be offered; and (b) the terms on which they are to be offered, to enable an investor to decide to purchase or subscribe for any depositary shares.</w:t>
      </w:r>
    </w:p>
    <w:p>
      <w:pPr>
        <w:spacing w:after="0" w:line="176"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7"/>
          <w:szCs w:val="17"/>
          <w:color w:val="auto"/>
        </w:rPr>
        <w:t>The communication of this prospectus supplement, the accompanying prospectus, any related free writing prospectus and any other document or materials relating to the issue of the depositary shares offered hereby is not being made, and such documents and/or materials have not been approved, by an authorized person for the purposes of section 21 of the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UK. This prospectus supplement, the accompanying prospectus, any related free writing prospectus and such other documents and/or materials are for distribution in the UK only to persons who are UK Qualified Investors and who</w:t>
      </w:r>
    </w:p>
    <w:p>
      <w:pPr>
        <w:spacing w:after="0" w:line="5" w:lineRule="exact"/>
        <w:rPr>
          <w:sz w:val="20"/>
          <w:szCs w:val="20"/>
          <w:color w:val="auto"/>
        </w:rPr>
      </w:pPr>
    </w:p>
    <w:p>
      <w:pPr>
        <w:ind w:left="120" w:hanging="4"/>
        <w:spacing w:after="0" w:line="251"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or (iii) are persons to whom, in connection with the issue or sale of any securities, an invitation or inducement to engage in investment activity (within the meaning of Section 21 of the FSMA) may otherwise lawfully be communicated or caused to be communicated (all such persons together being referred to as “relevant persons”). This prospectus supplement, the accompanying prospectus, any related free writing prospectus and such other documents and/or materials are directed in the UK only at relevant persons and must not be acted on or relied on by persons who are not relevant persons. Any investment or investment activity to which this prospectus supplement, the accompanying prospectus, any related free writing prospectus and any other document or materials relates will in the UK be engaged in only with relevant persons. Any person in the UK that is not a relevant person should not act or rely on this prospectus supplement, the accompanying</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prospectus, any related free writing prospectus or any other documents and/or materials relating to the issue of the depositary shares offered hereby or any of their contents.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depositary shares may only be communicated or caused to be communicated in circumstances in which Section 21(1) of the FSMA does not apply to Bread Financial.</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depositary shares in, from or otherwise involving the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Relationships with Underwriters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18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 addition, one or more underwriters and/or their respective affiliates have received, and may in the future receive, customary fees and reimbursement of expenses as underwriters of securities offered by certain of our securitization trusts from time to time. One or more underwriters and/or their respective affiliates are also lenders to certain of our securitization trusts.</w:t>
      </w:r>
    </w:p>
    <w:p>
      <w:pPr>
        <w:spacing w:after="0" w:line="176"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(directly, as collateral securing other obligations or otherwise) of ours and/or our affiliates. If any of the underwriters or their affiliates has a lending relationship with us or our affiliates, certain of those underwriters or their affiliates routinely hedge, and certain other of those underwriters or their affiliates may hedge, their credit exposure to us or our affiliates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depositary shares offered hereby. Any such credit default swaps or short positions could adversely affect future trading prices of the depositary shares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Series B Preferred Stock and the depositary shares offered hereby will be passed upon for us by Davis Polk &amp; Wardwell LLP, New York, New York. Certain legal matters will be passed upon for the underwriters by Paul Hastings LLP, New York, New York.</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Bread Financial Holdings, Inc. and its subsidiaries as of December 31, 2025 and 2024, and for each of the three years in the period ended December 31, 2025, incorporated by reference in this Prospectus Supplement, and the effectiveness of Bread Financial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0960"/>
          </w:cols>
          <w:pgMar w:left="320" w:top="455" w:right="6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prospectus, which means that we can disclose important information to you by referring to those documents we file with the SEC. Any statement contained in a document incorporated or considered to be incorporated by reference in this prospectus supplement shall be considered to be modified or superseded for purposes of this prospectus supplement to the extent a statement contained in this prospectus supplement or in any other subsequently filed document that is or is considered to be incorporated by reference in this prospectus supplement modifies or supersedes such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that we have filed with the SEC:</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13,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April 28, 2026;</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7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April 7, 2026;</w:t>
      </w:r>
    </w:p>
    <w:p>
      <w:pPr>
        <w:spacing w:after="0" w:line="67" w:lineRule="exact"/>
        <w:rPr>
          <w:rFonts w:ascii="Times New Roman" w:cs="Times New Roman" w:eastAsia="Times New Roman" w:hAnsi="Times New Roman"/>
          <w:sz w:val="18"/>
          <w:szCs w:val="18"/>
          <w:color w:val="0000EE"/>
        </w:rPr>
      </w:pPr>
    </w:p>
    <w:p>
      <w:pPr>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71">
        <w:r>
          <w:rPr>
            <w:rFonts w:ascii="Times New Roman" w:cs="Times New Roman" w:eastAsia="Times New Roman" w:hAnsi="Times New Roman"/>
            <w:sz w:val="18"/>
            <w:szCs w:val="18"/>
            <w:u w:val="single" w:color="auto"/>
            <w:color w:val="0000EE"/>
          </w:rPr>
          <w:t>January 29,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of the first Current Report on Form 8-K filed on such date); </w:t>
      </w:r>
      <w:hyperlink r:id="rId72">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xml:space="preserve">; and </w:t>
      </w:r>
      <w:hyperlink r:id="rId73">
        <w:r>
          <w:rPr>
            <w:rFonts w:ascii="Times New Roman" w:cs="Times New Roman" w:eastAsia="Times New Roman" w:hAnsi="Times New Roman"/>
            <w:sz w:val="18"/>
            <w:szCs w:val="18"/>
            <w:u w:val="single" w:color="auto"/>
            <w:color w:val="0000EE"/>
          </w:rPr>
          <w:t>April 23,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(but only with respect to Item 8.01 of the first Current Report on Form 8-K filed on such date).</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we incorporate by reference any future filings we make with the SEC pursuant to Section 13(a), 13(c), 14 or 15(d) of the Exchange Act (other than any information “furnished” pursuant to Item 2.02 or 7.01 of any Current Report on Form 8-K) between the date of this prospectus supplement and before we have sold all of the depositary shares to which this prospectus supplement relates or the offering is otherwise terminated. You may request copies of any of those documents or the indenture governing the depositary shares and the guarantees, at no cost, by writing or telephoning us at the following address:</w:t>
      </w:r>
    </w:p>
    <w:p>
      <w:pPr>
        <w:spacing w:after="0" w:line="17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3095 Loyalty Circle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Columbus, Ohio 43219</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(614) 729-4000</w:t>
      </w:r>
    </w:p>
    <w:p>
      <w:pPr>
        <w:spacing w:after="0" w:line="205" w:lineRule="exact"/>
        <w:rPr>
          <w:rFonts w:ascii="Times New Roman" w:cs="Times New Roman" w:eastAsia="Times New Roman" w:hAnsi="Times New Roman"/>
          <w:sz w:val="18"/>
          <w:szCs w:val="18"/>
          <w:color w:val="auto"/>
        </w:rPr>
      </w:pPr>
    </w:p>
    <w:p>
      <w:pPr>
        <w:ind w:left="120" w:right="600" w:firstLine="440"/>
        <w:spacing w:after="0" w:line="315" w:lineRule="auto"/>
        <w:rPr>
          <w:sz w:val="20"/>
          <w:szCs w:val="20"/>
          <w:color w:val="auto"/>
        </w:rPr>
      </w:pPr>
      <w:r>
        <w:rPr>
          <w:rFonts w:ascii="Times New Roman" w:cs="Times New Roman" w:eastAsia="Times New Roman" w:hAnsi="Times New Roman"/>
          <w:sz w:val="17"/>
          <w:szCs w:val="17"/>
          <w:color w:val="auto"/>
        </w:rPr>
        <w:t xml:space="preserve">You may also obtain copies of these filings, at no cost, by accessing the SEC Filings section of our website at </w:t>
      </w:r>
      <w:r>
        <w:rPr>
          <w:rFonts w:ascii="Times New Roman" w:cs="Times New Roman" w:eastAsia="Times New Roman" w:hAnsi="Times New Roman"/>
          <w:sz w:val="17"/>
          <w:szCs w:val="17"/>
          <w:i w:val="1"/>
          <w:iCs w:val="1"/>
          <w:color w:val="auto"/>
        </w:rPr>
        <w:t>investor.breadfinancial.com</w:t>
      </w:r>
      <w:r>
        <w:rPr>
          <w:rFonts w:ascii="Times New Roman" w:cs="Times New Roman" w:eastAsia="Times New Roman" w:hAnsi="Times New Roman"/>
          <w:sz w:val="17"/>
          <w:szCs w:val="17"/>
          <w:color w:val="auto"/>
        </w:rPr>
        <w:t>; however, the information found on our website is not considered part of, or incorporated by reference in, this prospectus supplement.</w:t>
      </w:r>
    </w:p>
    <w:p>
      <w:pPr>
        <w:spacing w:after="0" w:line="6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189865</wp:posOffset>
            </wp:positionV>
            <wp:extent cx="3188970" cy="4718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1889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shares of preferred stock and depositary shares that we may offer and sell at any time and from time to time in one or more transactions. This prospectus contains a general description of these securities. The specific terms of the securities will be contained in one or more supplements to this prospectus. This prospectus may not be used to offer or sell securities unless accompanied by one or more prospectus supplements. Prospectus supplements may add, update or change information contained or incorporated by reference in this prospectus. You should carefully read this prospectus and each applicable prospectus supplement, as well as the documents incorporated by reference in this prospectus and each applicable prospectus supplement, before you invest in securities to which this prospectus relates.</w:t>
      </w:r>
    </w:p>
    <w:p>
      <w:pPr>
        <w:spacing w:after="0" w:line="187"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We have not yet determined whether any of the securities that may be offered by this prospectus and one or more applicable prospectus supplements will be listed on any exchange, inter-dealer quotation system or over-the-counter market.</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securities to which this prospectus relates may be offered directly, through agents designated from time to time by us, or to or through underwriters or dealers. For additional information, you should refer to “Plan of Distribution” in this prospectus. If any agents or underwriters are involved in the sale of any of the securities to which this prospectus relates, their names, and any applicable purchase price, fee, commission or discount arrangement between or among them or us, will be set forth or will be calculable based on information included or incorporated by reference in an applicable prospectus supplement.</w:t>
      </w:r>
    </w:p>
    <w:p>
      <w:pPr>
        <w:spacing w:after="0" w:line="183"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3905 Loyalty Circle, Columbus, Ohio 43219, and our telephone number at that address is (614) 729-4000.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 securities to which this prospectus relates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on page 4 of this prospectus and in any applicable prospectus supplement, in addition to the risk factors that are incorporated by reference in this prospectus or any applicable prospectus supplement.</w:t>
      </w:r>
    </w:p>
    <w:p>
      <w:pPr>
        <w:spacing w:after="0" w:line="176" w:lineRule="exact"/>
        <w:rPr>
          <w:sz w:val="20"/>
          <w:szCs w:val="20"/>
          <w:color w:val="auto"/>
        </w:rPr>
      </w:pPr>
    </w:p>
    <w:p>
      <w:pPr>
        <w:ind w:left="120" w:right="5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 securities offered hereby or passed upon the adequacy or accuracy of this prospectus. Any representation to the contrary is a criminal offense</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securities to which this prospectus relates are not deposits or other obligations of a bank or savings association and are not insured or guaranteed by the Federal Deposit Insurance Corporation or any other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17, 2025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40" w:type="dxa"/>
            <w:vAlign w:val="bottom"/>
            <w:gridSpan w:val="7"/>
            <w:vMerge w:val="restart"/>
          </w:tcPr>
          <w:p>
            <w:pPr>
              <w:spacing w:after="0"/>
              <w:rPr>
                <w:sz w:val="24"/>
                <w:szCs w:val="24"/>
                <w:color w:val="auto"/>
              </w:rPr>
            </w:pPr>
          </w:p>
        </w:tc>
        <w:tc>
          <w:tcPr>
            <w:tcW w:w="6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gridSpan w:val="7"/>
            <w:vMerge w:val="continue"/>
          </w:tcPr>
          <w:p>
            <w:pPr>
              <w:spacing w:after="0"/>
              <w:rPr>
                <w:sz w:val="14"/>
                <w:szCs w:val="14"/>
                <w:color w:val="auto"/>
              </w:rPr>
            </w:pPr>
          </w:p>
        </w:tc>
        <w:tc>
          <w:tcPr>
            <w:tcW w:w="2740" w:type="dxa"/>
            <w:vAlign w:val="bottom"/>
            <w:gridSpan w:val="7"/>
            <w:vMerge w:val="continue"/>
          </w:tcPr>
          <w:p>
            <w:pPr>
              <w:spacing w:after="0"/>
              <w:rPr>
                <w:sz w:val="14"/>
                <w:szCs w:val="14"/>
                <w:color w:val="auto"/>
              </w:rPr>
            </w:pPr>
          </w:p>
        </w:tc>
        <w:tc>
          <w:tcPr>
            <w:tcW w:w="62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7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80" w:type="dxa"/>
            <w:vAlign w:val="bottom"/>
            <w:tcBorders>
              <w:top w:val="single" w:sz="8" w:color="0000EE"/>
            </w:tcBorders>
          </w:tcPr>
          <w:p>
            <w:pPr>
              <w:spacing w:after="0"/>
              <w:rPr>
                <w:sz w:val="17"/>
                <w:szCs w:val="17"/>
                <w:color w:val="auto"/>
              </w:rPr>
            </w:pPr>
          </w:p>
        </w:tc>
        <w:tc>
          <w:tcPr>
            <w:tcW w:w="1520" w:type="dxa"/>
            <w:vAlign w:val="bottom"/>
            <w:gridSpan w:val="2"/>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360" w:type="dxa"/>
            <w:vAlign w:val="bottom"/>
            <w:gridSpan w:val="10"/>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Notes Regarding Forward-Looking Statements</w:t>
            </w:r>
          </w:p>
        </w:tc>
        <w:tc>
          <w:tcPr>
            <w:tcW w:w="160" w:type="dxa"/>
            <w:vAlign w:val="bottom"/>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General Description of Securities</w:t>
            </w:r>
          </w:p>
        </w:tc>
        <w:tc>
          <w:tcPr>
            <w:tcW w:w="1980" w:type="dxa"/>
            <w:vAlign w:val="bottom"/>
            <w:gridSpan w:val="4"/>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00" w:type="dxa"/>
            <w:vAlign w:val="bottom"/>
            <w:gridSpan w:val="5"/>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960" w:type="dxa"/>
            <w:vAlign w:val="bottom"/>
            <w:gridSpan w:val="8"/>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80" w:type="dxa"/>
            <w:vAlign w:val="bottom"/>
            <w:gridSpan w:val="11"/>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By using a shelf registration statement, we or, if applicable, a selling securityholder, may offer and sell, at any time and from time to time, the securities described in this prospectus. As permitted by SEC rules, this prospectus does not contain all of the information included in the registration statement to which it relates. For further information, we refer you to the registration statement, including its exhibits. Statements contained in this prospectus about the provisions or contents of any agreement or other document are not necessarily complete. If the SEC’s rules require an agreement or document to be filed as an exhibit to the registration statement, you should see that agreement or document for a complete description of these matters. The registration statement can be obtained from the SEC as indicated under the heading “Where You Can Find More Information.”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You should also carefully read and consider the information included in this prospectus and each applicable prospectus supplement together with the documents we have incorporated by reference in this prospectus or an applicable prospectus supplement. Information incorporated by reference after the date of this prospectus forms a part of this prospectus and may add, update or change information contained in this prospectus or any earlier prospectus supplement. Any such information that is inconsistent with this prospectus or an earlier prospectus supplement will supersede the information in this prospectus or that earlier prospectus supplement.</w:t>
      </w:r>
    </w:p>
    <w:p>
      <w:pPr>
        <w:spacing w:after="0" w:line="179" w:lineRule="exact"/>
        <w:rPr>
          <w:sz w:val="20"/>
          <w:szCs w:val="20"/>
          <w:color w:val="auto"/>
        </w:rPr>
      </w:pPr>
    </w:p>
    <w:p>
      <w:pPr>
        <w:ind w:left="120" w:right="18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We have not authorized anyone to provide any information other than that contained in or incorporated by reference in this prospectus or an applicable prospectus supplement prepared by us or on our behalf or to which we have referred you. We take no responsibility for, and can provide no assurance as to the reliability of, any other information that others may give you. We are not making an offer to sell the securities to which this prospectus relates in any jurisdiction where the offer or sale is not permitted. You should not assume that the information in this prospectus, any applicable prospectus supplement or any document incorporated by reference in this prospectus or any applicable prospectus supplement is accurate as of any date other than the date of the applicable document or such other date specified in the applicable document. Our business, financial condition, results of operations and prospects may have changed since that date.</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Throughout this prospectus,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189" w:lineRule="exact"/>
        <w:rPr>
          <w:sz w:val="20"/>
          <w:szCs w:val="20"/>
          <w:color w:val="auto"/>
        </w:rPr>
      </w:pPr>
    </w:p>
    <w:p>
      <w:pPr>
        <w:ind w:left="120" w:right="180" w:firstLine="440"/>
        <w:spacing w:after="0" w:line="207" w:lineRule="auto"/>
        <w:rPr>
          <w:sz w:val="20"/>
          <w:szCs w:val="20"/>
          <w:color w:val="auto"/>
        </w:rPr>
      </w:pPr>
      <w:r>
        <w:rPr>
          <w:rFonts w:ascii="Times New Roman" w:cs="Times New Roman" w:eastAsia="Times New Roman" w:hAnsi="Times New Roman"/>
          <w:sz w:val="18"/>
          <w:szCs w:val="18"/>
          <w:color w:val="auto"/>
        </w:rPr>
        <w:t>This prospectus includes trademarks, such as Bread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Financial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Cashback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Rewards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Pay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Bread Savings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which are protected under applicable intellectual property laws and are the property of Bread Financial Holdings, Inc. or our subsidiaries. This report also contains trademarks, service marks, copyrights and trade names of other companies, which are the property of their respective owners. Solely for convenience, our trademarks and trade names referred to in this report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and, in accordance with these requirements, we file reports and other information relating to our business, financial condition and other matters with the SEC. We are required to disclose in such reports certain information, as of particular dates, concerning our results of operations and financial condition, executive officers and directors, principal holders of shares, material interests of such persons in transactions with us and other matters. The SEC maintains a website that contains reports and other information regarding registrants that file electronically with the SEC, including the registration statement to which this prospectus relates. The address of that website is www.sec.gov.</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website is www.breadfinancial.com. Our SEC filings are available free of charge on our website as soon as reasonably practicable after they are electronically filed or furnished to the SEC. You may access these SEC filings on our website. However, other than any documents expressly incorporated by reference in this prospectus or any applicable prospectus supplement, the information on, or accessible through, our website or any other website that is referred to in this prospectus is not part of this prospectus or any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prospectus, which means that we can disclose important information to you by referring to those documents we file with the SEC. Any information incorporated this way is considered to be part of this prospectus, and any information that we file later with the SEC will automatically update and, in some cases, supersede the information contained or incorporated by reference herein.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that we have filed with the SEC:</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w:t>
      </w:r>
      <w:hyperlink r:id="rId84">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 filed with the SEC on February 14, 2025;</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filed with the SEC on </w:t>
      </w:r>
      <w:hyperlink r:id="rId85">
        <w:r>
          <w:rPr>
            <w:rFonts w:ascii="Times New Roman" w:cs="Times New Roman" w:eastAsia="Times New Roman" w:hAnsi="Times New Roman"/>
            <w:sz w:val="18"/>
            <w:szCs w:val="18"/>
            <w:u w:val="single" w:color="auto"/>
            <w:color w:val="0000EE"/>
          </w:rPr>
          <w:t>April 2,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86">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8">
        <w:r>
          <w:rPr>
            <w:rFonts w:ascii="Times New Roman" w:cs="Times New Roman" w:eastAsia="Times New Roman" w:hAnsi="Times New Roman"/>
            <w:sz w:val="18"/>
            <w:szCs w:val="18"/>
            <w:u w:val="single" w:color="auto"/>
            <w:color w:val="0000EE"/>
          </w:rPr>
          <w:t>September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29, 2025, July 29, 2025 and October 28, 2025, respectively;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24"/>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89">
        <w:r>
          <w:rPr>
            <w:rFonts w:ascii="Times New Roman" w:cs="Times New Roman" w:eastAsia="Times New Roman" w:hAnsi="Times New Roman"/>
            <w:sz w:val="18"/>
            <w:szCs w:val="18"/>
            <w:u w:val="single" w:color="auto"/>
            <w:color w:val="0000EE"/>
          </w:rPr>
          <w:t>January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of the first report filed on </w:t>
      </w:r>
      <w:hyperlink r:id="rId90">
        <w:r>
          <w:rPr>
            <w:rFonts w:ascii="Times New Roman" w:cs="Times New Roman" w:eastAsia="Times New Roman" w:hAnsi="Times New Roman"/>
            <w:sz w:val="18"/>
            <w:szCs w:val="18"/>
            <w:color w:val="auto"/>
          </w:rPr>
          <w:t xml:space="preserve">such date); </w:t>
        </w:r>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color w:val="auto"/>
          </w:rPr>
          <w:t xml:space="preserve"> (but only with respect to Item 8.01); </w:t>
        </w:r>
        <w:r>
          <w:rPr>
            <w:rFonts w:ascii="Times New Roman" w:cs="Times New Roman" w:eastAsia="Times New Roman" w:hAnsi="Times New Roman"/>
            <w:sz w:val="18"/>
            <w:szCs w:val="18"/>
            <w:u w:val="single" w:color="auto"/>
            <w:color w:val="0000EE"/>
          </w:rPr>
          <w:t>March 6, 2025</w:t>
        </w:r>
        <w:r>
          <w:rPr>
            <w:rFonts w:ascii="Times New Roman" w:cs="Times New Roman" w:eastAsia="Times New Roman" w:hAnsi="Times New Roman"/>
            <w:sz w:val="18"/>
            <w:szCs w:val="18"/>
            <w:color w:val="auto"/>
          </w:rPr>
          <w:t xml:space="preserve"> (but only with respect to Items 1.01 and 8.01); </w:t>
        </w:r>
        <w:r>
          <w:rPr>
            <w:rFonts w:ascii="Times New Roman" w:cs="Times New Roman" w:eastAsia="Times New Roman" w:hAnsi="Times New Roman"/>
            <w:sz w:val="18"/>
            <w:szCs w:val="18"/>
            <w:u w:val="single" w:color="auto"/>
            <w:color w:val="0000EE"/>
          </w:rPr>
          <w:t>March 10,</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(but only with respect to Items 1.01 and 2.03);</w:t>
        </w:r>
        <w:r>
          <w:rPr>
            <w:rFonts w:ascii="Times New Roman" w:cs="Times New Roman" w:eastAsia="Times New Roman" w:hAnsi="Times New Roman"/>
            <w:sz w:val="18"/>
            <w:szCs w:val="18"/>
            <w:color w:val="0000EE"/>
          </w:rPr>
          <w:t xml:space="preserve"> </w:t>
        </w:r>
      </w:hyperlink>
      <w:hyperlink r:id="rId91">
        <w:r>
          <w:rPr>
            <w:rFonts w:ascii="Times New Roman" w:cs="Times New Roman" w:eastAsia="Times New Roman" w:hAnsi="Times New Roman"/>
            <w:sz w:val="18"/>
            <w:szCs w:val="18"/>
            <w:u w:val="single" w:color="auto"/>
            <w:color w:val="0000EE"/>
          </w:rPr>
          <w:t xml:space="preserve">April 24, 2025 </w:t>
        </w:r>
      </w:hyperlink>
      <w:hyperlink r:id="rId90">
        <w:r>
          <w:rPr>
            <w:rFonts w:ascii="Times New Roman" w:cs="Times New Roman" w:eastAsia="Times New Roman" w:hAnsi="Times New Roman"/>
            <w:sz w:val="18"/>
            <w:szCs w:val="18"/>
            <w:color w:val="000000"/>
          </w:rPr>
          <w:t>(but only with respect to Item 8.01 of the first report filed on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date); </w:t>
      </w:r>
      <w:hyperlink r:id="rId92">
        <w:r>
          <w:rPr>
            <w:rFonts w:ascii="Times New Roman" w:cs="Times New Roman" w:eastAsia="Times New Roman" w:hAnsi="Times New Roman"/>
            <w:sz w:val="18"/>
            <w:szCs w:val="18"/>
            <w:u w:val="single" w:color="auto"/>
            <w:color w:val="0000EE"/>
          </w:rPr>
          <w:t>May 14, 2025</w:t>
        </w:r>
      </w:hyperlink>
      <w:r>
        <w:rPr>
          <w:rFonts w:ascii="Times New Roman" w:cs="Times New Roman" w:eastAsia="Times New Roman" w:hAnsi="Times New Roman"/>
          <w:sz w:val="18"/>
          <w:szCs w:val="18"/>
          <w:color w:val="000000"/>
        </w:rPr>
        <w:t xml:space="preserve">; </w:t>
      </w:r>
      <w:hyperlink r:id="rId93">
        <w:r>
          <w:rPr>
            <w:rFonts w:ascii="Times New Roman" w:cs="Times New Roman" w:eastAsia="Times New Roman" w:hAnsi="Times New Roman"/>
            <w:sz w:val="18"/>
            <w:szCs w:val="18"/>
            <w:u w:val="single" w:color="auto"/>
            <w:color w:val="0000EE"/>
          </w:rPr>
          <w:t>May 21, 2025</w:t>
        </w:r>
      </w:hyperlink>
      <w:r>
        <w:rPr>
          <w:rFonts w:ascii="Times New Roman" w:cs="Times New Roman" w:eastAsia="Times New Roman" w:hAnsi="Times New Roman"/>
          <w:sz w:val="18"/>
          <w:szCs w:val="18"/>
          <w:color w:val="000000"/>
        </w:rPr>
        <w:t xml:space="preserve">; </w:t>
      </w:r>
      <w:hyperlink r:id="rId94">
        <w:r>
          <w:rPr>
            <w:rFonts w:ascii="Times New Roman" w:cs="Times New Roman" w:eastAsia="Times New Roman" w:hAnsi="Times New Roman"/>
            <w:sz w:val="18"/>
            <w:szCs w:val="18"/>
            <w:u w:val="single" w:color="auto"/>
            <w:color w:val="0000EE"/>
          </w:rPr>
          <w:t>June 5, 2025</w:t>
        </w:r>
      </w:hyperlink>
      <w:r>
        <w:rPr>
          <w:rFonts w:ascii="Times New Roman" w:cs="Times New Roman" w:eastAsia="Times New Roman" w:hAnsi="Times New Roman"/>
          <w:sz w:val="18"/>
          <w:szCs w:val="18"/>
          <w:color w:val="000000"/>
        </w:rPr>
        <w:t xml:space="preserve">; </w:t>
      </w:r>
      <w:hyperlink r:id="rId95">
        <w:r>
          <w:rPr>
            <w:rFonts w:ascii="Times New Roman" w:cs="Times New Roman" w:eastAsia="Times New Roman" w:hAnsi="Times New Roman"/>
            <w:sz w:val="18"/>
            <w:szCs w:val="18"/>
            <w:u w:val="single" w:color="auto"/>
            <w:color w:val="0000EE"/>
          </w:rPr>
          <w:t>July 24,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the first report and Item 8.01 of the second report filed on such date); </w:t>
      </w:r>
      <w:hyperlink r:id="rId96">
        <w:r>
          <w:rPr>
            <w:rFonts w:ascii="Times New Roman" w:cs="Times New Roman" w:eastAsia="Times New Roman" w:hAnsi="Times New Roman"/>
            <w:sz w:val="18"/>
            <w:szCs w:val="18"/>
            <w:u w:val="single" w:color="auto"/>
            <w:color w:val="0000EE"/>
          </w:rPr>
          <w:t>August 7, 2025</w:t>
        </w:r>
      </w:hyperlink>
      <w:r>
        <w:rPr>
          <w:rFonts w:ascii="Times New Roman" w:cs="Times New Roman" w:eastAsia="Times New Roman" w:hAnsi="Times New Roman"/>
          <w:sz w:val="18"/>
          <w:szCs w:val="18"/>
          <w:color w:val="000000"/>
        </w:rPr>
        <w:t xml:space="preserve">; </w:t>
      </w:r>
      <w:hyperlink r:id="rId97">
        <w:r>
          <w:rPr>
            <w:rFonts w:ascii="Times New Roman" w:cs="Times New Roman" w:eastAsia="Times New Roman" w:hAnsi="Times New Roman"/>
            <w:sz w:val="18"/>
            <w:szCs w:val="18"/>
            <w:u w:val="single" w:color="auto"/>
            <w:color w:val="0000EE"/>
          </w:rPr>
          <w:t>August 22, 2025</w:t>
        </w:r>
      </w:hyperlink>
      <w:r>
        <w:rPr>
          <w:rFonts w:ascii="Times New Roman" w:cs="Times New Roman" w:eastAsia="Times New Roman" w:hAnsi="Times New Roman"/>
          <w:sz w:val="18"/>
          <w:szCs w:val="18"/>
          <w:color w:val="000000"/>
        </w:rPr>
        <w:t xml:space="preserve">; </w:t>
      </w:r>
      <w:hyperlink r:id="rId98">
        <w:r>
          <w:rPr>
            <w:rFonts w:ascii="Times New Roman" w:cs="Times New Roman" w:eastAsia="Times New Roman" w:hAnsi="Times New Roman"/>
            <w:sz w:val="18"/>
            <w:szCs w:val="18"/>
            <w:u w:val="single" w:color="auto"/>
            <w:color w:val="0000EE"/>
          </w:rPr>
          <w:t>October 23,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 8.01); </w:t>
      </w:r>
      <w:hyperlink r:id="rId99">
        <w:r>
          <w:rPr>
            <w:rFonts w:ascii="Times New Roman" w:cs="Times New Roman" w:eastAsia="Times New Roman" w:hAnsi="Times New Roman"/>
            <w:sz w:val="18"/>
            <w:szCs w:val="18"/>
            <w:u w:val="single" w:color="auto"/>
            <w:color w:val="0000EE"/>
          </w:rPr>
          <w:t>October 28, 2025</w:t>
        </w:r>
      </w:hyperlink>
      <w:r>
        <w:rPr>
          <w:rFonts w:ascii="Times New Roman" w:cs="Times New Roman" w:eastAsia="Times New Roman" w:hAnsi="Times New Roman"/>
          <w:sz w:val="18"/>
          <w:szCs w:val="18"/>
          <w:color w:val="000000"/>
        </w:rPr>
        <w:t xml:space="preserve"> (but only with respect to Item 8.01); and </w:t>
      </w:r>
      <w:hyperlink r:id="rId100">
        <w:r>
          <w:rPr>
            <w:rFonts w:ascii="Times New Roman" w:cs="Times New Roman" w:eastAsia="Times New Roman" w:hAnsi="Times New Roman"/>
            <w:sz w:val="18"/>
            <w:szCs w:val="18"/>
            <w:u w:val="single" w:color="auto"/>
            <w:color w:val="0000EE"/>
          </w:rPr>
          <w:t>October 29,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 8.01).</w:t>
      </w:r>
    </w:p>
    <w:p>
      <w:pPr>
        <w:spacing w:after="0" w:line="187" w:lineRule="exact"/>
        <w:rPr>
          <w:rFonts w:ascii="Times New Roman" w:cs="Times New Roman" w:eastAsia="Times New Roman" w:hAnsi="Times New Roman"/>
          <w:sz w:val="18"/>
          <w:szCs w:val="18"/>
          <w:color w:val="000000"/>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 this prospectus any future filings that we make with the SEC under 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w:t>
      </w:r>
    </w:p>
    <w:p>
      <w:pPr>
        <w:spacing w:after="0" w:line="180" w:lineRule="exact"/>
        <w:rPr>
          <w:rFonts w:ascii="Times New Roman" w:cs="Times New Roman" w:eastAsia="Times New Roman" w:hAnsi="Times New Roman"/>
          <w:sz w:val="18"/>
          <w:szCs w:val="18"/>
          <w:color w:val="000000"/>
        </w:rPr>
      </w:pPr>
    </w:p>
    <w:p>
      <w:pPr>
        <w:ind w:left="560"/>
        <w:spacing w:after="0"/>
        <w:rPr>
          <w:sz w:val="20"/>
          <w:szCs w:val="20"/>
          <w:color w:val="auto"/>
        </w:rPr>
      </w:pPr>
      <w:r>
        <w:rPr>
          <w:rFonts w:ascii="Times New Roman" w:cs="Times New Roman" w:eastAsia="Times New Roman" w:hAnsi="Times New Roman"/>
          <w:sz w:val="18"/>
          <w:szCs w:val="18"/>
          <w:color w:val="auto"/>
        </w:rPr>
        <w:t>Upon your oral or written request, we will provide you with a copy of any of these filings at no cost. Requests should be directed to:</w:t>
      </w:r>
    </w:p>
    <w:p>
      <w:pPr>
        <w:spacing w:after="0" w:line="200" w:lineRule="exact"/>
        <w:rPr>
          <w:rFonts w:ascii="Times New Roman" w:cs="Times New Roman" w:eastAsia="Times New Roman" w:hAnsi="Times New Roman"/>
          <w:sz w:val="18"/>
          <w:szCs w:val="18"/>
          <w:color w:val="000000"/>
        </w:rPr>
      </w:pPr>
    </w:p>
    <w:p>
      <w:pPr>
        <w:spacing w:after="0" w:line="237"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3905 Loyalty Circle</w:t>
      </w:r>
    </w:p>
    <w:p>
      <w:pPr>
        <w:spacing w:after="0" w:line="9"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Columbus, Ohio 43219</w:t>
      </w:r>
    </w:p>
    <w:p>
      <w:pPr>
        <w:spacing w:after="0" w:line="9"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(614) 729-4000</w:t>
      </w:r>
    </w:p>
    <w:p>
      <w:pPr>
        <w:spacing w:after="0" w:line="207" w:lineRule="exact"/>
        <w:rPr>
          <w:rFonts w:ascii="Times New Roman" w:cs="Times New Roman" w:eastAsia="Times New Roman" w:hAnsi="Times New Roman"/>
          <w:sz w:val="18"/>
          <w:szCs w:val="18"/>
          <w:color w:val="000000"/>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You may also obtain copies of these filings, at no cost, by accessing the SEC Filings section of our website at investor.breadfinancial.com; however, the information found on our website is not considered part of, or incorporated by reference in, this prospectus.</w:t>
      </w:r>
    </w:p>
    <w:p>
      <w:pPr>
        <w:spacing w:after="0" w:line="72"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technology and electronics, home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900" w:firstLine="440"/>
        <w:spacing w:after="0" w:line="312" w:lineRule="auto"/>
        <w:rPr>
          <w:sz w:val="20"/>
          <w:szCs w:val="20"/>
          <w:color w:val="auto"/>
        </w:rPr>
      </w:pPr>
      <w:r>
        <w:rPr>
          <w:rFonts w:ascii="Times New Roman" w:cs="Times New Roman" w:eastAsia="Times New Roman" w:hAnsi="Times New Roman"/>
          <w:sz w:val="17"/>
          <w:szCs w:val="17"/>
          <w:color w:val="auto"/>
        </w:rPr>
        <w:t>Our principal offices are located at 3095 Loyalty Circle, Columbus, Ohio 43219 (telephone: (614) 729-4000). Our principal website is www.breadfinancial.com. The information found on our website is not considered part of, or incorporated by reference in, this prospectus.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Investing in securities to which this prospectus relates involves risks. Before deciding to purchase any of the securities to which this prospectus relates, you should carefully consider the discussion of risks and uncertainties under the heading “Item 1A. Risk Factors” in our most recent Annual Report on Form 10-K and under similar headings in our subsequent Quarterly Reports on Form 10-Q, as well as the other risks and uncertainties described in any other documents incorporated by reference in this prospectus or in any applicable prospectus supplement. See the section entitled “Where You Can Find More Information” in this prospectus.</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NOTES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in this prospectus, and any applicable prospectus supplement, contain forward-looking statements within the meaning of Section 27A of the Securities Act of 1933, as amended, and Section 21E of the Securities Exchange Act of 1934, as amended (the “Exchange Act”).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19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prospectus, and no assurances can be given that our expectations will prove to have been correct. Factors that could cause the outcomes to differ materially include, but are not limited to, the following: macroeconomic conditions, including market conditions, inflation, interest rates, labor market conditions, recessionary pressures or concerns over a prolonged economic slowdown, and the related impact on consumer spending behavior, payments, debt levels, savings rates and other behaviors; global political and public health events and conditions, including significant shifts in trade policy, such as changes to, or the imposition of, tariffs and/or trade barriers and any economic impacts, volatility, uncertainty and geopolitical instability resulting therefrom, as well as ongoing wars and military conflicts and natural disasters; future credit performance of our customers, including the level of future delinquency and charge-off rates; loss of, or reduction in demand for services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increases or volatility in the Allowance for credit losses that may result from the application of the current expected credit loss (CECL) model; inaccuracies in the models and estimates on which we rely, including the amount of our Allowance for credit losses and our credit risk management models; increases in fraudulent activity; failure to identify, complete or successfully integrate or disaggregate business acquisitions, divestitures and other strategic initiatives, including, with respect to divested businesses, any associated guarantees, indemnities or other liabilities; the extent to which our results are dependent upon our brand partners, including our brand partners’ financial performance and reputation, as well as the effective promotion and support of our products by brand partners; increases in the cost of doing business, including market interest rates; our level of indebtedness and inability to access financial or capital markets, including asset-backed securitization funding or deposits markets; restrictions that limit the ability of the Banks, to pay dividends to us; pending and future litigation; pending and future federal, state, local and foreign legislation, regulation, supervisory guidance and regulatory and legal actions including, but not limited to, those related to financial regulatory reform and consumer financial services practices, as well as any such actions with respect to late fees, interchange fees or other charges; increases in regulatory capital requirements or other support for our Banks; impacts arising from or relating to the transition of our credit card processing services to third party service providers that we completed in 2022; failures or breaches in our operational or security systems, including as a result of cyberattacks, unanticipated impacts from technology modernization projects, failure of our information security controls or otherwise; loss of consumer information or other data due to compromised physical or cyber security, including disruptive attacks from financially motivated bad actors and third party supply chain issues; any tax or other liability or adverse impacts arising out of or related to the spinoff of our former LoyaltyOne segment or the bankruptcy filings of Loyalty Ventures Inc. (LVI) and certain of its subsidiaries and subsequent litigation or other disputes; and those factors identified in our filings with the SEC, including in the “Risk Factors” and “Management’s Discussion and</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Analysis of Financial Condition and Results of Operations” sections of our Annual Report on Form 10-K for the year ended December 31, 2024 and our subsequent Quarterly Reports on Form 10-Q or Current Reports on Form 8-K for a further description of these and other factors.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You should not consider any list of such factors to be an exhaustive statement of all of the risks, uncertainties, or potentially inaccurate assumptions that could cause our current expectations or beliefs to change.</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prospectus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stated in any applicable prospectus supplement, we will use the net proceeds from the sale of any securities that may be offered hereby for general corporate purposes. General corporate purposes may include, but are not limited to, increasing our liquidity, reducing or refinancing our indebtedness or the indebtedness of one or more of our subsidiaries, funding our operations, financing loans, financing acquisitions and repurchasing or redeeming outstanding debt and equity securities. Pending such use, any net proceeds may be invested temporarily in short-term, interest-bearing, investment-grade securities and/or similar assets as we may determine.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under this prospectus offer shares of preferred stock; depositary shares; and any combination of the foregoing, either individually or as units consisting of two securities. The following description of the terms of the securities we may offer under this prospectus sets forth some general terms and provisions of these securities. The particular terms of securities offered by us under this prospectus and the extent, if any, to which the general terms set forth in this prospectus do not apply to those securities will be described in one or more prospectus supplements. To the extent the information contained in any applicable prospectus supplement differs from the general description set forth in this prospectus, you should rely on the information in that prospectus supplement.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only registering shares of preferred stock. However, we have provided below a summary description of our capital stock, including both common and preferred stock. This description does not purport to be complete and is qualified in its entirety by reference to the full text of our third amended and restated certificate of incorporation (our “certificate of incorporation”) and amended and restated bylaws (our “bylaws”). You should read the full text of our certificate of incorporation and bylaws, as well as the applicable provisions of the General Corporation Law of the State of Delaware (the “DGCL”).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References in this section to “we,” “us” and “our” refer to BREAD FINANCIAL HOLDINGS, INC. and not to any of its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we have authority to issue (i) 200,000,000 shares of common stock, par value $0.01 per share, and (ii) 19,880,000 shares of preferred stock, par value $0.01 per share. As of October 22, 2025, we had 45,661,601 shares of common stock outstanding, and no shares of preferred stock outstanding.</w:t>
      </w:r>
    </w:p>
    <w:p>
      <w:pPr>
        <w:spacing w:after="0" w:line="280" w:lineRule="exact"/>
        <w:rPr>
          <w:sz w:val="20"/>
          <w:szCs w:val="20"/>
          <w:color w:val="auto"/>
        </w:rPr>
      </w:pPr>
    </w:p>
    <w:p>
      <w:pPr>
        <w:jc w:val="right"/>
        <w:ind w:right="98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jc w:val="right"/>
        <w:ind w:right="97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any shares of preferred stock that may be issued and outstanding, each share of common stock entitles the holder to one vote per share on all matters submitted to a vote of stockholders. Holders of shares of common stock do not have cumulative voting rights in the election of directors.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common stock are entitled to receive dividends when, as and if declared by our board of directors out of funds legally available for their payment, subject to the rights of holders of any shares of preferred stock that may be issued and outstanding and to restrictions contained in agreements to which we are a party.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the event of the liquidation or dissolution of us, whether voluntary or involuntary, holders of shares of common stock will be entitled to receive all assets of us available for distribution to stockholders, subject to the rights of any then outstanding shares of preferred stock. Holders of shares of common stock are not entitled to preemptive, conversion or redemption rights and there are no sinking fund provisions applicable to shares of our common stock. All outstanding shares of common stock are fully paid and non-assessable.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“BFH.”</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Investor Services.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the authority, without stockholder approval, to issue preferred stock in one or more series and to fix the preferences, limitations and rights of the shares of each series, including:</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redemption and liquidation preferences.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DGCL, FDIC Regulations and Our Certificate of Incorporation and Bylaws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DGCL, FDIC regulations and our certificate of incorporation and bylaws contain provisions that may delay, deter, prevent or render more difficult a takeover attempt that our stockholders might consider to be in their best interests. Even in the absence of a takeover attempt, these provisions may also adversely affect the prevailing market price for our common stock if they are viewed as limiting the liquidity of our common stock or discouraging takeover attempts in the future.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FDIC Requirements</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Because Comenity Bank and Comenity Capital Bank are “insured depository institutions” within the meaning of the Federal Deposit Insurance Act and the Change in Bank Control Act of 1978, an individual or entity is generally required, pursuant to the Change in Bank Control Act and the FDIC’s implementing regulations, to provide 60 days’ prior notice to the FDIC before acquiring, either acting alone or in concert with others, 25% or more of any class of our voting stock or otherwise acquiring control of us. An individual or entity is presumed to control us, and therefore generally required to provide 60 days’ prior notice to the FDIC, if the individual or entity, either acting alone or in concert with others, acquires 10% or more of any class of our voting stock, although the individual or entity may seek to rebut this presumption of control based on the facts.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Common and Preferred Stock</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existence of authorized and unissued common and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common stock they own at prices higher than prevailing market prices.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subject to the rights of the holders of any series of preferred stock, any director or the entire board of directors may be removed at any time with or without cause by the affirmative vote of the holders of a majority in voting power of our outstanding common stock entitled to vote thereon.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or permitted to be taken by our stockholders may be effected at a duly called annual or special meeting of such holders or may be effected by any consent in writing by such 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also provides that, except as required by law and subject to the rights of any holders of preferred stock, special meetings of our stockholders for any purpose or purposes may be called only (i) by our Chief Executive Officer or President or (ii) by our corporate secretary pursuant to a resolution adopted by a majority of the Board stating the purpose or purposes of the proposed meeting. These provisions may have the effect of delaying consideration of a stockholder proposal until the next annual meeting.</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Nominations of Directors or Other Stockholder Proposals; Proxy Access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require stockholders seeking to nominate persons for election as directors at an annual or special meeting of stockholders, or to bring other business before an annual or special meeting (other than a matter brought under Rule 14a-8 under the Exchange Act), to provide timely notice in writing. To be timely, a stockholder’s notice generally must be delivered to our corporate secretary, in the case of an annual meeting, not later than the close of business on the 120th day, nor earlier than the opening of business on the 150th day, prior to the anniversary date of the immediately preceding annual meeting of stockholders. However, if the annual meeting is called for a date that is more than 30 days before or more than 60 days after such anniversary date, or in the case of a special meeting called for the purpose of electing directors, to be timely, a stockholder’s notice must be received by our corporate secretary not earlier than the opening of business on the 150th day before the meeting and not later than the later of the close of business on the 120th day prior to such meeting or the close of business on the 10th day following the day on which public announcement is first made by us of the date of such meeting.</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stockholder’s notice to our corporate secretary must be in proper written form and must set forth information related to the stockholder giving the notice and the beneficial owner (if any) on whose behalf the nomination is made, including:</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record address of the stockholder and the beneficial owner;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ownership by the stockholder and the beneficial owner of our capital stock, including class or series and number of shares owned, derivative instruments, short positions and related information;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(other than a revocable proxy or consent given in response to a solicitation made pursuant to Section 14(a) of the Exchange Act by way of a solicitation statement filed on Schedule 14A), contract, arrangement, understanding or relationship pursuant to which such stockholder and the beneficial owner as a right to vote any shares.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to each person whom the stockholder proposes to nominate for election as a director, the notice shall include, among other information, the following:</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the person;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person;</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that are owned of record or are directly or indirectly owned beneficially by the person;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instruments directly or indirectly owned beneficially by such nominee and any other direct or indirect opportunity to profit or share in any profit derived from any increase or decrease in the value of shares of Bread;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As to any other business that the stockholder proposes to bring before the meeting, the notice shall include, among other information, the following:</w:t>
      </w:r>
    </w:p>
    <w:p>
      <w:pPr>
        <w:spacing w:after="0" w:line="67" w:lineRule="exact"/>
        <w:rPr>
          <w:sz w:val="20"/>
          <w:szCs w:val="20"/>
          <w:color w:val="auto"/>
        </w:rPr>
      </w:pPr>
    </w:p>
    <w:p>
      <w:pPr>
        <w:jc w:val="both"/>
        <w:ind w:left="1080" w:right="2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the text of the proposal or business (including the complete text of any resolutions or bylaw amendment proposed for consideration), the reasons for conducting the business at the meeting and any material interest in such business of such stockholder and beneficial owner on whose behalf the proposal is made;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and understandings between the stockholder and beneficial owner and any other person or persons acting in concert with them in connection with the proposal.</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bylaws also have proxy access procedures for stockholders to make nominations of candidates for election for directors at our annual meeting of stockholders.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another forum, the Court of Chancery of the State of Delaware shall, to the fullest extent permitted by law, be the sole and exclusive forum for: (i) any derivative action or proceeding brought on our behalf, (ii) any action asserting a claim of breach of fiduciary duty owed by any director, officer or employee to us or our stockholders, (iii) any action asserting a claim pursuant to the DGCL or (iv) any action asserting a claim governed by the internal affairs doctrine. Our bylaws further provide that, to the fullest extent permitted by law, any person or entity purchasing or otherwise acquiring or holding any interest in shares of our capital stock shall be deemed to have notice of and to have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the DGCL as it now exists or may hereafter be amended, none of our directors will be personally liable to us or our stockholders for monetary damages for breach of fiduciary duty as a director. Under the DGCL as it now reads, such limitation of liability is not permitted:</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or officer’s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for payments of unlawful dividends or unlawful stock purchases or redemptions under Section 174 of the DGCL;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officers, in any action by or in right of the corporation.</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that are incurred in connection with various actions, suits or proceedings, whether civil, criminal, administrative or investigative, other than an action by or in the right of the corporation, known as a derivative action, if they acted in good faith and in a manner they reasonably believed to be in or not opposed to the best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if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each person who was or is made a party or is threatened to be made a party to or is involved in any action, suit or proceeding, whether civil, criminal, administrative, arbitrative or investigative, by reason of the fact that such person, or a person of whom such person is or was a director, officer, employee or agent of us, or is or was serving at our request as a director, officer, partner, venturer, proprietor, trustee, employee, agent or similar functionary of another corporation, partnership, joint venture, sole proprietorship, trust, nonprofit entity, employee benefit plan or other enterprise, will be indemnified and held harmless by us to the fullest extent authorized by the DGCL against all judgments, penalties (including excise and similar taxes), fines, settlements and expenses (including attorneys’ fees and court costs) actually and reasonably incurred by such person in connection therewith. Our certificate of incorporation also provides that, with respect to directors and officers, we will pay the expenses incurred in defending any such proceeding in advance of its final disposition, subject to the provisions of the DGCL. These rights are not exclusive of any other right that any person may be entitled under any law, bylaw, agreement, vote of stockholders or disinterested directors or otherwise. Any repeal or amendment of these provisions or by changes in applicable law shall, to the extent permitted by applicable law, be prospective only, and not adversely affect the indemnification of any person who may be indemnified at the time of such repeal or amendment. Our certificate of incorporation also specifically authorizes us to grant similar indemnification rights to our employees or agents and our bylaws authorize us to maintain insurance on behalf of any person who is an officer, director, employee or agent.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does not exempt us from the application of Section 203 of the DGCL.</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Section 203 of the DGCL provides that, subject to exceptions set forth therein, an interested stockholder of a Delaware corporation shall not engage in any business combination, including mergers or consolidations or acquisitions of additional shares of the corporation from the corporation, with the corporation for a three-year period following the time that such stockholder became an interested stockholder unless:</w:t>
      </w:r>
    </w:p>
    <w:p>
      <w:pPr>
        <w:spacing w:after="0" w:line="81" w:lineRule="exact"/>
        <w:rPr>
          <w:sz w:val="20"/>
          <w:szCs w:val="20"/>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otherwise set forth in Section 203 of the DGCL, an interested stockholder is defined to include:</w:t>
      </w:r>
    </w:p>
    <w:p>
      <w:pPr>
        <w:spacing w:after="0" w:line="131" w:lineRule="exact"/>
        <w:rPr>
          <w:sz w:val="20"/>
          <w:szCs w:val="20"/>
          <w:color w:val="auto"/>
        </w:rPr>
      </w:pPr>
    </w:p>
    <w:p>
      <w:pPr>
        <w:ind w:left="1080" w:right="6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affiliates and associates of any such person.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offer depositary receipts for depositary shares, each of which will represent a fractional interest in a share of a particular series of a class of our preferred stock, as described in any applicable prospectus supplement. Preferred stock of each series of each class represented by depositary shares will be deposited under a separate deposit agreement among us, the preferred stock depositary named in the deposit agreement and the holders from time to time of our depositary receipts. Subject to the terms of the deposit agreement, each owner of a depositary receipt will be entitled, in proportion to the fractional interest of a share of the particular series of a class of our preferred stock represented by the depositary shares evidenced by such depositary receipt, to all the rights and preferences of the preferred stock represented by those depositary shares (including dividend, voting, conversion, redemption and liquidation rights).</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applicable deposit agreement. Immediately following our issuance and delivery of the preferred stock to the preferred stock depositary, we will cause the preferred stock depositary to issue, on our behalf, the depositary receipts.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description in any applicable prospectus supplement will not necessarily be complete, and reference will be made to the relevant deposit agreement and depositary receipts, which will be filed with the SEC. Copies of the applicable form of deposit agreement and depositary receipt may be obtained from us upon request.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5" w:right="5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sell the offered securities inside and outside the United States from time to time (a) through underwriters or dealers, (b) directly to one or more purchasers, including our affiliates, (c) through agents, or (d) through a combination of any of these methods. An applicable prospectus supplement will describe the terms of the offering of the applicable securities and the method of distribution of those securities, including the following information, if applicable:</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an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use underwriters in a sale, they will acquire the offered securities for their own account. The underwriters may resell the securities in one or more transactions, including negotiated transactions. These sales will be made at a fixed public offering price or at varying prices determined at the time of the sale.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the securities to which this prospectus relates to the public through an underwriting syndicate or through a single underwriter.</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any applicable prospectus supplement states otherwise, the obligations of the underwriters to purchase the offered securities will be subject to certain conditions contained in an underwriting agreement that we will enter into with the underwriters. The underwriters will be obligated to purchase all of the securities of the series offered if any of the securities are purchased, unless an applicable prospectus supplement says otherwise. Any initial public offering price and any discounts or concessions allowed, re-allowed or paid to dealers may be changed from time to time.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we use dealers in a sale of securities, we will sell the securities to them as principals. They may then resell those securities to the public at varying prices determined by the dealers at the time of resale. We will include in an applicable prospectus supplement the names of the dealers and the terms of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may choose to sell the offered securities directly. In this case, no underwriters or agents would be involved. We may also sell the securities through agents we designate from time to time. In an applicable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prospectus supplement, we will name any agent involved in the offer or sale of the offered securities, and we will describe any commissions payable by us to the agent. Unless we inform you otherwise in an applicable prospectus supplement, any agent will agree to use its best efforts to solicit purchases for the period of its appointment.</w:t>
      </w:r>
    </w:p>
    <w:p>
      <w:pPr>
        <w:spacing w:after="0" w:line="176" w:lineRule="exact"/>
        <w:rPr>
          <w:sz w:val="20"/>
          <w:szCs w:val="20"/>
          <w:color w:val="auto"/>
        </w:rPr>
      </w:pPr>
    </w:p>
    <w:p>
      <w:pPr>
        <w:jc w:val="both"/>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an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we so indicate in an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an applicable prospectus supplement. An applicable prospectus supplement will describe the commission payable for solicitation of those contracts.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have agreements with agents, underwriters, dealers and remarketing firms and each of their respective affiliates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Unless any applicable prospectus supplement states otherwise, each series of offered securities will be a new issue and will have no established trading market. We may elect to apply to list any series of offered securities on an exchange. Any underwriters that we use in the sale of offered securities may make a market in those securities, but may discontinue such market making at any time without notice. Therefore, we cannot assure you that the offered securities will have a liquid trading market.</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distribution of the securities offered under this prospectus, we may enter into swap or other hedging transactions with, or arranged by, underwriters or agents or their affiliates, which may include short sales of the securities by counterparties or option, forward or other types of transactions that require delivery of securities to a counterparty, who may resell or transfer the securities offered under this prospectus.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Underwriters and others who are deemed to be underwriters under the Securities Act may engage in transactions that stabilize, maintain or otherwise affect the price of the securities, including the entry of stabilizing bids or syndicate covering transactions or the imposition of penalty bids. Any such underwriters and distribution participants may be subject to applicable provisions of the Exchange Act and the associated rules and regulations under the Exchange Act, including Regulation M, which provisions may limit the timing of purchases and sales of shares by the selling securityholders. Furthermore, under Regulation M, persons engaged in a distribution of securities are prohibited from simultaneously engaging in market making and certain other activities with respect to such securities for a specified period of time prior to the commencement of such distributions, subject to special exceptions or exemptions. In addition, the anti-manipulation rules under the Exchange Act may apply to sales of the securities in the market. All of these limitations may affect the marketability of the securities and the ability of any person to engage in market-making activities with respect to the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Davis Polk &amp; Wardwell LLP, New York, New York.</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Bread Financial Holdings, Inc. and its subsidiaries as of December 31, 2024 and 2023, and for each of the three years in the period ended December 31, 2024, incorporated by reference in this Prospectus, and the effectiveness of Bread Financial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40"/>
          </w:cols>
          <w:pgMar w:left="320" w:top="455" w:right="5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180975</wp:posOffset>
            </wp:positionV>
            <wp:extent cx="2486025" cy="368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24860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4"/>
          <w:szCs w:val="24"/>
          <w:b w:val="1"/>
          <w:bCs w:val="1"/>
          <w:color w:val="auto"/>
        </w:rPr>
        <w:t>Each Representing a 1/40th Interest in a Share of    % Fixed Rate Reset Non-Cumulative Perpetual</w:t>
      </w:r>
    </w:p>
    <w:p>
      <w:pPr>
        <w:spacing w:after="0" w:line="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Preferred Stock, 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1657350</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i w:val="1"/>
          <w:iCs w:val="1"/>
          <w:color w:val="auto"/>
        </w:rPr>
        <w:t>Joint Bookrunners</w:t>
      </w:r>
    </w:p>
    <w:p>
      <w:pPr>
        <w:spacing w:after="0" w:line="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RBC Capital Markets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UBS Investment Bank</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Keefe, Bruyette &amp; Woods</w:t>
      </w:r>
    </w:p>
    <w:p>
      <w:pPr>
        <w:spacing w:after="0" w:line="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i w:val="1"/>
          <w:iCs w:val="1"/>
          <w:color w:val="auto"/>
        </w:rPr>
        <w:t>                       A Stifel Company</w:t>
      </w: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354330</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414020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960"/>
      </w:cols>
      <w:pgMar w:left="320" w:top="45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
      <w:numFmt w:val="bullet"/>
      <w:start w:val="1"/>
    </w:lvl>
  </w:abstractNum>
  <w:abstractNum w:abstractNumId="3">
    <w:nsid w:val="431BD7B7"/>
    <w:multiLevelType w:val="hybridMultilevel"/>
    <w:lvl w:ilvl="0">
      <w:lvlJc w:val="left"/>
      <w:lvlText w:val="•"/>
      <w:numFmt w:val="bullet"/>
      <w:start w:val="1"/>
    </w:lvl>
    <w:lvl w:ilvl="1">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2"/>
    </w:lvl>
  </w:abstractNum>
  <w:abstractNum w:abstractNumId="16">
    <w:nsid w:val="8EDBDAB"/>
    <w:multiLevelType w:val="hybridMultilevel"/>
    <w:lvl w:ilvl="0">
      <w:lvlJc w:val="left"/>
      <w:lvlText w:val="(%1)"/>
      <w:numFmt w:val="lowerLetter"/>
      <w:start w:val="1"/>
    </w:lvl>
    <w:lvl w:ilvl="1">
      <w:lvlJc w:val="left"/>
      <w:lvlText w:val="(%2)"/>
      <w:numFmt w:val="lowerRoman"/>
      <w:start w:val="1"/>
    </w:lvl>
  </w:abstractNum>
  <w:abstractNum w:abstractNumId="17">
    <w:nsid w:val="79838CB2"/>
    <w:multiLevelType w:val="hybridMultilevel"/>
    <w:lvl w:ilvl="0">
      <w:lvlJc w:val="left"/>
      <w:lvlText w:val="(%1)"/>
      <w:numFmt w:val="lowerRoman"/>
      <w:start w:val="2"/>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35"/>
    </w:lvl>
  </w:abstractNum>
  <w:abstractNum w:abstractNumId="21">
    <w:nsid w:val="54E49EB4"/>
    <w:multiLevelType w:val="hybridMultilevel"/>
    <w:lvl w:ilvl="0">
      <w:lvlJc w:val="left"/>
      <w:lvlText w:val="(%1)"/>
      <w:numFmt w:val="lowerRoman"/>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jpe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jpe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68" Type="http://schemas.openxmlformats.org/officeDocument/2006/relationships/hyperlink" Target="http://www.sec.gov/ix?doc=/Archives/edgar/data/1101215/000110121526000016/bfh-20251231.htm" TargetMode="External"/><Relationship Id="rId69" Type="http://schemas.openxmlformats.org/officeDocument/2006/relationships/hyperlink" Target="http://www.sec.gov/ix?doc=/Archives/edgar/data/1101215/000110121526000040/bfh-20260331.htm" TargetMode="External"/><Relationship Id="rId70" Type="http://schemas.openxmlformats.org/officeDocument/2006/relationships/hyperlink" Target="http://www.sec.gov/ix?doc=/Archives/edgar/data/1101215/000119312526144512/bfh-20260406.htm" TargetMode="External"/><Relationship Id="rId71" Type="http://schemas.openxmlformats.org/officeDocument/2006/relationships/hyperlink" Target="http://www.sec.gov/ix?doc=/Archives/edgar/data/1101215/000110121526000007/bfh-20260129.htm" TargetMode="External"/><Relationship Id="rId72" Type="http://schemas.openxmlformats.org/officeDocument/2006/relationships/hyperlink" Target="http://www.sec.gov/ix?doc=/Archives/edgar/data/1101215/000110121526000021/bfh-20260217.htm" TargetMode="External"/><Relationship Id="rId73" Type="http://schemas.openxmlformats.org/officeDocument/2006/relationships/hyperlink" Target="http://www.sec.gov/ix?doc=/Archives/edgar/data/1101215/000110121526000036/bfh-20260423.htm" TargetMode="External"/><Relationship Id="rId84" Type="http://schemas.openxmlformats.org/officeDocument/2006/relationships/hyperlink" Target="http://www.sec.gov/ix?doc=/Archives/edgar/data/1101215/000110121525000031/bfh-20241231.htm" TargetMode="External"/><Relationship Id="rId85" Type="http://schemas.openxmlformats.org/officeDocument/2006/relationships/hyperlink" Target="http://www.sec.gov/ix?doc=/Archives/edgar/data/1101215/000119312525070902/d901058ddef14a.htm" TargetMode="External"/><Relationship Id="rId86" Type="http://schemas.openxmlformats.org/officeDocument/2006/relationships/hyperlink" Target="http://www.sec.gov/ix?doc=/Archives/edgar/data/1101215/000110121525000080/bfh-20250331.htm" TargetMode="External"/><Relationship Id="rId87" Type="http://schemas.openxmlformats.org/officeDocument/2006/relationships/hyperlink" Target="http://www.sec.gov/ix?doc=/Archives/edgar/data/1101215/000110121525000135/bfh-20250630.htm" TargetMode="External"/><Relationship Id="rId88" Type="http://schemas.openxmlformats.org/officeDocument/2006/relationships/hyperlink" Target="http://www.sec.gov/ix?doc=/Archives/edgar/data/1101215/000110121525000173/bfh-20250930.htm" TargetMode="External"/><Relationship Id="rId89" Type="http://schemas.openxmlformats.org/officeDocument/2006/relationships/hyperlink" Target="http://www.sec.gov/ix?doc=/Archives/edgar/data/1101215/000110121525000012/bfh-20250130.htm" TargetMode="External"/><Relationship Id="rId90" Type="http://schemas.openxmlformats.org/officeDocument/2006/relationships/hyperlink" Target="http://www.sec.gov/ix?doc=/Archives/edgar/data/1101215/000110121525000054/bfh-20250310.htm" TargetMode="External"/><Relationship Id="rId91" Type="http://schemas.openxmlformats.org/officeDocument/2006/relationships/hyperlink" Target="http://www.sec.gov/ix?doc=/Archives/edgar/data/1101215/000110121525000075/bfh-20250424.htm" TargetMode="External"/><Relationship Id="rId92" Type="http://schemas.openxmlformats.org/officeDocument/2006/relationships/hyperlink" Target="http://www.sec.gov/ix?doc=/Archives/edgar/data/1101215/000110121525000086/bfh-20250513.htm" TargetMode="External"/><Relationship Id="rId93" Type="http://schemas.openxmlformats.org/officeDocument/2006/relationships/hyperlink" Target="http://www.sec.gov/ix?doc=/Archives/edgar/data/1101215/000110121525000092/bfh-20250521.htm" TargetMode="External"/><Relationship Id="rId94" Type="http://schemas.openxmlformats.org/officeDocument/2006/relationships/hyperlink" Target="http://www.sec.gov/ix?doc=/Archives/edgar/data/1101215/000119312525135322/d939976d8k.htm" TargetMode="External"/><Relationship Id="rId95" Type="http://schemas.openxmlformats.org/officeDocument/2006/relationships/hyperlink" Target="http://www.sec.gov/ix?doc=/Archives/edgar/data/1101215/000110121525000129/bfh-20250724.htm" TargetMode="External"/><Relationship Id="rId96" Type="http://schemas.openxmlformats.org/officeDocument/2006/relationships/hyperlink" Target="http://www.sec.gov/ix?doc=/Archives/edgar/data/1101215/000110121525000142/bfh-20250807.htm" TargetMode="External"/><Relationship Id="rId97" Type="http://schemas.openxmlformats.org/officeDocument/2006/relationships/hyperlink" Target="http://www.sec.gov/ix?doc=/Archives/edgar/data/1101215/000110121525000147/bfh-20250822.htm" TargetMode="External"/><Relationship Id="rId98" Type="http://schemas.openxmlformats.org/officeDocument/2006/relationships/hyperlink" Target="http://www.sec.gov/ix?doc=/Archives/edgar/data/1101215/000110121525000168/bfh-20251023.htm" TargetMode="External"/><Relationship Id="rId99" Type="http://schemas.openxmlformats.org/officeDocument/2006/relationships/hyperlink" Target="http://www.sec.gov/ix?doc=/Archives/edgar/data/1101215/000110121525000175/bfh-20251028.htm" TargetMode="External"/><Relationship Id="rId100" Type="http://schemas.openxmlformats.org/officeDocument/2006/relationships/hyperlink" Target="http://www.sec.gov/ix?doc=/Archives/edgar/data/1101215/000110121525000178/bfh-202510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2026-05-05T08:03:26Z</dcterms:created>
  <dcterms:modified xsi:type="dcterms:W3CDTF">2026-05-05T08:03:26Z</dcterms:modified>
</cp:coreProperties>
</file>