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311150</wp:posOffset>
            </wp:positionV>
            <wp:extent cx="228028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BREAD FINANCIAL HOLDINGS, INC.</w:t>
      </w:r>
    </w:p>
    <w:p>
      <w:pPr>
        <w:spacing w:after="0" w:line="34"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380" w:type="dxa"/>
        <w:tblCellMar>
          <w:top w:w="0" w:type="dxa"/>
          <w:left w:w="0" w:type="dxa"/>
          <w:bottom w:w="0" w:type="dxa"/>
          <w:right w:w="0" w:type="dxa"/>
        </w:tblCellMar>
      </w:tblPr>
      <w:tr>
        <w:trPr>
          <w:trHeight w:val="253"/>
        </w:trPr>
        <w:tc>
          <w:tcPr>
            <w:tcW w:w="4420" w:type="dxa"/>
            <w:vAlign w:val="bottom"/>
          </w:tcPr>
          <w:p>
            <w:pPr>
              <w:jc w:val="center"/>
              <w:ind w:right="1492"/>
              <w:spacing w:after="0"/>
              <w:rPr>
                <w:sz w:val="20"/>
                <w:szCs w:val="20"/>
                <w:color w:val="auto"/>
              </w:rPr>
            </w:pPr>
            <w:r>
              <w:rPr>
                <w:rFonts w:ascii="Arial" w:cs="Arial" w:eastAsia="Arial" w:hAnsi="Arial"/>
                <w:sz w:val="22"/>
                <w:szCs w:val="22"/>
                <w:b w:val="1"/>
                <w:bCs w:val="1"/>
                <w:color w:val="auto"/>
                <w:w w:val="95"/>
              </w:rPr>
              <w:t>DELAWARE</w:t>
            </w:r>
          </w:p>
        </w:tc>
        <w:tc>
          <w:tcPr>
            <w:tcW w:w="2300" w:type="dxa"/>
            <w:vAlign w:val="bottom"/>
          </w:tcPr>
          <w:p>
            <w:pPr>
              <w:jc w:val="center"/>
              <w:ind w:right="572"/>
              <w:spacing w:after="0"/>
              <w:rPr>
                <w:sz w:val="20"/>
                <w:szCs w:val="20"/>
                <w:color w:val="auto"/>
              </w:rPr>
            </w:pPr>
            <w:r>
              <w:rPr>
                <w:rFonts w:ascii="Arial" w:cs="Arial" w:eastAsia="Arial" w:hAnsi="Arial"/>
                <w:sz w:val="22"/>
                <w:szCs w:val="22"/>
                <w:b w:val="1"/>
                <w:bCs w:val="1"/>
                <w:color w:val="auto"/>
                <w:w w:val="89"/>
              </w:rPr>
              <w:t>001-15749</w:t>
            </w:r>
          </w:p>
        </w:tc>
        <w:tc>
          <w:tcPr>
            <w:tcW w:w="3140" w:type="dxa"/>
            <w:vAlign w:val="bottom"/>
          </w:tcPr>
          <w:p>
            <w:pPr>
              <w:jc w:val="center"/>
              <w:ind w:left="1432"/>
              <w:spacing w:after="0"/>
              <w:rPr>
                <w:sz w:val="20"/>
                <w:szCs w:val="20"/>
                <w:color w:val="auto"/>
              </w:rPr>
            </w:pPr>
            <w:r>
              <w:rPr>
                <w:rFonts w:ascii="Arial" w:cs="Arial" w:eastAsia="Arial" w:hAnsi="Arial"/>
                <w:sz w:val="22"/>
                <w:szCs w:val="22"/>
                <w:b w:val="1"/>
                <w:bCs w:val="1"/>
                <w:color w:val="auto"/>
                <w:w w:val="88"/>
              </w:rPr>
              <w:t>31-1429215</w:t>
            </w:r>
          </w:p>
        </w:tc>
        <w:tc>
          <w:tcPr>
            <w:tcW w:w="0" w:type="dxa"/>
            <w:vAlign w:val="bottom"/>
          </w:tcPr>
          <w:p>
            <w:pPr>
              <w:spacing w:after="0"/>
              <w:rPr>
                <w:sz w:val="1"/>
                <w:szCs w:val="1"/>
                <w:color w:val="auto"/>
              </w:rPr>
            </w:pPr>
          </w:p>
        </w:tc>
      </w:tr>
      <w:tr>
        <w:trPr>
          <w:trHeight w:val="243"/>
        </w:trPr>
        <w:tc>
          <w:tcPr>
            <w:tcW w:w="4420" w:type="dxa"/>
            <w:vAlign w:val="bottom"/>
          </w:tcPr>
          <w:p>
            <w:pPr>
              <w:jc w:val="center"/>
              <w:ind w:right="1472"/>
              <w:spacing w:after="0" w:line="243" w:lineRule="exact"/>
              <w:rPr>
                <w:sz w:val="20"/>
                <w:szCs w:val="20"/>
                <w:color w:val="auto"/>
              </w:rPr>
            </w:pPr>
            <w:r>
              <w:rPr>
                <w:rFonts w:ascii="Arial" w:cs="Arial" w:eastAsia="Arial" w:hAnsi="Arial"/>
                <w:sz w:val="22"/>
                <w:szCs w:val="22"/>
                <w:color w:val="auto"/>
                <w:w w:val="90"/>
              </w:rPr>
              <w:t>(State or other jurisdiction</w:t>
            </w:r>
          </w:p>
        </w:tc>
        <w:tc>
          <w:tcPr>
            <w:tcW w:w="2300" w:type="dxa"/>
            <w:vAlign w:val="bottom"/>
          </w:tcPr>
          <w:p>
            <w:pPr>
              <w:jc w:val="center"/>
              <w:ind w:right="572"/>
              <w:spacing w:after="0" w:line="243" w:lineRule="exact"/>
              <w:rPr>
                <w:sz w:val="20"/>
                <w:szCs w:val="20"/>
                <w:color w:val="auto"/>
              </w:rPr>
            </w:pPr>
            <w:r>
              <w:rPr>
                <w:rFonts w:ascii="Arial" w:cs="Arial" w:eastAsia="Arial" w:hAnsi="Arial"/>
                <w:sz w:val="22"/>
                <w:szCs w:val="22"/>
                <w:color w:val="auto"/>
                <w:w w:val="91"/>
              </w:rPr>
              <w:t>(Commission</w:t>
            </w:r>
          </w:p>
        </w:tc>
        <w:tc>
          <w:tcPr>
            <w:tcW w:w="3140" w:type="dxa"/>
            <w:vAlign w:val="bottom"/>
          </w:tcPr>
          <w:p>
            <w:pPr>
              <w:jc w:val="center"/>
              <w:ind w:left="1432"/>
              <w:spacing w:after="0" w:line="243" w:lineRule="exact"/>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4"/>
        </w:trPr>
        <w:tc>
          <w:tcPr>
            <w:tcW w:w="4420" w:type="dxa"/>
            <w:vAlign w:val="bottom"/>
          </w:tcPr>
          <w:p>
            <w:pPr>
              <w:jc w:val="center"/>
              <w:ind w:right="1472"/>
              <w:spacing w:after="0"/>
              <w:rPr>
                <w:sz w:val="20"/>
                <w:szCs w:val="20"/>
                <w:color w:val="auto"/>
              </w:rPr>
            </w:pPr>
            <w:r>
              <w:rPr>
                <w:rFonts w:ascii="Arial" w:cs="Arial" w:eastAsia="Arial" w:hAnsi="Arial"/>
                <w:sz w:val="22"/>
                <w:szCs w:val="22"/>
                <w:color w:val="auto"/>
                <w:w w:val="91"/>
              </w:rPr>
              <w:t>of incorporation or organization)</w:t>
            </w:r>
          </w:p>
        </w:tc>
        <w:tc>
          <w:tcPr>
            <w:tcW w:w="2300" w:type="dxa"/>
            <w:vAlign w:val="bottom"/>
          </w:tcPr>
          <w:p>
            <w:pPr>
              <w:jc w:val="center"/>
              <w:ind w:right="572"/>
              <w:spacing w:after="0"/>
              <w:rPr>
                <w:sz w:val="20"/>
                <w:szCs w:val="20"/>
                <w:color w:val="auto"/>
              </w:rPr>
            </w:pPr>
            <w:r>
              <w:rPr>
                <w:rFonts w:ascii="Arial" w:cs="Arial" w:eastAsia="Arial" w:hAnsi="Arial"/>
                <w:sz w:val="22"/>
                <w:szCs w:val="22"/>
                <w:color w:val="auto"/>
                <w:w w:val="92"/>
              </w:rPr>
              <w:t>File Number)</w:t>
            </w:r>
          </w:p>
        </w:tc>
        <w:tc>
          <w:tcPr>
            <w:tcW w:w="3140" w:type="dxa"/>
            <w:vAlign w:val="bottom"/>
          </w:tcPr>
          <w:p>
            <w:pPr>
              <w:jc w:val="center"/>
              <w:ind w:left="1432"/>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449"/>
        </w:trPr>
        <w:tc>
          <w:tcPr>
            <w:tcW w:w="4420" w:type="dxa"/>
            <w:vAlign w:val="bottom"/>
          </w:tcPr>
          <w:p>
            <w:pPr>
              <w:jc w:val="center"/>
              <w:ind w:left="472"/>
              <w:spacing w:after="0"/>
              <w:rPr>
                <w:sz w:val="20"/>
                <w:szCs w:val="20"/>
                <w:color w:val="auto"/>
              </w:rPr>
            </w:pPr>
            <w:r>
              <w:rPr>
                <w:rFonts w:ascii="Arial" w:cs="Arial" w:eastAsia="Arial" w:hAnsi="Arial"/>
                <w:sz w:val="22"/>
                <w:szCs w:val="22"/>
                <w:b w:val="1"/>
                <w:bCs w:val="1"/>
                <w:color w:val="auto"/>
                <w:w w:val="97"/>
              </w:rPr>
              <w:t>3095 LOYALTY CIRCLE</w:t>
            </w:r>
          </w:p>
        </w:tc>
        <w:tc>
          <w:tcPr>
            <w:tcW w:w="2300" w:type="dxa"/>
            <w:vAlign w:val="bottom"/>
          </w:tcPr>
          <w:p>
            <w:pPr>
              <w:spacing w:after="0"/>
              <w:rPr>
                <w:sz w:val="24"/>
                <w:szCs w:val="24"/>
                <w:color w:val="auto"/>
              </w:rPr>
            </w:pPr>
          </w:p>
        </w:tc>
        <w:tc>
          <w:tcPr>
            <w:tcW w:w="3140" w:type="dxa"/>
            <w:vAlign w:val="bottom"/>
            <w:vMerge w:val="restart"/>
          </w:tcPr>
          <w:p>
            <w:pPr>
              <w:jc w:val="right"/>
              <w:ind w:right="1372"/>
              <w:spacing w:after="0"/>
              <w:rPr>
                <w:sz w:val="20"/>
                <w:szCs w:val="20"/>
                <w:color w:val="auto"/>
              </w:rPr>
            </w:pPr>
            <w:r>
              <w:rPr>
                <w:rFonts w:ascii="Arial" w:cs="Arial" w:eastAsia="Arial" w:hAnsi="Arial"/>
                <w:sz w:val="22"/>
                <w:szCs w:val="22"/>
                <w:b w:val="1"/>
                <w:bCs w:val="1"/>
                <w:color w:val="auto"/>
              </w:rPr>
              <w:t>43219</w:t>
            </w:r>
          </w:p>
        </w:tc>
        <w:tc>
          <w:tcPr>
            <w:tcW w:w="0" w:type="dxa"/>
            <w:vAlign w:val="bottom"/>
          </w:tcPr>
          <w:p>
            <w:pPr>
              <w:spacing w:after="0"/>
              <w:rPr>
                <w:sz w:val="1"/>
                <w:szCs w:val="1"/>
                <w:color w:val="auto"/>
              </w:rPr>
            </w:pPr>
          </w:p>
        </w:tc>
      </w:tr>
      <w:tr>
        <w:trPr>
          <w:trHeight w:val="249"/>
        </w:trPr>
        <w:tc>
          <w:tcPr>
            <w:tcW w:w="4420" w:type="dxa"/>
            <w:vAlign w:val="bottom"/>
          </w:tcPr>
          <w:p>
            <w:pPr>
              <w:jc w:val="center"/>
              <w:ind w:left="452"/>
              <w:spacing w:after="0" w:line="249" w:lineRule="exact"/>
              <w:rPr>
                <w:sz w:val="20"/>
                <w:szCs w:val="20"/>
                <w:color w:val="auto"/>
              </w:rPr>
            </w:pPr>
            <w:r>
              <w:rPr>
                <w:rFonts w:ascii="Arial" w:cs="Arial" w:eastAsia="Arial" w:hAnsi="Arial"/>
                <w:sz w:val="22"/>
                <w:szCs w:val="22"/>
                <w:b w:val="1"/>
                <w:bCs w:val="1"/>
                <w:color w:val="auto"/>
                <w:w w:val="99"/>
              </w:rPr>
              <w:t>COLUMBUS, OHIO</w:t>
            </w:r>
          </w:p>
        </w:tc>
        <w:tc>
          <w:tcPr>
            <w:tcW w:w="2300" w:type="dxa"/>
            <w:vAlign w:val="bottom"/>
          </w:tcPr>
          <w:p>
            <w:pPr>
              <w:spacing w:after="0"/>
              <w:rPr>
                <w:sz w:val="21"/>
                <w:szCs w:val="21"/>
                <w:color w:val="auto"/>
              </w:rPr>
            </w:pPr>
          </w:p>
        </w:tc>
        <w:tc>
          <w:tcPr>
            <w:tcW w:w="3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420" w:type="dxa"/>
            <w:vAlign w:val="bottom"/>
          </w:tcPr>
          <w:p>
            <w:pPr>
              <w:jc w:val="center"/>
              <w:ind w:left="472"/>
              <w:spacing w:after="0"/>
              <w:rPr>
                <w:sz w:val="20"/>
                <w:szCs w:val="20"/>
                <w:color w:val="auto"/>
              </w:rPr>
            </w:pPr>
            <w:r>
              <w:rPr>
                <w:rFonts w:ascii="Arial" w:cs="Arial" w:eastAsia="Arial" w:hAnsi="Arial"/>
                <w:sz w:val="22"/>
                <w:szCs w:val="22"/>
                <w:color w:val="auto"/>
                <w:w w:val="91"/>
              </w:rPr>
              <w:t>(Address of principal executive offices)</w:t>
            </w:r>
          </w:p>
        </w:tc>
        <w:tc>
          <w:tcPr>
            <w:tcW w:w="2300" w:type="dxa"/>
            <w:vAlign w:val="bottom"/>
          </w:tcPr>
          <w:p>
            <w:pPr>
              <w:spacing w:after="0"/>
              <w:rPr>
                <w:sz w:val="23"/>
                <w:szCs w:val="23"/>
                <w:color w:val="auto"/>
              </w:rPr>
            </w:pPr>
          </w:p>
        </w:tc>
        <w:tc>
          <w:tcPr>
            <w:tcW w:w="3140" w:type="dxa"/>
            <w:vAlign w:val="bottom"/>
          </w:tcPr>
          <w:p>
            <w:pPr>
              <w:jc w:val="center"/>
              <w:ind w:right="252"/>
              <w:spacing w:after="0"/>
              <w:rPr>
                <w:sz w:val="20"/>
                <w:szCs w:val="20"/>
                <w:color w:val="auto"/>
              </w:rPr>
            </w:pPr>
            <w:r>
              <w:rPr>
                <w:rFonts w:ascii="Arial" w:cs="Arial" w:eastAsia="Arial" w:hAnsi="Arial"/>
                <w:sz w:val="22"/>
                <w:szCs w:val="22"/>
                <w:color w:val="auto"/>
                <w:w w:val="90"/>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Joseph L. Motes III</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Executive Vice President, Chief Administrative Officer, General Counsel, and Secretary</w:t>
      </w:r>
    </w:p>
    <w:p>
      <w:pPr>
        <w:jc w:val="center"/>
        <w:ind w:right="-479"/>
        <w:spacing w:after="0" w:line="230" w:lineRule="auto"/>
        <w:rPr>
          <w:sz w:val="20"/>
          <w:szCs w:val="20"/>
          <w:color w:val="auto"/>
        </w:rPr>
      </w:pPr>
      <w:r>
        <w:rPr>
          <w:rFonts w:ascii="Arial" w:cs="Arial" w:eastAsia="Arial" w:hAnsi="Arial"/>
          <w:sz w:val="22"/>
          <w:szCs w:val="22"/>
          <w:b w:val="1"/>
          <w:bCs w:val="1"/>
          <w:color w:val="auto"/>
        </w:rPr>
        <w:t>(214) 494-3000</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02" w:lineRule="exact"/>
        <w:rPr>
          <w:sz w:val="24"/>
          <w:szCs w:val="24"/>
          <w:color w:val="auto"/>
        </w:rPr>
      </w:pPr>
    </w:p>
    <w:p>
      <w:pPr>
        <w:ind w:left="660" w:right="620" w:hanging="652"/>
        <w:spacing w:after="0" w:line="250"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22"/>
          <w:szCs w:val="22"/>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1017" w:right="8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39"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From the 2014 reporting period through the 2020 reporting period, Bread Financial Holdings, Inc. (formerly Alliance Data Systems Corporation) (the “Company”) filed a Form SD each year with respect to certain operations of its then-wholly-owned subsidiary, BrandLoyalty Group B.V. (“BrandLoyalty”).</w:t>
      </w:r>
    </w:p>
    <w:p>
      <w:pPr>
        <w:spacing w:after="0" w:line="20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On November 5, 2021, the Company completed the spinoff of its former LoyaltyOne</w:t>
      </w:r>
      <w:r>
        <w:rPr>
          <w:rFonts w:ascii="Arial" w:cs="Arial" w:eastAsia="Arial" w:hAnsi="Arial"/>
          <w:sz w:val="32"/>
          <w:szCs w:val="32"/>
          <w:color w:val="auto"/>
          <w:vertAlign w:val="superscript"/>
        </w:rPr>
        <w:t>®</w:t>
      </w:r>
      <w:r>
        <w:rPr>
          <w:rFonts w:ascii="Arial" w:cs="Arial" w:eastAsia="Arial" w:hAnsi="Arial"/>
          <w:sz w:val="20"/>
          <w:szCs w:val="20"/>
          <w:color w:val="auto"/>
        </w:rPr>
        <w:t xml:space="preserve"> segment, including the BrandLoyalty business, into an independent, publicly traded company known as Loyalty Ventures Inc. (“Loyalty Ventures”). Loyalty Ventures is now listed on Nasdaq under the ticker symbol “LYLT.” Following the spinoff of Loyalty Ventures, the Company no longer manufactures or contracts to manufacture any products, including any products required to be reported on Form SD.</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On May 19, 2022, Loyalty Ventures filed a Form SD with the Securities and Exchange Commission (the “SEC”) for the 2021 reporting period with respect to the operations of BrandLoyalty (the “2021 Form SD”). The 2021 Form SD is incorporated by reference herein. As a result of the spinoff, the Company did not, and could not, without unreasonable effort, perform an independent due diligence, aside from the due diligence performed by Loyalty Ventures, with respect to the matters covered by the 2021 Form SD.</w:t>
      </w:r>
    </w:p>
    <w:p>
      <w:pPr>
        <w:spacing w:after="0" w:line="214" w:lineRule="exact"/>
        <w:rPr>
          <w:sz w:val="20"/>
          <w:szCs w:val="20"/>
          <w:color w:val="auto"/>
        </w:rPr>
      </w:pPr>
    </w:p>
    <w:p>
      <w:pPr>
        <w:ind w:right="840"/>
        <w:spacing w:after="0"/>
        <w:rPr>
          <w:sz w:val="20"/>
          <w:szCs w:val="20"/>
          <w:color w:val="auto"/>
        </w:rPr>
      </w:pPr>
      <w:r>
        <w:rPr>
          <w:rFonts w:ascii="Arial" w:cs="Arial" w:eastAsia="Arial" w:hAnsi="Arial"/>
          <w:sz w:val="22"/>
          <w:szCs w:val="22"/>
          <w:color w:val="auto"/>
        </w:rPr>
        <w:t xml:space="preserve">The 2021 Form SD can be found on the SEC’s website at </w:t>
      </w:r>
      <w:r>
        <w:rPr>
          <w:rFonts w:ascii="Arial" w:cs="Arial" w:eastAsia="Arial" w:hAnsi="Arial"/>
          <w:sz w:val="22"/>
          <w:szCs w:val="22"/>
          <w:u w:val="single" w:color="auto"/>
          <w:color w:val="auto"/>
        </w:rPr>
        <w:t>www.sec.gov</w:t>
      </w:r>
      <w:r>
        <w:rPr>
          <w:rFonts w:ascii="Arial" w:cs="Arial" w:eastAsia="Arial" w:hAnsi="Arial"/>
          <w:sz w:val="22"/>
          <w:szCs w:val="22"/>
          <w:color w:val="auto"/>
        </w:rPr>
        <w:t xml:space="preserve"> and on Loyalty Ventures’ website at </w:t>
      </w:r>
      <w:r>
        <w:rPr>
          <w:rFonts w:ascii="Arial" w:cs="Arial" w:eastAsia="Arial" w:hAnsi="Arial"/>
          <w:sz w:val="22"/>
          <w:szCs w:val="22"/>
          <w:u w:val="single" w:color="auto"/>
          <w:color w:val="auto"/>
        </w:rPr>
        <w:t>www.loyaltyventures.com</w:t>
      </w:r>
      <w:r>
        <w:rPr>
          <w:rFonts w:ascii="Arial" w:cs="Arial" w:eastAsia="Arial" w:hAnsi="Arial"/>
          <w:sz w:val="22"/>
          <w:szCs w:val="22"/>
          <w:color w:val="auto"/>
        </w:rPr>
        <w:t xml:space="preserve"> on the Investors page under the Governance heading. The information on that website is not incorporated by reference into this Form SD.</w:t>
      </w:r>
    </w:p>
    <w:p>
      <w:pPr>
        <w:spacing w:after="0" w:line="21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While the Company does not currently expect to have any further filing obligations on Form SD with respect to BrandLoyalty’s operations or otherwise, the Company will continue to monitor any future obligations it may have under Rule 13p-1 under the Securities Exchange Act of 1934, as amended, with respect to conflict minerals, whether such obligations arise due to future acquisitions, changes in business operations or other circumstances.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Bread Financial Holdings, Inc.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080" w:type="dxa"/>
            <w:vAlign w:val="bottom"/>
            <w:gridSpan w:val="2"/>
          </w:tcPr>
          <w:p>
            <w:pPr>
              <w:spacing w:after="0"/>
              <w:rPr>
                <w:sz w:val="20"/>
                <w:szCs w:val="20"/>
                <w:color w:val="auto"/>
              </w:rPr>
            </w:pPr>
            <w:r>
              <w:rPr>
                <w:rFonts w:ascii="Arial" w:cs="Arial" w:eastAsia="Arial" w:hAnsi="Arial"/>
                <w:sz w:val="22"/>
                <w:szCs w:val="22"/>
                <w:color w:val="auto"/>
              </w:rPr>
              <w:t>/s/ Joseph L. Motes III</w:t>
            </w:r>
          </w:p>
        </w:tc>
        <w:tc>
          <w:tcPr>
            <w:tcW w:w="3120" w:type="dxa"/>
            <w:vAlign w:val="bottom"/>
          </w:tcPr>
          <w:p>
            <w:pPr>
              <w:ind w:left="1400"/>
              <w:spacing w:after="0"/>
              <w:rPr>
                <w:sz w:val="20"/>
                <w:szCs w:val="20"/>
                <w:color w:val="auto"/>
              </w:rPr>
            </w:pPr>
            <w:r>
              <w:rPr>
                <w:rFonts w:ascii="Arial" w:cs="Arial" w:eastAsia="Arial" w:hAnsi="Arial"/>
                <w:sz w:val="22"/>
                <w:szCs w:val="22"/>
                <w:color w:val="auto"/>
                <w:w w:val="88"/>
              </w:rPr>
              <w:t>Date: May 27, 2022</w:t>
            </w:r>
          </w:p>
        </w:tc>
      </w:tr>
      <w:tr>
        <w:trPr>
          <w:trHeight w:val="242"/>
        </w:trPr>
        <w:tc>
          <w:tcPr>
            <w:tcW w:w="880" w:type="dxa"/>
            <w:vAlign w:val="bottom"/>
          </w:tcPr>
          <w:p>
            <w:pPr>
              <w:spacing w:after="0"/>
              <w:rPr>
                <w:sz w:val="21"/>
                <w:szCs w:val="21"/>
                <w:color w:val="auto"/>
              </w:rPr>
            </w:pPr>
          </w:p>
        </w:tc>
        <w:tc>
          <w:tcPr>
            <w:tcW w:w="19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Joseph L. Motes III</w:t>
            </w:r>
          </w:p>
        </w:tc>
        <w:tc>
          <w:tcPr>
            <w:tcW w:w="214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rPr>
              <w:t>Executive Vice President,</w:t>
            </w:r>
          </w:p>
        </w:tc>
        <w:tc>
          <w:tcPr>
            <w:tcW w:w="312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rPr>
              <w:t>Chief Administrative Officer,</w:t>
            </w:r>
          </w:p>
        </w:tc>
        <w:tc>
          <w:tcPr>
            <w:tcW w:w="3120" w:type="dxa"/>
            <w:vAlign w:val="bottom"/>
          </w:tcPr>
          <w:p>
            <w:pPr>
              <w:spacing w:after="0"/>
              <w:rPr>
                <w:sz w:val="21"/>
                <w:szCs w:val="21"/>
                <w:color w:val="auto"/>
              </w:rPr>
            </w:pPr>
          </w:p>
        </w:tc>
      </w:tr>
      <w:tr>
        <w:trPr>
          <w:trHeight w:val="274"/>
        </w:trPr>
        <w:tc>
          <w:tcPr>
            <w:tcW w:w="88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General Counsel and Secretary</w:t>
            </w:r>
          </w:p>
        </w:tc>
        <w:tc>
          <w:tcPr>
            <w:tcW w:w="31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S"/>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2022-05-28T02:26:41Z</dcterms:created>
  <dcterms:modified xsi:type="dcterms:W3CDTF">2022-05-28T02:26:41Z</dcterms:modified>
</cp:coreProperties>
</file>