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Driscoll Allegra S</w:t>
              </w:r>
            </w:hyperlink>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BREAD FINANCIAL HOLDINGS, INC.</w:t>
              </w:r>
            </w:hyperlink>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3"/>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BFH</w:t>
            </w:r>
            <w:r>
              <w:rPr>
                <w:rFonts w:ascii="Times New Roman" w:cs="Times New Roman" w:eastAsia="Times New Roman" w:hAnsi="Times New Roman"/>
                <w:sz w:val="21"/>
                <w:szCs w:val="21"/>
                <w:color w:val="auto"/>
              </w:rPr>
              <w:t xml:space="preserve"> ]</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tcPr>
          <w:p>
            <w:pPr>
              <w:spacing w:after="0"/>
              <w:rPr>
                <w:sz w:val="4"/>
                <w:szCs w:val="4"/>
                <w:color w:val="auto"/>
              </w:rPr>
            </w:pPr>
          </w:p>
        </w:tc>
        <w:tc>
          <w:tcPr>
            <w:tcW w:w="7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7"/>
                <w:szCs w:val="17"/>
                <w:color w:val="0000FF"/>
              </w:rPr>
              <w:t>EVP, Chief Technology Officer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156 5TH AVENUE, FLOOR 2</w:t>
            </w:r>
          </w:p>
        </w:tc>
        <w:tc>
          <w:tcPr>
            <w:tcW w:w="1340" w:type="dxa"/>
            <w:vAlign w:val="bottom"/>
          </w:tcPr>
          <w:p>
            <w:pPr>
              <w:spacing w:after="0"/>
              <w:rPr>
                <w:sz w:val="10"/>
                <w:szCs w:val="10"/>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02/18/2026</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gridSpan w:val="6"/>
          </w:tcPr>
          <w:p>
            <w:pPr>
              <w:ind w:left="160"/>
              <w:spacing w:after="0" w:line="187" w:lineRule="exact"/>
              <w:rPr>
                <w:sz w:val="20"/>
                <w:szCs w:val="20"/>
                <w:color w:val="auto"/>
              </w:rPr>
            </w:pPr>
            <w:r>
              <w:rPr>
                <w:rFonts w:ascii="Times New Roman" w:cs="Times New Roman" w:eastAsia="Times New Roman" w:hAnsi="Times New Roman"/>
                <w:sz w:val="17"/>
                <w:szCs w:val="17"/>
                <w:color w:val="0000FF"/>
              </w:rPr>
              <w:t>02/19/2026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MANHATTAN  NY</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1,752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60,780</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6"/>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initial Form 4 filed on February 19, 2026 inadvertently overreported the number of shares of common stock that were withheld for tax withholding purposes upon the vesting of restricted stock units on February 18, 2026. This amendment corrects the number of shares that were withheld on February 18, 2026 (1,752 shares), as well as the resulting total number of shares beneficially owned following all transactions reported in the initial Form 4. This amendment does not change or modify any other information reported on such initial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L. Morgan,</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252" TargetMode="External"/><Relationship Id="rId14" Type="http://schemas.openxmlformats.org/officeDocument/2006/relationships/hyperlink" Target="http://www.sec.gov/cgi-bin/browse-edgar?action=getcompany&amp;CIK=0001101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2026-03-04T17:07:00Z</dcterms:created>
  <dcterms:modified xsi:type="dcterms:W3CDTF">2026-03-04T17:07:00Z</dcterms:modified>
</cp:coreProperties>
</file>