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333-291573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160020</wp:posOffset>
            </wp:positionV>
            <wp:extent cx="232283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283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 Depositary Shares, Each Representing a 1/40th Interest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 Share of 9.375% Fixed Rate Reset Non-Cumulative Perpetual Preferred Stock, Series C</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Term Sheet</w:t>
      </w:r>
    </w:p>
    <w:p>
      <w:pPr>
        <w:spacing w:after="0" w:line="227"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relates to the offering by Bread Financial Holdings, Inc. (the “Issuer”), and should be read together with the preliminary prospectus supplement dated October 27, 2026 relating to the offering, and the accompanying prospectus dated November 17, 2025 included in the Issuer’s Registration Statement on Form S-3 (File No. 333-291573) (as supplemented by such preliminary prospectus supplement, the “Preliminary Prospectus”).</w:t>
      </w:r>
    </w:p>
    <w:p>
      <w:pPr>
        <w:spacing w:after="0" w:line="180" w:lineRule="exact"/>
        <w:rPr>
          <w:sz w:val="24"/>
          <w:szCs w:val="24"/>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supersedes the information in the Preliminary Prospectus to the extent inconsistent with the information in the Preliminary Prospectus. Terms used but not defined herein have the meanings given in the Preliminary Prospectus.</w:t>
      </w:r>
    </w:p>
    <w:p>
      <w:pPr>
        <w:sectPr>
          <w:pgSz w:w="11900" w:h="16838" w:orient="portrait"/>
          <w:cols w:equalWidth="0" w:num="1">
            <w:col w:w="11020"/>
          </w:cols>
          <w:pgMar w:left="440" w:top="225" w:right="439" w:bottom="1440" w:gutter="0" w:footer="0" w:header="0"/>
        </w:sectPr>
      </w:pP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Bread Financial Holdings, Inc.</w:t>
      </w:r>
    </w:p>
    <w:p>
      <w:pPr>
        <w:spacing w:after="0" w:line="128" w:lineRule="exact"/>
        <w:rPr>
          <w:sz w:val="24"/>
          <w:szCs w:val="24"/>
          <w:color w:val="auto"/>
        </w:rPr>
      </w:pPr>
    </w:p>
    <w:p>
      <w:pPr>
        <w:sectPr>
          <w:pgSz w:w="11900" w:h="16838" w:orient="portrait"/>
          <w:cols w:equalWidth="0" w:num="2">
            <w:col w:w="1500" w:space="720"/>
            <w:col w:w="8800"/>
          </w:cols>
          <w:pgMar w:left="440" w:top="225" w:right="439" w:bottom="1440" w:gutter="0" w:footer="0" w:header="0"/>
          <w:type w:val="continuous"/>
        </w:sect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Expected Ratings (Moody’s/Fitch)*: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Ba3/B-</w:t>
      </w:r>
    </w:p>
    <w:p>
      <w:pPr>
        <w:spacing w:after="0" w:line="342" w:lineRule="exact"/>
        <w:rPr>
          <w:sz w:val="24"/>
          <w:szCs w:val="24"/>
          <w:color w:val="auto"/>
        </w:rPr>
      </w:pPr>
    </w:p>
    <w:p>
      <w:pPr>
        <w:sectPr>
          <w:pgSz w:w="11900" w:h="16838" w:orient="portrait"/>
          <w:cols w:equalWidth="0" w:num="2">
            <w:col w:w="1500" w:space="720"/>
            <w:col w:w="8800"/>
          </w:cols>
          <w:pgMar w:left="440" w:top="225" w:right="439" w:bottom="1440" w:gutter="0" w:footer="0" w:header="0"/>
          <w:type w:val="continuous"/>
        </w:sectPr>
      </w:pP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 w:lineRule="exact"/>
        <w:rPr>
          <w:sz w:val="24"/>
          <w:szCs w:val="24"/>
          <w:color w:val="auto"/>
        </w:rPr>
      </w:pPr>
      <w:r>
        <w:rPr>
          <w:sz w:val="24"/>
          <w:szCs w:val="24"/>
          <w:color w:val="auto"/>
        </w:rPr>
        <w:br w:type="column"/>
      </w:r>
    </w:p>
    <w:p>
      <w:pPr>
        <w:ind w:right="200"/>
        <w:spacing w:after="0" w:line="284" w:lineRule="auto"/>
        <w:rPr>
          <w:sz w:val="20"/>
          <w:szCs w:val="20"/>
          <w:color w:val="auto"/>
        </w:rPr>
      </w:pPr>
      <w:r>
        <w:rPr>
          <w:rFonts w:ascii="Times New Roman" w:cs="Times New Roman" w:eastAsia="Times New Roman" w:hAnsi="Times New Roman"/>
          <w:sz w:val="18"/>
          <w:szCs w:val="18"/>
          <w:color w:val="auto"/>
        </w:rPr>
        <w:t>Depositary shares (the “</w:t>
      </w:r>
      <w:r>
        <w:rPr>
          <w:rFonts w:ascii="Times New Roman" w:cs="Times New Roman" w:eastAsia="Times New Roman" w:hAnsi="Times New Roman"/>
          <w:sz w:val="18"/>
          <w:szCs w:val="18"/>
          <w:i w:val="1"/>
          <w:iCs w:val="1"/>
          <w:color w:val="auto"/>
        </w:rPr>
        <w:t>Depositary Shares</w:t>
      </w:r>
      <w:r>
        <w:rPr>
          <w:rFonts w:ascii="Times New Roman" w:cs="Times New Roman" w:eastAsia="Times New Roman" w:hAnsi="Times New Roman"/>
          <w:sz w:val="18"/>
          <w:szCs w:val="18"/>
          <w:color w:val="auto"/>
        </w:rPr>
        <w:t>”), each representing a 1/40th interest in a share of the Issuer’s 9.375% Fixed Rate Reset Non-Cumulative Perpetual Preferred Stock, Series C (the “</w:t>
      </w:r>
      <w:r>
        <w:rPr>
          <w:rFonts w:ascii="Times New Roman" w:cs="Times New Roman" w:eastAsia="Times New Roman" w:hAnsi="Times New Roman"/>
          <w:sz w:val="18"/>
          <w:szCs w:val="18"/>
          <w:i w:val="1"/>
          <w:iCs w:val="1"/>
          <w:color w:val="auto"/>
        </w:rPr>
        <w:t>Preferred Shares</w:t>
      </w:r>
      <w:r>
        <w:rPr>
          <w:rFonts w:ascii="Times New Roman" w:cs="Times New Roman" w:eastAsia="Times New Roman" w:hAnsi="Times New Roman"/>
          <w:sz w:val="18"/>
          <w:szCs w:val="18"/>
          <w:color w:val="auto"/>
        </w:rPr>
        <w:t>”)</w:t>
      </w:r>
    </w:p>
    <w:p>
      <w:pPr>
        <w:spacing w:after="0" w:line="52" w:lineRule="exact"/>
        <w:rPr>
          <w:sz w:val="24"/>
          <w:szCs w:val="24"/>
          <w:color w:val="auto"/>
        </w:rPr>
      </w:pPr>
    </w:p>
    <w:p>
      <w:pPr>
        <w:sectPr>
          <w:pgSz w:w="11900" w:h="16838" w:orient="portrait"/>
          <w:cols w:equalWidth="0" w:num="2">
            <w:col w:w="1500" w:space="72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Liquidation Preference: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$1,000 liquidation preference per Preferred Share (equivalent to $25 per Depositary Share)</w:t>
      </w:r>
    </w:p>
    <w:p>
      <w:pPr>
        <w:spacing w:after="0" w:line="129" w:lineRule="exact"/>
        <w:rPr>
          <w:sz w:val="24"/>
          <w:szCs w:val="24"/>
          <w:color w:val="auto"/>
        </w:rPr>
      </w:pPr>
    </w:p>
    <w:p>
      <w:pPr>
        <w:sectPr>
          <w:pgSz w:w="11900" w:h="16838" w:orient="portrait"/>
          <w:cols w:equalWidth="0" w:num="2">
            <w:col w:w="1700" w:space="520"/>
            <w:col w:w="8800"/>
          </w:cols>
          <w:pgMar w:left="440" w:top="225" w:right="4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Number of Depositary Shares:</w:t>
      </w:r>
    </w:p>
    <w:p>
      <w:pPr>
        <w:spacing w:after="0" w:line="20" w:lineRule="exact"/>
        <w:rPr>
          <w:sz w:val="24"/>
          <w:szCs w:val="24"/>
          <w:color w:val="auto"/>
        </w:rPr>
      </w:pPr>
      <w:r>
        <w:rPr>
          <w:sz w:val="24"/>
          <w:szCs w:val="24"/>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5,000,000 (corresponding to 125,000 Preferred Shares) (5,750,000 (corresponding to 143,750 Preferred Shares) if the underwriters’ option to purchase additional Depositary Shares is exercised in full)</w:t>
      </w:r>
    </w:p>
    <w:p>
      <w:pPr>
        <w:spacing w:after="0" w:line="54" w:lineRule="exact"/>
        <w:rPr>
          <w:sz w:val="24"/>
          <w:szCs w:val="24"/>
          <w:color w:val="auto"/>
        </w:rPr>
      </w:pPr>
    </w:p>
    <w:p>
      <w:pPr>
        <w:sectPr>
          <w:pgSz w:w="11900" w:h="16838" w:orient="portrait"/>
          <w:cols w:equalWidth="0" w:num="2">
            <w:col w:w="1620" w:space="60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Aggregate Offering 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$125,000,000 ($143,750,000 if the underwriters’ option to purchase additional Depositary Shares is exercised in full)</w:t>
      </w:r>
    </w:p>
    <w:p>
      <w:pPr>
        <w:spacing w:after="0" w:line="128" w:lineRule="exact"/>
        <w:rPr>
          <w:sz w:val="24"/>
          <w:szCs w:val="24"/>
          <w:color w:val="auto"/>
        </w:rPr>
      </w:pPr>
    </w:p>
    <w:p>
      <w:pPr>
        <w:sectPr>
          <w:pgSz w:w="11900" w:h="16838" w:orient="portrait"/>
          <w:cols w:equalWidth="0" w:num="2">
            <w:col w:w="1820" w:space="40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Over-allotment Option:</w:t>
      </w:r>
    </w:p>
    <w:p>
      <w:pPr>
        <w:spacing w:after="0" w:line="20" w:lineRule="exact"/>
        <w:rPr>
          <w:sz w:val="24"/>
          <w:szCs w:val="24"/>
          <w:color w:val="auto"/>
        </w:rPr>
      </w:pPr>
      <w:r>
        <w:rPr>
          <w:sz w:val="24"/>
          <w:szCs w:val="24"/>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The Issuer has granted the underwriters an option to purchase up to an additional 750,000 Depositary Shares, at the public offering price less the applicable underwriting discount, for 30 days after the date of the Preliminary Prospectus solely to cover over-allotments, if any.</w:t>
      </w:r>
    </w:p>
    <w:p>
      <w:pPr>
        <w:spacing w:after="0" w:line="68" w:lineRule="exact"/>
        <w:rPr>
          <w:sz w:val="24"/>
          <w:szCs w:val="24"/>
          <w:color w:val="auto"/>
        </w:rPr>
      </w:pPr>
    </w:p>
    <w:p>
      <w:pPr>
        <w:sectPr>
          <w:pgSz w:w="11900" w:h="16838" w:orient="portrait"/>
          <w:cols w:equalWidth="0" w:num="2">
            <w:col w:w="1680" w:space="54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Offering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$25 per Depositary Share</w:t>
      </w:r>
    </w:p>
    <w:p>
      <w:pPr>
        <w:spacing w:after="0" w:line="129" w:lineRule="exact"/>
        <w:rPr>
          <w:sz w:val="24"/>
          <w:szCs w:val="24"/>
          <w:color w:val="auto"/>
        </w:rPr>
      </w:pPr>
    </w:p>
    <w:p>
      <w:pPr>
        <w:sectPr>
          <w:pgSz w:w="11900" w:h="16838" w:orient="portrait"/>
          <w:cols w:equalWidth="0" w:num="2">
            <w:col w:w="1500" w:space="72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3.150% per Depositary Share sold to institutional investors and 3.150% per Depositary Share sold to retail investors</w:t>
      </w:r>
    </w:p>
    <w:p>
      <w:pPr>
        <w:spacing w:after="0" w:line="128" w:lineRule="exact"/>
        <w:rPr>
          <w:sz w:val="24"/>
          <w:szCs w:val="24"/>
          <w:color w:val="auto"/>
        </w:rPr>
      </w:pPr>
    </w:p>
    <w:p>
      <w:pPr>
        <w:sectPr>
          <w:pgSz w:w="11900" w:h="16838" w:orient="portrait"/>
          <w:cols w:equalWidth="0" w:num="2">
            <w:col w:w="1720" w:space="50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Proceeds to Issuer before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$121,062,500 total</w:t>
      </w:r>
    </w:p>
    <w:p>
      <w:pPr>
        <w:spacing w:after="0" w:line="344" w:lineRule="exact"/>
        <w:rPr>
          <w:sz w:val="24"/>
          <w:szCs w:val="24"/>
          <w:color w:val="auto"/>
        </w:rPr>
      </w:pPr>
    </w:p>
    <w:p>
      <w:pPr>
        <w:sectPr>
          <w:pgSz w:w="11900" w:h="16838" w:orient="portrait"/>
          <w:cols w:equalWidth="0" w:num="2">
            <w:col w:w="1800" w:space="42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October 27, 2026</w:t>
      </w:r>
    </w:p>
    <w:p>
      <w:pPr>
        <w:spacing w:after="0" w:line="129" w:lineRule="exact"/>
        <w:rPr>
          <w:sz w:val="24"/>
          <w:szCs w:val="24"/>
          <w:color w:val="auto"/>
        </w:rPr>
      </w:pPr>
    </w:p>
    <w:p>
      <w:pPr>
        <w:sectPr>
          <w:pgSz w:w="11900" w:h="16838" w:orient="portrait"/>
          <w:cols w:equalWidth="0" w:num="2">
            <w:col w:w="1500" w:space="72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November 3, 2026 (T+5)**</w:t>
      </w:r>
    </w:p>
    <w:p>
      <w:pPr>
        <w:spacing w:after="0" w:line="129" w:lineRule="exact"/>
        <w:rPr>
          <w:sz w:val="24"/>
          <w:szCs w:val="24"/>
          <w:color w:val="auto"/>
        </w:rPr>
      </w:pPr>
    </w:p>
    <w:p>
      <w:pPr>
        <w:sectPr>
          <w:pgSz w:w="11900" w:h="16838" w:orient="portrait"/>
          <w:cols w:equalWidth="0" w:num="2">
            <w:col w:w="1500" w:space="720"/>
            <w:col w:w="88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Perpetual</w:t>
      </w:r>
    </w:p>
    <w:p>
      <w:pPr>
        <w:sectPr>
          <w:pgSz w:w="11900" w:h="16838" w:orient="portrait"/>
          <w:cols w:equalWidth="0" w:num="2">
            <w:col w:w="1500" w:space="720"/>
            <w:col w:w="8800"/>
          </w:cols>
          <w:pgMar w:left="44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First Reset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-206375</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1500" w:space="720"/>
            <w:col w:w="8760"/>
          </w:cols>
          <w:pgMar w:left="440" w:top="270"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Reset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First Reset Date and each date falling on the fifth anniversary of the preceding Reset Date.</w:t>
      </w:r>
    </w:p>
    <w:p>
      <w:pPr>
        <w:spacing w:after="0" w:line="128" w:lineRule="exact"/>
        <w:rPr>
          <w:sz w:val="20"/>
          <w:szCs w:val="20"/>
          <w:color w:val="auto"/>
        </w:rPr>
      </w:pPr>
    </w:p>
    <w:p>
      <w:pPr>
        <w:sectPr>
          <w:pgSz w:w="11900" w:h="16838" w:orient="portrait"/>
          <w:cols w:equalWidth="0" w:num="2">
            <w:col w:w="1500" w:space="720"/>
            <w:col w:w="876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Reset Period:</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period from, and including, the First Reset Date to, but excluding, the next following Reset Date and thereafter each period from, and including, each Reset Date to, but excluding, the next following Reset Date.</w:t>
      </w:r>
    </w:p>
    <w:p>
      <w:pPr>
        <w:spacing w:after="0" w:line="54" w:lineRule="exact"/>
        <w:rPr>
          <w:sz w:val="20"/>
          <w:szCs w:val="20"/>
          <w:color w:val="auto"/>
        </w:rPr>
      </w:pPr>
    </w:p>
    <w:p>
      <w:pPr>
        <w:sectPr>
          <w:pgSz w:w="11900" w:h="16838" w:orient="portrait"/>
          <w:cols w:equalWidth="0" w:num="2">
            <w:col w:w="1500" w:space="720"/>
            <w:col w:w="876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Dividend Payment Dates:</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Quarterly in arrears on March 15, June 15, September 15 and December 15 of each year, commencing on March 15, 2027.</w:t>
      </w:r>
    </w:p>
    <w:p>
      <w:pPr>
        <w:spacing w:after="0" w:line="54" w:lineRule="exact"/>
        <w:rPr>
          <w:sz w:val="20"/>
          <w:szCs w:val="20"/>
          <w:color w:val="auto"/>
        </w:rPr>
      </w:pPr>
    </w:p>
    <w:p>
      <w:pPr>
        <w:sectPr>
          <w:pgSz w:w="11900" w:h="16838" w:orient="portrait"/>
          <w:cols w:equalWidth="0" w:num="2">
            <w:col w:w="1840" w:space="380"/>
            <w:col w:w="8760"/>
          </w:cols>
          <w:pgMar w:left="440" w:top="270" w:right="479" w:bottom="1440" w:gutter="0" w:footer="0" w:header="0"/>
          <w:type w:val="continuous"/>
        </w:sect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Dividend Rate (Non-Cumulative):</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From the original issue date, to but excluding, the First Reset Date, a fixed rate of 9.375% per annum, and from, and including, the First Reset Date and each subsequent Reset Date, as applicable, during each Reset Period, a rate per annum equal to the Five-Year U.S. Treasury Rate as of the most recent “reset dividend determination date,” plus 4.535 percentage points, in each case, on the liquidation preference of $1,000 per share.</w:t>
      </w:r>
    </w:p>
    <w:p>
      <w:pPr>
        <w:spacing w:after="0" w:line="72" w:lineRule="exact"/>
        <w:rPr>
          <w:sz w:val="20"/>
          <w:szCs w:val="20"/>
          <w:color w:val="auto"/>
        </w:rPr>
      </w:pPr>
    </w:p>
    <w:p>
      <w:pPr>
        <w:sectPr>
          <w:pgSz w:w="11900" w:h="16838" w:orient="portrait"/>
          <w:cols w:equalWidth="0" w:num="2">
            <w:col w:w="1500" w:space="720"/>
            <w:col w:w="876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30/360</w:t>
      </w:r>
    </w:p>
    <w:p>
      <w:pPr>
        <w:spacing w:after="0" w:line="129" w:lineRule="exact"/>
        <w:rPr>
          <w:sz w:val="20"/>
          <w:szCs w:val="20"/>
          <w:color w:val="auto"/>
        </w:rPr>
      </w:pPr>
    </w:p>
    <w:p>
      <w:pPr>
        <w:sectPr>
          <w:pgSz w:w="11900" w:h="16838" w:orient="portrait"/>
          <w:cols w:equalWidth="0" w:num="2">
            <w:col w:w="1720" w:space="500"/>
            <w:col w:w="876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At the Issuer’s option, (i) in whole or in part, from time to time, on the First Reset Date or any dividend payment date thereafter, at a redemption price equal to $1,000 per Preferred Share (equivalent to $25 per Depositary Share), plus any declared and unpaid dividends, or (ii) in whole but not in part, at any time within 90 days following a “regulatory capital treatment event,” at a redemption price equal to $1,000 per Preferred Share (equivalent to $25 per Depositary Share), plus any declared and unpaid dividends.</w:t>
      </w:r>
    </w:p>
    <w:p>
      <w:pPr>
        <w:spacing w:after="0" w:line="73" w:lineRule="exact"/>
        <w:rPr>
          <w:sz w:val="20"/>
          <w:szCs w:val="20"/>
          <w:color w:val="auto"/>
        </w:rPr>
      </w:pPr>
    </w:p>
    <w:p>
      <w:pPr>
        <w:sectPr>
          <w:pgSz w:w="11900" w:h="16838" w:orient="portrait"/>
          <w:cols w:equalWidth="0" w:num="2">
            <w:col w:w="1600" w:space="620"/>
            <w:col w:w="8760"/>
          </w:cols>
          <w:pgMar w:left="440" w:top="270"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ind w:right="300"/>
        <w:spacing w:after="0" w:line="267" w:lineRule="auto"/>
        <w:rPr>
          <w:sz w:val="20"/>
          <w:szCs w:val="20"/>
          <w:color w:val="auto"/>
        </w:rPr>
      </w:pPr>
      <w:r>
        <w:rPr>
          <w:rFonts w:ascii="Times New Roman" w:cs="Times New Roman" w:eastAsia="Times New Roman" w:hAnsi="Times New Roman"/>
          <w:sz w:val="18"/>
          <w:szCs w:val="18"/>
          <w:color w:val="auto"/>
        </w:rPr>
        <w:t>The Issuer intends to apply for listing of the Depositary Shares on the New York Stock Exchange (“</w:t>
      </w:r>
      <w:r>
        <w:rPr>
          <w:rFonts w:ascii="Times New Roman" w:cs="Times New Roman" w:eastAsia="Times New Roman" w:hAnsi="Times New Roman"/>
          <w:sz w:val="18"/>
          <w:szCs w:val="18"/>
          <w:i w:val="1"/>
          <w:iCs w:val="1"/>
          <w:color w:val="auto"/>
        </w:rPr>
        <w:t>NYSE</w:t>
      </w:r>
      <w:r>
        <w:rPr>
          <w:rFonts w:ascii="Times New Roman" w:cs="Times New Roman" w:eastAsia="Times New Roman" w:hAnsi="Times New Roman"/>
          <w:sz w:val="18"/>
          <w:szCs w:val="18"/>
          <w:color w:val="auto"/>
        </w:rPr>
        <w:t>”) under the symbol “BFH PrC.” If the application is approved, trading of the depositary shares on the NYSE is expected to commence within a 30-day period after the initial delivery of the Depositary Shares.</w:t>
      </w:r>
    </w:p>
    <w:p>
      <w:pPr>
        <w:spacing w:after="0" w:line="67" w:lineRule="exact"/>
        <w:rPr>
          <w:sz w:val="20"/>
          <w:szCs w:val="20"/>
          <w:color w:val="auto"/>
        </w:rPr>
      </w:pPr>
    </w:p>
    <w:p>
      <w:pPr>
        <w:sectPr>
          <w:pgSz w:w="11900" w:h="16838" w:orient="portrait"/>
          <w:cols w:equalWidth="0" w:num="2">
            <w:col w:w="1500" w:space="720"/>
            <w:col w:w="876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018581 801 / US0185818012</w:t>
      </w:r>
    </w:p>
    <w:p>
      <w:pPr>
        <w:spacing w:after="0" w:line="129" w:lineRule="exact"/>
        <w:rPr>
          <w:sz w:val="20"/>
          <w:szCs w:val="20"/>
          <w:color w:val="auto"/>
        </w:rPr>
      </w:pPr>
    </w:p>
    <w:p>
      <w:pPr>
        <w:sectPr>
          <w:pgSz w:w="11900" w:h="16838" w:orient="portrait"/>
          <w:cols w:equalWidth="0" w:num="2">
            <w:col w:w="1500" w:space="720"/>
            <w:col w:w="8760"/>
          </w:cols>
          <w:pgMar w:left="440" w:top="270" w:right="479" w:bottom="1440" w:gutter="0" w:footer="0" w:header="0"/>
          <w:type w:val="continuous"/>
        </w:sectPr>
      </w:pPr>
    </w:p>
    <w:p>
      <w:pPr>
        <w:ind w:right="40"/>
        <w:spacing w:after="0" w:line="282" w:lineRule="auto"/>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Keefe, Bruyette &amp; Woods,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12" w:lineRule="exact"/>
        <w:rPr>
          <w:sz w:val="20"/>
          <w:szCs w:val="20"/>
          <w:color w:val="auto"/>
        </w:rPr>
      </w:pPr>
    </w:p>
    <w:p>
      <w:pPr>
        <w:sectPr>
          <w:pgSz w:w="11900" w:h="16838" w:orient="portrait"/>
          <w:cols w:equalWidth="0" w:num="2">
            <w:col w:w="1500" w:space="720"/>
            <w:col w:w="876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Blaylock Van,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KeyBanc Capital Markets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00" w:lineRule="exact"/>
        <w:rPr>
          <w:sz w:val="20"/>
          <w:szCs w:val="20"/>
          <w:color w:val="auto"/>
        </w:rPr>
      </w:pPr>
    </w:p>
    <w:p>
      <w:pPr>
        <w:sectPr>
          <w:pgSz w:w="11900" w:h="16838" w:orient="portrait"/>
          <w:cols w:equalWidth="0" w:num="2">
            <w:col w:w="1500" w:space="720"/>
            <w:col w:w="8760"/>
          </w:cols>
          <w:pgMar w:left="440" w:top="270" w:right="479" w:bottom="1440" w:gutter="0" w:footer="0" w:header="0"/>
          <w:type w:val="continuous"/>
        </w:sectPr>
      </w:pPr>
    </w:p>
    <w:p>
      <w:pPr>
        <w:spacing w:after="0" w:line="1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Depositary Shares are not deposits or other obligations of a bank and are not insured or guaranteed by the Federal Deposit Insurance Corporation or any other governmental agency.</w:t>
      </w:r>
    </w:p>
    <w:p>
      <w:pPr>
        <w:sectPr>
          <w:pgSz w:w="11900" w:h="16838" w:orient="portrait"/>
          <w:cols w:equalWidth="0" w:num="1">
            <w:col w:w="10980"/>
          </w:cols>
          <w:pgMar w:left="440" w:top="270" w:right="479" w:bottom="1440" w:gutter="0" w:footer="0" w:header="0"/>
          <w:type w:val="continuous"/>
        </w:sectPr>
      </w:pPr>
    </w:p>
    <w:bookmarkStart w:id="2" w:name="page3"/>
    <w:bookmarkEnd w:id="2"/>
    <w:p>
      <w:pPr>
        <w:ind w:left="424" w:right="16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security ratings above are not a recommendation to buy, sell or hold the Securities. The ratings may be subject to revision or withdrawal at any time. Each of the security ratings above should be evaluated independently of any other security rating.</w:t>
      </w:r>
    </w:p>
    <w:p>
      <w:pPr>
        <w:ind w:left="424"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15c6-1 of the Securities Exchange Act of 1934, as amended, trades in the secondary market generally are required to settle in one business day, unless the parties to the trade expressly agree otherwise. Accordingly, purchasers who wish to trade the Depositary Shares prior to the business day before the Settlement Date will be required, by virtue of the fact that the Depositary Shares initially will settle in T+5, to specify an alternate settlement cycle at the time of any such trade to prevent a failed settlement and should consult their own advisors.</w:t>
      </w:r>
    </w:p>
    <w:p>
      <w:pPr>
        <w:spacing w:after="0" w:line="185"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base prospectus), with the SEC for the offering to which this communication relates. Before you invest, you should read the preliminary prospectus supplement and accompanying base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Morgan Stanley &amp; Co. LLC at 1-866-718-1649, RBC Capital Markets, LLC at 1-866-375-6829, UBS Securities LLC at 1-833-481-0269, Wells Fargo Securities, LLC at 1-800-645-3751, or Keefe, Bruyette &amp; Woods, Inc. at 1-800-966-1559.</w:t>
      </w:r>
    </w:p>
    <w:p>
      <w:pPr>
        <w:spacing w:after="0" w:line="183"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884"/>
      </w:cols>
      <w:pgMar w:left="436"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2026-10-27T16:23:38Z</dcterms:created>
  <dcterms:modified xsi:type="dcterms:W3CDTF">2026-10-27T16:23:38Z</dcterms:modified>
</cp:coreProperties>
</file>