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140335</wp:posOffset>
            </wp:positionV>
            <wp:extent cx="257175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BREAD FINANCIAL HOLDINGS,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25" w:lineRule="exact"/>
        <w:rPr>
          <w:sz w:val="24"/>
          <w:szCs w:val="24"/>
          <w:color w:val="auto"/>
        </w:rPr>
      </w:pPr>
    </w:p>
    <w:tbl>
      <w:tblPr>
        <w:tblLayout w:type="fixed"/>
        <w:tblInd w:w="700" w:type="dxa"/>
        <w:tblCellMar>
          <w:top w:w="0" w:type="dxa"/>
          <w:left w:w="0" w:type="dxa"/>
          <w:bottom w:w="0" w:type="dxa"/>
          <w:right w:w="0" w:type="dxa"/>
        </w:tblCellMar>
      </w:tblPr>
      <w:tr>
        <w:trPr>
          <w:trHeight w:val="286"/>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001-15749</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31-1429215</w:t>
            </w:r>
          </w:p>
        </w:tc>
      </w:tr>
      <w:tr>
        <w:trPr>
          <w:trHeight w:val="271"/>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(State or Other Jurisdiction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9"/>
              </w:rPr>
              <w:t>(Commission</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File Number)</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564"/>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6"/>
              </w:rPr>
              <w:t>3095 LOYALTY CIRCLE</w:t>
            </w:r>
          </w:p>
        </w:tc>
        <w:tc>
          <w:tcPr>
            <w:tcW w:w="1880" w:type="dxa"/>
            <w:vAlign w:val="bottom"/>
          </w:tcPr>
          <w:p>
            <w:pPr>
              <w:spacing w:after="0"/>
              <w:rPr>
                <w:sz w:val="24"/>
                <w:szCs w:val="24"/>
                <w:color w:val="auto"/>
              </w:rPr>
            </w:pPr>
          </w:p>
        </w:tc>
      </w:tr>
      <w:tr>
        <w:trPr>
          <w:trHeight w:val="260"/>
        </w:trPr>
        <w:tc>
          <w:tcPr>
            <w:tcW w:w="2440" w:type="dxa"/>
            <w:vAlign w:val="bottom"/>
          </w:tcPr>
          <w:p>
            <w:pPr>
              <w:spacing w:after="0"/>
              <w:rPr>
                <w:sz w:val="22"/>
                <w:szCs w:val="22"/>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COLUMBUS, Ohio 43219</w:t>
            </w:r>
          </w:p>
        </w:tc>
        <w:tc>
          <w:tcPr>
            <w:tcW w:w="1880" w:type="dxa"/>
            <w:vAlign w:val="bottom"/>
          </w:tcPr>
          <w:p>
            <w:pPr>
              <w:spacing w:after="0"/>
              <w:rPr>
                <w:sz w:val="22"/>
                <w:szCs w:val="22"/>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(Address and Zip Code of Principal Executive Offices)</w:t>
            </w:r>
          </w:p>
        </w:tc>
        <w:tc>
          <w:tcPr>
            <w:tcW w:w="1880" w:type="dxa"/>
            <w:vAlign w:val="bottom"/>
          </w:tcPr>
          <w:p>
            <w:pPr>
              <w:spacing w:after="0"/>
              <w:rPr>
                <w:sz w:val="24"/>
                <w:szCs w:val="24"/>
                <w:color w:val="auto"/>
              </w:rPr>
            </w:pPr>
          </w:p>
        </w:tc>
      </w:tr>
      <w:tr>
        <w:trPr>
          <w:trHeight w:val="460"/>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(614) 729-4000</w:t>
            </w:r>
          </w:p>
        </w:tc>
        <w:tc>
          <w:tcPr>
            <w:tcW w:w="1880" w:type="dxa"/>
            <w:vAlign w:val="bottom"/>
          </w:tcPr>
          <w:p>
            <w:pPr>
              <w:spacing w:after="0"/>
              <w:rPr>
                <w:sz w:val="24"/>
                <w:szCs w:val="24"/>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7"/>
              </w:rPr>
              <w:t>(Registrant’s Telephone Number, including Area Code)</w:t>
            </w:r>
          </w:p>
        </w:tc>
        <w:tc>
          <w:tcPr>
            <w:tcW w:w="1880" w:type="dxa"/>
            <w:vAlign w:val="bottom"/>
          </w:tcPr>
          <w:p>
            <w:pPr>
              <w:spacing w:after="0"/>
              <w:rPr>
                <w:sz w:val="24"/>
                <w:szCs w:val="24"/>
                <w:color w:val="auto"/>
              </w:rPr>
            </w:pPr>
          </w:p>
        </w:tc>
      </w:tr>
    </w:tbl>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4" w:lineRule="exact"/>
        <w:rPr>
          <w:sz w:val="24"/>
          <w:szCs w:val="24"/>
          <w:color w:val="auto"/>
        </w:rPr>
      </w:pPr>
    </w:p>
    <w:p>
      <w:pPr>
        <w:jc w:val="center"/>
        <w:ind w:right="-39"/>
        <w:spacing w:after="0" w:line="253" w:lineRule="exact"/>
        <w:rPr>
          <w:sz w:val="20"/>
          <w:szCs w:val="20"/>
          <w:color w:val="auto"/>
        </w:rPr>
      </w:pPr>
      <w:r>
        <w:rPr>
          <w:rFonts w:ascii="Times New Roman" w:cs="Times New Roman" w:eastAsia="Times New Roman" w:hAnsi="Times New Roman"/>
          <w:sz w:val="22"/>
          <w:szCs w:val="22"/>
          <w:color w:val="auto"/>
        </w:rPr>
        <w:t>(Former name or former address, if changed since last report)</w:t>
      </w:r>
      <w:r>
        <w:rPr>
          <w:rFonts w:ascii="MS PGothic" w:cs="MS PGothic" w:eastAsia="MS PGothic" w:hAnsi="MS PGothic"/>
          <w:sz w:val="22"/>
          <w:szCs w:val="22"/>
          <w:color w:val="auto"/>
        </w:rPr>
        <w:t>☐</w:t>
      </w:r>
    </w:p>
    <w:p>
      <w:pPr>
        <w:spacing w:after="0" w:line="204" w:lineRule="exact"/>
        <w:rPr>
          <w:sz w:val="24"/>
          <w:szCs w:val="24"/>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Check the appropriate box below if the Form 8-K is intended to simultaneously satisfy the filing obligation of the Registrant under any of the following provisions:</w:t>
      </w:r>
    </w:p>
    <w:p>
      <w:pPr>
        <w:spacing w:after="0" w:line="212" w:lineRule="exact"/>
        <w:rPr>
          <w:sz w:val="24"/>
          <w:szCs w:val="24"/>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Name of each exchange on which</w:t>
            </w:r>
          </w:p>
        </w:tc>
      </w:tr>
      <w:tr>
        <w:trPr>
          <w:trHeight w:val="291"/>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registered</w:t>
            </w:r>
          </w:p>
        </w:tc>
      </w:tr>
      <w:tr>
        <w:trPr>
          <w:trHeight w:val="27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7"/>
              </w:rPr>
              <w:t>Common Stock, par value $0.01 per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8"/>
              </w:rPr>
              <w:t>BFH</w:t>
            </w:r>
          </w:p>
        </w:tc>
        <w:tc>
          <w:tcPr>
            <w:tcW w:w="37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NYSE</w:t>
            </w:r>
          </w:p>
        </w:tc>
      </w:tr>
      <w:tr>
        <w:trPr>
          <w:trHeight w:val="28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8"/>
              </w:rPr>
              <w:t>share</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Depositary Shares, Each Representing a 1/40th</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BFH PrA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Interest in a Share of 8.625% Non-Cumulative</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Perpetual Preferred Stock, Series A</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25"/>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Depositary Shares, Each Representing a 1/40th</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BFH PrB</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Interest in a Share of 8.875% Fixed Rate Reset</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3"/>
        </w:trPr>
        <w:tc>
          <w:tcPr>
            <w:tcW w:w="37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rPr>
              <w:t>Non-Cumulative Perpetual Preferred Stock,</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B</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ectPr>
          <w:pgSz w:w="11900" w:h="16838" w:orient="portrait"/>
          <w:cols w:equalWidth="0" w:num="1">
            <w:col w:w="11220"/>
          </w:cols>
          <w:pgMar w:left="320" w:top="1440" w:right="359" w:bottom="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81"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33"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22"/>
          <w:szCs w:val="22"/>
          <w:color w:val="auto"/>
        </w:rPr>
        <w:t>On October 27</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2026, Bread Financial Holdings, Inc. (the “Company”) issued a press release announcing the launch of a public offering of depositary shares (the “Depositary Shares”), each representing a 1/40th interest in a share of its Fixed Rate Reset Non-Cumulative Perpetual Preferred Stock, Series C, par value $0.01 per share (the “Series C Preferred Stock”), with a liquidation preference of $25 per Depositary Share (equivalent to $1,000 per share of Series C Preferred Stock). A copy of the press release is attached hereto as Exhibit 99.1, which is incorporated herein by reference. The Company intends to use the net proceeds from the sale of the Depositary Shares for general corporate purposes, which may include contributing or lending all or a portion of the proceeds to its subsidiary bank, Comenity Capital Bank, and share repurchases. The offering of the Depositary Shares is subject to market and other conditions.</w:t>
      </w:r>
    </w:p>
    <w:p>
      <w:pPr>
        <w:spacing w:after="0" w:line="204"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This Current Report on Form 8-K and the press release attached hereto as Exhibit 99.1 do not constitute an offer to sell or the solicitation of an offer to buy these securities, nor shall there be any offer, solicitation or sale of these securities in any jurisdiction in which such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551815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Exhibit No.</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Document Description</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rPr>
              <w:t>99.</w:t>
            </w:r>
            <w:r>
              <w:rPr>
                <w:rFonts w:ascii="Times New Roman" w:cs="Times New Roman" w:eastAsia="Times New Roman" w:hAnsi="Times New Roman"/>
                <w:sz w:val="22"/>
                <w:szCs w:val="22"/>
                <w:u w:val="single" w:color="auto"/>
                <w:color w:val="0000FF"/>
              </w:rPr>
              <w:t>1</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Press release announcing the launch of the offering of Depositary Shares representing interests in Series C</w:t>
            </w:r>
          </w:p>
        </w:tc>
      </w:tr>
      <w:tr>
        <w:trPr>
          <w:trHeight w:val="289"/>
        </w:trPr>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2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Preferred Stock, dated October 27, 2026.</w:t>
            </w:r>
          </w:p>
        </w:tc>
      </w:tr>
      <w:tr>
        <w:trPr>
          <w:trHeight w:val="297"/>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2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035"/>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color w:val="auto"/>
        </w:rPr>
        <w:t>SIGNATURES</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233" w:lineRule="exact"/>
        <w:rPr>
          <w:sz w:val="20"/>
          <w:szCs w:val="20"/>
          <w:color w:val="auto"/>
        </w:rPr>
      </w:pPr>
    </w:p>
    <w:p>
      <w:pPr>
        <w:ind w:left="20"/>
        <w:spacing w:after="0"/>
        <w:tabs>
          <w:tab w:leader="none" w:pos="6180" w:val="left"/>
          <w:tab w:leader="none" w:pos="6740" w:val="left"/>
        </w:tabs>
        <w:rPr>
          <w:sz w:val="20"/>
          <w:szCs w:val="20"/>
          <w:color w:val="auto"/>
        </w:rPr>
      </w:pPr>
      <w:r>
        <w:rPr>
          <w:rFonts w:ascii="Times New Roman" w:cs="Times New Roman" w:eastAsia="Times New Roman" w:hAnsi="Times New Roman"/>
          <w:sz w:val="22"/>
          <w:szCs w:val="22"/>
          <w:color w:val="auto"/>
        </w:rPr>
        <w:t>Date: October 27,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19685</wp:posOffset>
            </wp:positionV>
            <wp:extent cx="285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Joseph L. Motes III</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Executive Vice President, Chief</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Administrative Officer, General</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Counsel and Secretary</w:t>
      </w:r>
    </w:p>
    <w:p>
      <w:pPr>
        <w:sectPr>
          <w:pgSz w:w="11900" w:h="16838" w:orient="portrait"/>
          <w:cols w:equalWidth="0" w:num="1">
            <w:col w:w="11200"/>
          </w:cols>
          <w:pgMar w:left="320" w:top="1152"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71450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color w:val="auto"/>
        </w:rPr>
        <w:t>Bread Financial Announces Launch of an Offering of Depositary Shares Representing Interests in Its Series C Preferred Stock</w:t>
      </w:r>
    </w:p>
    <w:p>
      <w:pPr>
        <w:spacing w:after="0" w:line="159"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COLUMBUS, Ohio, October 27, 2026 (GLOBE NEWSWIRE) -- Bread Financial Holdings, Inc. (NYSE: BFH) (“Bread Financial” or the “Company”) announced today the launch of an underwritten public offering of depositary shares (the “Depositary Shares”), each representing a 1/40th interest in a share of its Fixed Rate Reset Non-Cumulative Perpetual Preferred Stock, Series C, par value $0.01 per share (the “Series C Preferred Stock”), with a liquidation preference of $25 per Depositary Share (equivalent to $1,000 per share of Series C Preferred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to apply to list the Depositary Shares on The New York Stock Exchange.</w:t>
      </w:r>
    </w:p>
    <w:p>
      <w:pPr>
        <w:spacing w:after="0" w:line="243" w:lineRule="exact"/>
        <w:rPr>
          <w:sz w:val="20"/>
          <w:szCs w:val="20"/>
          <w:color w:val="auto"/>
        </w:rPr>
      </w:pPr>
    </w:p>
    <w:p>
      <w:pPr>
        <w:jc w:val="both"/>
        <w:ind w:right="360"/>
        <w:spacing w:after="0" w:line="248" w:lineRule="auto"/>
        <w:rPr>
          <w:sz w:val="20"/>
          <w:szCs w:val="20"/>
          <w:color w:val="auto"/>
        </w:rPr>
      </w:pPr>
      <w:r>
        <w:rPr>
          <w:rFonts w:ascii="Arial" w:cs="Arial" w:eastAsia="Arial" w:hAnsi="Arial"/>
          <w:sz w:val="20"/>
          <w:szCs w:val="20"/>
          <w:color w:val="auto"/>
        </w:rPr>
        <w:t>The Company intends to use the net proceeds from the sale of the Depositary Shares for general corporate purposes, which may include contributing or lending all or a portion of the proceeds to its subsidiary bank, Comenity Capital Bank, and share repurchases.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 xml:space="preserve">Morgan Stanley &amp; Co. LLC, Keefe, Bruyette &amp; Woods, </w:t>
      </w:r>
      <w:r>
        <w:rPr>
          <w:rFonts w:ascii="Arial" w:cs="Arial" w:eastAsia="Arial" w:hAnsi="Arial"/>
          <w:sz w:val="20"/>
          <w:szCs w:val="20"/>
          <w:i w:val="1"/>
          <w:iCs w:val="1"/>
          <w:color w:val="auto"/>
        </w:rPr>
        <w:t>A Stifel Company</w:t>
      </w:r>
      <w:r>
        <w:rPr>
          <w:rFonts w:ascii="Arial" w:cs="Arial" w:eastAsia="Arial" w:hAnsi="Arial"/>
          <w:sz w:val="20"/>
          <w:szCs w:val="20"/>
          <w:color w:val="auto"/>
        </w:rPr>
        <w:t>, RBC Capital Markets, LLC, UBS Investment Bank and Wells Fargo Securities, LLC are acting as joint bookrunners for the offering.</w:t>
      </w:r>
    </w:p>
    <w:p>
      <w:pPr>
        <w:spacing w:after="0" w:line="196" w:lineRule="exact"/>
        <w:rPr>
          <w:sz w:val="20"/>
          <w:szCs w:val="20"/>
          <w:color w:val="auto"/>
        </w:rPr>
      </w:pPr>
    </w:p>
    <w:p>
      <w:pPr>
        <w:ind w:right="600"/>
        <w:spacing w:after="0" w:line="284" w:lineRule="auto"/>
        <w:rPr>
          <w:sz w:val="20"/>
          <w:szCs w:val="20"/>
          <w:color w:val="auto"/>
        </w:rPr>
      </w:pPr>
      <w:r>
        <w:rPr>
          <w:rFonts w:ascii="Arial" w:cs="Arial" w:eastAsia="Arial" w:hAnsi="Arial"/>
          <w:sz w:val="19"/>
          <w:szCs w:val="19"/>
          <w:color w:val="auto"/>
        </w:rPr>
        <w:t>Consummation of the offering of the Depositary Shares is subject to market and other conditions, and there can be no assurance that the Company will be able to successfully complete this transaction on the terms described above, or at all.</w:t>
      </w:r>
    </w:p>
    <w:p>
      <w:pPr>
        <w:spacing w:after="0" w:line="171" w:lineRule="exact"/>
        <w:rPr>
          <w:sz w:val="20"/>
          <w:szCs w:val="20"/>
          <w:color w:val="auto"/>
        </w:rPr>
      </w:pPr>
    </w:p>
    <w:p>
      <w:pPr>
        <w:spacing w:after="0" w:line="228" w:lineRule="exact"/>
        <w:rPr>
          <w:sz w:val="20"/>
          <w:szCs w:val="20"/>
          <w:color w:val="auto"/>
        </w:rPr>
      </w:pPr>
      <w:r>
        <w:rPr>
          <w:rFonts w:ascii="Arial" w:cs="Arial" w:eastAsia="Arial" w:hAnsi="Arial"/>
          <w:sz w:val="20"/>
          <w:szCs w:val="20"/>
          <w:color w:val="auto"/>
        </w:rPr>
        <w:t xml:space="preserve">The offering is being made pursuant to an effective registration statement (including a prospectus) on Form S-3 previously filed with the Securities and Exchange Commission (“SEC”) and a prospectus supplement. The offering is being made only by means of a prospectus supplement and accompanying prospectus. Copies of the prospectus supplement and accompanying prospectus relating to the offering, when available, may be obtained from Morgan Stanley &amp; Co. LLC at 1-866-718-1649; Keefe, Bruyette &amp; Woods, </w:t>
      </w:r>
      <w:r>
        <w:rPr>
          <w:rFonts w:ascii="Arial" w:cs="Arial" w:eastAsia="Arial" w:hAnsi="Arial"/>
          <w:sz w:val="20"/>
          <w:szCs w:val="20"/>
          <w:i w:val="1"/>
          <w:iCs w:val="1"/>
          <w:color w:val="auto"/>
        </w:rPr>
        <w:t>A Stifel Company</w:t>
      </w:r>
      <w:r>
        <w:rPr>
          <w:rFonts w:ascii="Arial" w:cs="Arial" w:eastAsia="Arial" w:hAnsi="Arial"/>
          <w:sz w:val="20"/>
          <w:szCs w:val="20"/>
          <w:color w:val="auto"/>
        </w:rPr>
        <w:t>, at 1</w:t>
      </w:r>
      <w:r>
        <w:rPr>
          <w:rFonts w:ascii="MS PGothic" w:cs="MS PGothic" w:eastAsia="MS PGothic" w:hAnsi="MS PGothic"/>
          <w:sz w:val="20"/>
          <w:szCs w:val="20"/>
          <w:color w:val="auto"/>
        </w:rPr>
        <w:t>‐</w:t>
      </w:r>
      <w:r>
        <w:rPr>
          <w:rFonts w:ascii="Arial" w:cs="Arial" w:eastAsia="Arial" w:hAnsi="Arial"/>
          <w:sz w:val="20"/>
          <w:szCs w:val="20"/>
          <w:color w:val="auto"/>
        </w:rPr>
        <w:t>800</w:t>
      </w:r>
      <w:r>
        <w:rPr>
          <w:rFonts w:ascii="MS PGothic" w:cs="MS PGothic" w:eastAsia="MS PGothic" w:hAnsi="MS PGothic"/>
          <w:sz w:val="20"/>
          <w:szCs w:val="20"/>
          <w:color w:val="auto"/>
        </w:rPr>
        <w:t>‐</w:t>
      </w:r>
      <w:r>
        <w:rPr>
          <w:rFonts w:ascii="Arial" w:cs="Arial" w:eastAsia="Arial" w:hAnsi="Arial"/>
          <w:sz w:val="20"/>
          <w:szCs w:val="20"/>
          <w:color w:val="auto"/>
        </w:rPr>
        <w:t>966</w:t>
      </w:r>
      <w:r>
        <w:rPr>
          <w:rFonts w:ascii="MS PGothic" w:cs="MS PGothic" w:eastAsia="MS PGothic" w:hAnsi="MS PGothic"/>
          <w:sz w:val="20"/>
          <w:szCs w:val="20"/>
          <w:color w:val="auto"/>
        </w:rPr>
        <w:t>‐</w:t>
      </w:r>
      <w:r>
        <w:rPr>
          <w:rFonts w:ascii="Arial" w:cs="Arial" w:eastAsia="Arial" w:hAnsi="Arial"/>
          <w:sz w:val="20"/>
          <w:szCs w:val="20"/>
          <w:color w:val="auto"/>
        </w:rPr>
        <w:t>1559; RBC Capital Markets, LLC at 1-866-375-6829; UBS Investment Bank at 1-833-481-0269; and Wells Fargo Securities, LLC at 1-800-645-3751.</w:t>
      </w:r>
    </w:p>
    <w:p>
      <w:pPr>
        <w:spacing w:after="0" w:line="203"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This news release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The offering of these securities may be made only by means of a prospectus supplement and accompanying base prospectus relating to this offering.</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Bread Financial</w:t>
      </w:r>
      <w:r>
        <w:rPr>
          <w:rFonts w:ascii="Arial" w:cs="Arial" w:eastAsia="Arial" w:hAnsi="Arial"/>
          <w:sz w:val="25"/>
          <w:szCs w:val="25"/>
          <w:b w:val="1"/>
          <w:bCs w:val="1"/>
          <w:color w:val="auto"/>
          <w:vertAlign w:val="superscript"/>
        </w:rPr>
        <w:t>®</w:t>
      </w:r>
    </w:p>
    <w:p>
      <w:pPr>
        <w:spacing w:after="0" w:line="174" w:lineRule="exact"/>
        <w:rPr>
          <w:sz w:val="20"/>
          <w:szCs w:val="20"/>
          <w:color w:val="auto"/>
        </w:rPr>
      </w:pPr>
    </w:p>
    <w:p>
      <w:pPr>
        <w:ind w:right="280"/>
        <w:spacing w:after="0" w:line="237" w:lineRule="auto"/>
        <w:rPr>
          <w:sz w:val="20"/>
          <w:szCs w:val="20"/>
          <w:color w:val="auto"/>
        </w:rPr>
      </w:pPr>
      <w:r>
        <w:rPr>
          <w:rFonts w:ascii="Arial" w:cs="Arial" w:eastAsia="Arial" w:hAnsi="Arial"/>
          <w:sz w:val="19"/>
          <w:szCs w:val="19"/>
          <w:color w:val="auto"/>
        </w:rPr>
        <w:t>Bread Financial</w:t>
      </w:r>
      <w:r>
        <w:rPr>
          <w:rFonts w:ascii="Arial" w:cs="Arial" w:eastAsia="Arial" w:hAnsi="Arial"/>
          <w:sz w:val="24"/>
          <w:szCs w:val="24"/>
          <w:color w:val="auto"/>
          <w:vertAlign w:val="superscript"/>
        </w:rPr>
        <w:t>®</w:t>
      </w:r>
      <w:r>
        <w:rPr>
          <w:rFonts w:ascii="Arial" w:cs="Arial" w:eastAsia="Arial" w:hAnsi="Arial"/>
          <w:sz w:val="19"/>
          <w:szCs w:val="19"/>
          <w:color w:val="auto"/>
        </w:rPr>
        <w:t xml:space="preserve"> (NYSE: BFH) is a tech-forward financial services company that provides simple, personalized payment, lending and saving solutions to millions of U.S. consumers. The Company’s payment solutions deliver growth for some of the most recognized brands in travel and entertainment, specialty apparel, health and beauty, jewelry, sporting goods, technology</w:t>
      </w:r>
    </w:p>
    <w:p>
      <w:pPr>
        <w:sectPr>
          <w:pgSz w:w="11900" w:h="16838" w:orient="portrait"/>
          <w:cols w:equalWidth="0" w:num="1">
            <w:col w:w="11240"/>
          </w:cols>
          <w:pgMar w:left="320" w:top="1421" w:right="339" w:bottom="1440" w:gutter="0" w:footer="0" w:header="0"/>
        </w:sectPr>
      </w:pPr>
    </w:p>
    <w:bookmarkStart w:id="5" w:name="page6"/>
    <w:bookmarkEnd w:id="5"/>
    <w:p>
      <w:pPr>
        <w:ind w:right="160"/>
        <w:spacing w:after="0" w:line="24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0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t>and electronics, as well as home and furniture through their co-brand and private label credit cards and pay-over-time products providing choice and value to their shared customers. Additionally, we offer Bread Financial general purpose credit cards and saving products that empower our customers and their passions for a better life.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This news release contains forward-looking statements, including, but not limited to, statements related to the Depositary Shares offering described above. Forward-looking statements give the Company’s expectations or forecasts of future events and can generally be identified by the use of words such as “believe,” “expect,” “anticipate,” “estimate,” “intend,” “project,” “plan,” “likely,” “may,” “should” or other words or phrases of similar import. Similarly, statements that describe the Company’s business strategy, outlook, objectives, plans, intentions or goals also are forward-looking statements. Examples of forward-looking statements include, but are not limited to, statements the Company made regarding, and the guidance the Company gives with respect to, the Company’s anticipated operating or financial results, future financial performance and outlook, future dividend declarations or stock repurchases and future economic conditions.</w:t>
      </w:r>
    </w:p>
    <w:p>
      <w:pPr>
        <w:spacing w:after="0" w:line="20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Company believes that its expectations are based on reasonable assumptions. Forward-looking statements, however, are subject to a number of risks and uncertainties that are difficult to predict and, in many cases, beyond its control. Accordingly, the Company’s actual results could differ materially from the projections, anticipated results or other expectations expressed in this release, and no assurances can be given that the Company’s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domestic and international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 local or global public health issues, climate-related events, impacts to the power grid, and natural disasters; future credit performance of the Company’s customers, including the level of future delinquency and charge-off rates; loss of, or reduction in demand for services and/or products from, significant brand partners or customers in the highly competitive markets in which the Company operates,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the Company’s business in U.S. consumer credit; increases or volatility in the allowance for credit losses that may result from the application of the current expected credit loss model; inaccuracies in the models and estimates on which the Company rely, including the Company’s credit risk management models and the amount of its allowance for credit losses;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the Company’s results are dependent upon its brand partners, including its brand partners’ financial performance and reputation, as well as the effective promotion and support of the Company’s products by brand partners; increases in the cost of doing business, including market interest rates; the Company’s level of indebtedness and inability to access financial or capital markets, including asset-backed securitization funding or deposits markets; restrictions that limit the Company’s ability to pay dividends and</w:t>
      </w:r>
    </w:p>
    <w:p>
      <w:pPr>
        <w:sectPr>
          <w:pgSz w:w="11900" w:h="16838" w:orient="portrait"/>
          <w:cols w:equalWidth="0" w:num="1">
            <w:col w:w="11240"/>
          </w:cols>
          <w:pgMar w:left="320" w:top="1414" w:right="339" w:bottom="1440" w:gutter="0" w:footer="0" w:header="0"/>
        </w:sectPr>
      </w:pPr>
    </w:p>
    <w:bookmarkStart w:id="6" w:name="page7"/>
    <w:bookmarkEnd w:id="6"/>
    <w:p>
      <w:pPr>
        <w:spacing w:after="0" w:line="23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0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t>repurchase its stock, and restrictions that limit the ability of the Company’s subsidiary bank, Comenity Capital Bank (the “Bank”), to pay dividends to the Company; pending and future litigation; pending and future federal, state, local and foreign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increases in regulatory capital requirements or other support for the Bank; failures or breaches in its operational or security systems, including as a result of cyberattacks, unanticipated impacts from technology modernization projects, failure of its information security controls or otherwise; loss of consumer information or other data due to compromised physical or cyber security, including disruptive attacks from financially motivated bad actors and third party supply chain issues; and any liability or other adverse impacts arising out of or related to the spinoff of the Company’s former LoyaltyOne segment or the bankruptcy filings of Loyalty Ventures Inc. and certain of its subsidiaries, including the pending litigation against the Company in connection with the spinoff.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the Company’s Annual Report on Form 10-K for the most recently ended fiscal year, which may be updated in Item 1A of, or elsewhere in, the Company’s Quarterly Reports on Form 10-Q filed for periods subsequent to such Form 10-K. The Company’s forward-looking statements contained in this news release speak only as of the date made, and it undertakes no obligation, other than as required by applicable law, to update or revise any forward-looking statements, whether as a result of new information, subsequent events, anticipated or unanticipated circumstances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Brian Vereb — Investor Relations</w:t>
      </w:r>
    </w:p>
    <w:p>
      <w:pPr>
        <w:spacing w:after="0"/>
        <w:rPr>
          <w:sz w:val="20"/>
          <w:szCs w:val="20"/>
          <w:color w:val="auto"/>
        </w:rPr>
      </w:pPr>
      <w:r>
        <w:rPr>
          <w:rFonts w:ascii="Arial" w:cs="Arial" w:eastAsia="Arial" w:hAnsi="Arial"/>
          <w:sz w:val="20"/>
          <w:szCs w:val="20"/>
          <w:b w:val="1"/>
          <w:bCs w:val="1"/>
          <w:u w:val="single" w:color="auto"/>
          <w:color w:val="auto"/>
        </w:rPr>
        <w:t>Brian.Vereb@breadfinancial.com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Susan Haugen —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Susan.Haugen@breadfinancial.com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Rachel Stultz — Media</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Rachel.Stultz@breadfinancial.com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2026-10-27T07:21:06Z</dcterms:created>
  <dcterms:modified xsi:type="dcterms:W3CDTF">2026-10-27T07:21:06Z</dcterms:modified>
</cp:coreProperties>
</file>