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Fawcett John J.</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BREAD FINANCIAL HOLDINGS, INC.</w:t>
              </w:r>
            </w:hyperlink>
          </w:p>
        </w:tc>
        <w:tc>
          <w:tcPr>
            <w:tcW w:w="1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BFH</w:t>
            </w:r>
            <w:r>
              <w:rPr>
                <w:rFonts w:ascii="Times New Roman" w:cs="Times New Roman" w:eastAsia="Times New Roman" w:hAnsi="Times New Roman"/>
                <w:sz w:val="21"/>
                <w:szCs w:val="21"/>
                <w:color w:val="auto"/>
              </w:rPr>
              <w:t xml:space="preserve"> ]</w:t>
            </w: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3"/>
          </w:tcPr>
          <w:p>
            <w:pPr>
              <w:spacing w:after="0" w:line="107" w:lineRule="exact"/>
              <w:rPr>
                <w:sz w:val="20"/>
                <w:szCs w:val="20"/>
                <w:color w:val="auto"/>
              </w:rPr>
            </w:pPr>
            <w:r>
              <w:rPr>
                <w:rFonts w:ascii="Arial" w:cs="Arial" w:eastAsia="Arial" w:hAnsi="Arial"/>
                <w:sz w:val="12"/>
                <w:szCs w:val="12"/>
                <w:color w:val="auto"/>
              </w:rPr>
              <w:t>Foreign Trading Symbol</w:t>
            </w: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0"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2"/>
                <w:szCs w:val="12"/>
                <w:color w:val="auto"/>
              </w:rPr>
            </w:pPr>
          </w:p>
        </w:tc>
        <w:tc>
          <w:tcPr>
            <w:tcW w:w="1120" w:type="dxa"/>
            <w:vAlign w:val="bottom"/>
            <w:gridSpan w:val="3"/>
          </w:tcPr>
          <w:p>
            <w:pPr>
              <w:ind w:left="40"/>
              <w:spacing w:after="0" w:line="140"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0"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line="13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3095 LOYALTY CIRCLE</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1340" w:type="dxa"/>
            <w:vAlign w:val="bottom"/>
          </w:tcPr>
          <w:p>
            <w:pPr>
              <w:spacing w:after="0"/>
              <w:rPr>
                <w:sz w:val="11"/>
                <w:szCs w:val="11"/>
                <w:color w:val="auto"/>
              </w:rPr>
            </w:pP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10/28/2026</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20" w:type="dxa"/>
            <w:vAlign w:val="bottom"/>
            <w:gridSpan w:val="6"/>
            <w:vMerge w:val="continue"/>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0" w:type="dxa"/>
            <w:vAlign w:val="bottom"/>
            <w:tcBorders>
              <w:bottom w:val="single" w:sz="8" w:color="2C2C2C"/>
            </w:tcBorders>
            <w:gridSpan w:val="6"/>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gridSpan w:val="2"/>
          </w:tcPr>
          <w:p>
            <w:pPr>
              <w:spacing w:after="0"/>
              <w:rPr>
                <w:sz w:val="9"/>
                <w:szCs w:val="9"/>
                <w:color w:val="auto"/>
              </w:rPr>
            </w:pPr>
          </w:p>
        </w:tc>
        <w:tc>
          <w:tcPr>
            <w:tcW w:w="2820" w:type="dxa"/>
            <w:vAlign w:val="bottom"/>
            <w:tcBorders>
              <w:bottom w:val="single" w:sz="8" w:color="2C2C2C"/>
            </w:tcBorders>
            <w:gridSpan w:val="4"/>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COLUMBUS</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820" w:type="dxa"/>
            <w:vAlign w:val="bottom"/>
          </w:tcPr>
          <w:p>
            <w:pPr>
              <w:spacing w:after="0"/>
              <w:rPr>
                <w:sz w:val="5"/>
                <w:szCs w:val="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43219</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Preferred Stock</w:t>
            </w:r>
            <w:r>
              <w:rPr>
                <w:rFonts w:ascii="Times New Roman" w:cs="Times New Roman" w:eastAsia="Times New Roman" w:hAnsi="Times New Roman"/>
                <w:sz w:val="22"/>
                <w:szCs w:val="22"/>
                <w:color w:val="008000"/>
                <w:vertAlign w:val="superscript"/>
              </w:rPr>
              <w:t>(1)(2)</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10/28/2026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24.69</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3,000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Preferred Stock</w:t>
            </w:r>
            <w:r>
              <w:rPr>
                <w:rFonts w:ascii="Times New Roman" w:cs="Times New Roman" w:eastAsia="Times New Roman" w:hAnsi="Times New Roman"/>
                <w:sz w:val="22"/>
                <w:szCs w:val="22"/>
                <w:color w:val="008000"/>
                <w:vertAlign w:val="superscript"/>
              </w:rPr>
              <w:t>(1)(2)</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10/28/2026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24.71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6"/>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depositary share ("Depositary Share") represents a 1/40th interest in a share of BFH's 9.375% Fixed Rate Reset Non-Cumulative Perpetual Preferred Stock, Series C, par value $0.01 per share ("Series C Preferred Stock"), with a liquidation preference of $25 per Depositary Share (equivalent to $1,000 per share of Series C Preferred Stock). The Series C Preferred Stock is a non-convertible perpetual preferred equity security of BFH.</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terms of the Series C Preferred Stock are set forth in the Certificate of Designations for the Series C Preferred Stock. The holders of the Series C Preferred Stock generally will have no voting rights, except for the right to elect two additional directors if BFH fails to pay dividends for six quarterly dividend periods (whether or not consecutive), and in certain other events.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Benjamin L. Morgan,</w:t>
            </w:r>
          </w:p>
        </w:tc>
        <w:tc>
          <w:tcPr>
            <w:tcW w:w="3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10/30/2026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4143" TargetMode="External"/><Relationship Id="rId14" Type="http://schemas.openxmlformats.org/officeDocument/2006/relationships/hyperlink" Target="http://www.sec.gov/cgi-bin/browse-edgar?action=getcompany&amp;CIK=0001101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2026-10-30T13:53:39Z</dcterms:created>
  <dcterms:modified xsi:type="dcterms:W3CDTF">2026-10-30T13:53:39Z</dcterms:modified>
</cp:coreProperties>
</file>