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4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September 15, 2026</w:t>
      </w:r>
    </w:p>
    <w:p>
      <w:pPr>
        <w:pStyle w:val="TextBody"/>
        <w:bidi w:val="0"/>
        <w:spacing w:before="240" w:after="283"/>
        <w:jc w:val="center"/>
        <w:rPr/>
      </w:pPr>
      <w:r>
        <w:rPr/>
        <w:drawing>
          <wp:inline distT="0" distB="0" distL="0" distR="0">
            <wp:extent cx="28575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390525"/>
                    </a:xfrm>
                    <a:prstGeom prst="rect">
                      <a:avLst/>
                    </a:prstGeom>
                  </pic:spPr>
                </pic:pic>
              </a:graphicData>
            </a:graphic>
          </wp:inline>
        </w:drawing>
      </w:r>
      <w:bookmarkStart w:id="0" w:name="i-1"/>
      <w:bookmarkEnd w:id="0"/>
    </w:p>
    <w:p>
      <w:pPr>
        <w:pStyle w:val="TextBody"/>
        <w:bidi w:val="0"/>
        <w:spacing w:lineRule="auto" w:line="288" w:before="400" w:after="283"/>
        <w:jc w:val="center"/>
        <w:rPr>
          <w:rFonts w:ascii="Times New Roman;serif" w:hAnsi="Times New Roman;serif"/>
          <w:b/>
          <w:color w:val="000000"/>
          <w:sz w:val="36"/>
        </w:rPr>
      </w:pPr>
      <w:r>
        <w:rPr>
          <w:rFonts w:ascii="Times New Roman;serif" w:hAnsi="Times New Roman;serif"/>
          <w:b/>
          <w:color w:val="000000"/>
          <w:sz w:val="36"/>
        </w:rPr>
        <w:t>BREAD FINANCIAL HOLDINGS,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Charter)</w:t>
      </w:r>
    </w:p>
    <w:tbl>
      <w:tblPr>
        <w:tblW w:w="5922" w:type="dxa"/>
        <w:jc w:val="left"/>
        <w:tblInd w:w="0" w:type="dxa"/>
        <w:tblLayout w:type="fixed"/>
        <w:tblCellMar>
          <w:top w:w="28" w:type="dxa"/>
          <w:left w:w="28" w:type="dxa"/>
          <w:bottom w:w="28" w:type="dxa"/>
          <w:right w:w="28" w:type="dxa"/>
        </w:tblCellMar>
      </w:tblPr>
      <w:tblGrid>
        <w:gridCol w:w="960"/>
        <w:gridCol w:w="844"/>
        <w:gridCol w:w="850"/>
        <w:gridCol w:w="458"/>
        <w:gridCol w:w="458"/>
        <w:gridCol w:w="463"/>
        <w:gridCol w:w="552"/>
        <w:gridCol w:w="552"/>
        <w:gridCol w:w="785"/>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Delaware</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001-15749</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31-1429215</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w:t>
              <w:br/>
              <w:t>of Incorporation)</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(Commission</w:t>
              <w:br/>
              <w:t>File Number)</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(IRS Employer</w:t>
              <w:br/>
              <w:t>Identification No.)</w:t>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3095 LOYALTY CIRCLE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COLUMBUS, Ohio 43219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(Address and Zip Code of Principal Executive Offices)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(614) 729-4000</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(Registrant’s Telephone Number, including Area Code)</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Check the appropriate box below if the Form 8-K is intended to simultaneously satisfy the filing obligation of the Registrant under any of the following provisions:</w:t>
      </w:r>
    </w:p>
    <w:tbl>
      <w:tblPr>
        <w:tblW w:w="8832" w:type="dxa"/>
        <w:jc w:val="left"/>
        <w:tblInd w:w="0" w:type="dxa"/>
        <w:tblLayout w:type="fixed"/>
        <w:tblCellMar>
          <w:top w:w="28" w:type="dxa"/>
          <w:left w:w="28" w:type="dxa"/>
          <w:bottom w:w="28" w:type="dxa"/>
          <w:right w:w="28" w:type="dxa"/>
        </w:tblCellMar>
      </w:tblPr>
      <w:tblGrid>
        <w:gridCol w:w="124"/>
        <w:gridCol w:w="109"/>
        <w:gridCol w:w="109"/>
        <w:gridCol w:w="2483"/>
        <w:gridCol w:w="2483"/>
        <w:gridCol w:w="35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Soliciting material pursuant to Rule 14a-12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14d-2(b)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13e-4(c) under the Exchange Act</w:t>
            </w:r>
          </w:p>
        </w:tc>
      </w:tr>
    </w:tbl>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82"/>
        <w:gridCol w:w="1708"/>
        <w:gridCol w:w="1729"/>
        <w:gridCol w:w="109"/>
        <w:gridCol w:w="109"/>
        <w:gridCol w:w="109"/>
        <w:gridCol w:w="390"/>
        <w:gridCol w:w="390"/>
        <w:gridCol w:w="391"/>
        <w:gridCol w:w="109"/>
        <w:gridCol w:w="109"/>
        <w:gridCol w:w="109"/>
        <w:gridCol w:w="719"/>
        <w:gridCol w:w="719"/>
        <w:gridCol w:w="1023"/>
      </w:tblGrid>
      <w:tr>
        <w:trPr/>
        <w:tc>
          <w:tcPr>
            <w:tcW w:w="248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Trading 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Name of each exchange on which registered</w:t>
            </w:r>
          </w:p>
        </w:tc>
      </w:tr>
      <w:tr>
        <w:trPr/>
        <w:tc>
          <w:tcPr>
            <w:tcW w:w="5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BFH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8.625% Non-Cumulative Perpetual Preferred Stock,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BFH 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8.875% Fixed 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BFH 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Emerging growth company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On September 15, 2026, Bread Financial Holdings, Inc. issued a press release providing a performance update as of and for the period ended August 31, 2026. A copy of this press release is attached hereto as Exhibit 99.1.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(d)Exhibits</w:t>
      </w:r>
    </w:p>
    <w:tbl>
      <w:tblPr>
        <w:tblW w:w="10205" w:type="dxa"/>
        <w:jc w:val="left"/>
        <w:tblInd w:w="0" w:type="dxa"/>
        <w:tblLayout w:type="fixed"/>
        <w:tblCellMar>
          <w:top w:w="28" w:type="dxa"/>
          <w:left w:w="28" w:type="dxa"/>
          <w:bottom w:w="28" w:type="dxa"/>
          <w:right w:w="28" w:type="dxa"/>
        </w:tblCellMar>
      </w:tblPr>
      <w:tblGrid>
        <w:gridCol w:w="423"/>
        <w:gridCol w:w="372"/>
        <w:gridCol w:w="375"/>
        <w:gridCol w:w="109"/>
        <w:gridCol w:w="109"/>
        <w:gridCol w:w="109"/>
        <w:gridCol w:w="2590"/>
        <w:gridCol w:w="2534"/>
        <w:gridCol w:w="3584"/>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358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Document Description</w:t>
            </w:r>
          </w:p>
        </w:tc>
      </w:tr>
      <w:tr>
        <w:trPr/>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ugust2026creditstatsex991.htm">
              <w:r>
                <w:rPr>
                  <w:rStyle w:val="InternetLink"/>
                  <w:rFonts w:ascii="Times New Roman;serif" w:hAnsi="Times New Roman;serif"/>
                  <w:b w:val="false"/>
                  <w:color w:val="0000FF"/>
                  <w:sz w:val="24"/>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Press release dated September 15, 2026 providing a performance update as of and for the period ended August 31, 2026.</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The information contained in this report (including Exhibit 99.1)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813"/>
        <w:gridCol w:w="716"/>
        <w:gridCol w:w="720"/>
        <w:gridCol w:w="421"/>
        <w:gridCol w:w="421"/>
        <w:gridCol w:w="421"/>
        <w:gridCol w:w="1984"/>
        <w:gridCol w:w="1981"/>
        <w:gridCol w:w="2728"/>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September 15, 2026</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Joseph L. Motes III</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Joseph L. Motes III</w:t>
              <w:br/>
              <w:t>Executive Vice President, Chief Legal and Administrative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3095625" cy="4381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095625" cy="438150"/>
                    </a:xfrm>
                    <a:prstGeom prst="rect">
                      <a:avLst/>
                    </a:prstGeom>
                  </pic:spPr>
                </pic:pic>
              </a:graphicData>
            </a:graphic>
          </wp:inline>
        </w:drawing>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BREAD FINANCIAL PROVIDES</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PERFORMANCE UPDATE FOR AUGUST 2026</w:t>
      </w:r>
    </w:p>
    <w:p>
      <w:pPr>
        <w:pStyle w:val="TextBody"/>
        <w:bidi w:val="0"/>
        <w:spacing w:before="0" w:after="0"/>
        <w:jc w:val="center"/>
        <w:rPr/>
      </w:pPr>
      <w:r>
        <w:rPr/>
      </w:r>
    </w:p>
    <w:p>
      <w:pPr>
        <w:pStyle w:val="TextBody"/>
        <w:bidi w:val="0"/>
        <w:spacing w:lineRule="atLeast" w:line="288" w:before="0" w:after="0"/>
        <w:jc w:val="left"/>
        <w:rPr/>
      </w:pPr>
      <w:r>
        <w:rPr>
          <w:rFonts w:ascii="Times New Roman;serif" w:hAnsi="Times New Roman;serif"/>
          <w:b/>
          <w:color w:val="000000"/>
          <w:sz w:val="24"/>
        </w:rPr>
        <w:t>COLUMBUS, Ohio, September 15, 2026 – </w:t>
      </w:r>
      <w:r>
        <w:rPr>
          <w:rFonts w:ascii="Times New Roman;serif" w:hAnsi="Times New Roman;serif"/>
          <w:b w:val="false"/>
          <w:color w:val="000000"/>
          <w:sz w:val="24"/>
        </w:rPr>
        <w:t>Bread Financial Holdings, Inc. (NYSE: BFH), a tech-forward financial services company that provides simple, personalized payment, lending, and saving solutions to millions of U.S. consumers, provided a performance update. The following tables present the Company’s Net principal loss rate and Delinquency rate for the periods indicated:</w:t>
      </w:r>
    </w:p>
    <w:p>
      <w:pPr>
        <w:pStyle w:val="TextBody"/>
        <w:bidi w:val="0"/>
        <w:spacing w:before="0" w:after="0"/>
        <w:jc w:val="left"/>
        <w:rPr/>
      </w:pPr>
      <w:r>
        <w:rPr/>
      </w:r>
    </w:p>
    <w:tbl>
      <w:tblPr>
        <w:tblW w:w="7975" w:type="dxa"/>
        <w:jc w:val="left"/>
        <w:tblInd w:w="0" w:type="dxa"/>
        <w:tblLayout w:type="fixed"/>
        <w:tblCellMar>
          <w:top w:w="28" w:type="dxa"/>
          <w:left w:w="28" w:type="dxa"/>
          <w:bottom w:w="28" w:type="dxa"/>
          <w:right w:w="28" w:type="dxa"/>
        </w:tblCellMar>
      </w:tblPr>
      <w:tblGrid>
        <w:gridCol w:w="1821"/>
        <w:gridCol w:w="1598"/>
        <w:gridCol w:w="1605"/>
        <w:gridCol w:w="226"/>
        <w:gridCol w:w="773"/>
        <w:gridCol w:w="290"/>
        <w:gridCol w:w="109"/>
        <w:gridCol w:w="109"/>
        <w:gridCol w:w="109"/>
        <w:gridCol w:w="215"/>
        <w:gridCol w:w="736"/>
        <w:gridCol w:w="384"/>
      </w:tblGrid>
      <w:tr>
        <w:trPr/>
        <w:tc>
          <w:tcPr>
            <w:tcW w:w="182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w:t>
              <w:br/>
              <w:t>month ended</w:t>
              <w:b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w:t>
              <w:br/>
              <w:t>month ended</w:t>
              <w:br/>
              <w:t>August 31, 2025</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(dollars in millions)</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End-of-period credit card and other loans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17,657 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Average credit card and other loans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17,598 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Year-over-year change in average credit card and other loans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principal losses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principal loss rate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7255" w:type="dxa"/>
        <w:jc w:val="left"/>
        <w:tblInd w:w="0" w:type="dxa"/>
        <w:tblLayout w:type="fixed"/>
        <w:tblCellMar>
          <w:top w:w="28" w:type="dxa"/>
          <w:left w:w="28" w:type="dxa"/>
          <w:bottom w:w="28" w:type="dxa"/>
          <w:right w:w="28" w:type="dxa"/>
        </w:tblCellMar>
      </w:tblPr>
      <w:tblGrid>
        <w:gridCol w:w="1559"/>
        <w:gridCol w:w="1370"/>
        <w:gridCol w:w="1376"/>
        <w:gridCol w:w="226"/>
        <w:gridCol w:w="773"/>
        <w:gridCol w:w="290"/>
        <w:gridCol w:w="109"/>
        <w:gridCol w:w="109"/>
        <w:gridCol w:w="109"/>
        <w:gridCol w:w="225"/>
        <w:gridCol w:w="771"/>
        <w:gridCol w:w="338"/>
      </w:tblGrid>
      <w:tr>
        <w:trPr/>
        <w:tc>
          <w:tcPr>
            <w:tcW w:w="15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b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br/>
              <w:t>August 31, 2025</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(dollars 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30 days + delinquencies – principal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Period ended credit card and other loans – principal</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Delinquency rate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About Bread Financial</w:t>
      </w:r>
      <w:r>
        <w:rPr>
          <w:rFonts w:ascii="Arial;sans-serif" w:hAnsi="Arial;sans-serif"/>
          <w:b/>
          <w:color w:val="12294A"/>
          <w:sz w:val="14"/>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Bread Financial</w:t>
      </w:r>
      <w:r>
        <w:rPr>
          <w:rFonts w:ascii="Times New Roman;serif" w:hAnsi="Times New Roman;serif"/>
          <w:b/>
          <w:color w:val="000000"/>
          <w:sz w:val="16"/>
        </w:rPr>
        <w:t>®</w:t>
      </w:r>
      <w:r>
        <w:rPr>
          <w:rFonts w:ascii="Times New Roman;serif" w:hAnsi="Times New Roman;serif"/>
          <w:b w:val="false"/>
          <w:color w:val="000000"/>
          <w:sz w:val="24"/>
        </w:rPr>
        <w:t>(NYSE: BFH) is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Bread Financial proudly marks 30 years of success in 2026. To learn more about our global associates, our performance and our sustainability progress, visit </w:t>
      </w:r>
      <w:r>
        <w:rPr>
          <w:rFonts w:ascii="Times New Roman;serif" w:hAnsi="Times New Roman;serif"/>
          <w:b/>
          <w:color w:val="000000"/>
          <w:sz w:val="24"/>
        </w:rPr>
        <w:t>breadfinancial.com</w:t>
      </w:r>
      <w:r>
        <w:rPr>
          <w:color w:val="000000"/>
        </w:rPr>
        <w:t> </w:t>
      </w:r>
      <w:r>
        <w:rPr>
          <w:rFonts w:ascii="Times New Roman;serif" w:hAnsi="Times New Roman;serif"/>
          <w:b w:val="false"/>
          <w:color w:val="000000"/>
          <w:sz w:val="24"/>
        </w:rPr>
        <w:t>or follow us on </w:t>
      </w:r>
      <w:r>
        <w:rPr>
          <w:rFonts w:ascii="Times New Roman;serif" w:hAnsi="Times New Roman;serif"/>
          <w:b/>
          <w:color w:val="000000"/>
          <w:sz w:val="24"/>
        </w:rPr>
        <w:t xml:space="preserve">Instagram </w:t>
      </w:r>
      <w:r>
        <w:rPr>
          <w:rFonts w:ascii="Times New Roman;serif" w:hAnsi="Times New Roman;serif"/>
          <w:b w:val="false"/>
          <w:color w:val="000000"/>
          <w:sz w:val="24"/>
        </w:rPr>
        <w:t>and </w:t>
      </w:r>
      <w:r>
        <w:rPr>
          <w:rFonts w:ascii="Times New Roman;serif" w:hAnsi="Times New Roman;serif"/>
          <w:b/>
          <w:color w:val="000000"/>
          <w:sz w:val="24"/>
        </w:rPr>
        <w:t>LinkedIn</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September 15,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release contains forward-looking statements within the meaning of Section 27A of the Securities Act of 1933 and Section 21E of the Securities Exchange Act of 1934.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and future economic conditions.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release, and no assurances can be given that our expectations will prove to have been correct. Factors that could cause the outcomes to differ materially include, but are not limited to, the following: macroeconomic conditions, including inflation, interest rates, labor market conditions, financial and capital market conditions, recessionary pressures or concerns over a prolonged economic slowdown, and the related impact on consumer spending behavior, payments, debt levels, savings rates and other behaviors; global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and military conflicts, and international tensions or hostilities; local or global public health issues, climate-related events, impacts to the power grid, and natural disasters; future credit performance, including the level of future delinquency and charge-off rates; 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our business in U.S. consumer credit; inaccuracies in the models and estimates on which we rely, including our credit risk management models and the amount of our Allowance for credit losses; the inability to realize the intended benefits of acquisitions, dispositions and other strategic initiatives; our level of indebtedness and ability to access financial or capital markets; pending and future federal and state legislation, executive action, regulation, supervisory guidance, and regulatory and legal actions, including, but not limited to, those related to financial regulatory reform and consumer financial services practices, as well as any such actions that would place limits on credit card interest rates or late fees, interchange fees or other charges; failures or breaches in our operational or security systems, including as a result of cyberattacks, unanticipated impacts from technology modernization projects or otherwise; and any liability or other adverse impacts arising out of or related to the spinoff of our former LoyaltyOne segment or the bankruptcy filings of Loyalty Ventures Inc. (LVI) and certain of its subsidiaries, including the pending litigation against us in connection with the spinoff. The foregoing factors, along with other risks and uncertainties that could cause actual results to differ materially from those expressed or implied in forward-looking statements, are described in greater detail under the headings “Risk Factors” and “Management’s Discussion and Analysis of Financial Condition and Results of Operations” in our Annual Report on Form 10-K for the most recently ended fiscal year, which may be </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tLeast"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September 15,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updated in Item 1A of, or elsewhere in, our Quarterly Reports on Form 10-Q filed for periods subsequent to such Form 10-K. Our forward-looking statements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pStyle w:val="TextBody"/>
        <w:bidi w:val="0"/>
        <w:spacing w:before="0" w:after="0"/>
        <w:jc w:val="left"/>
        <w:rPr/>
      </w:pPr>
      <w:r>
        <w:rPr/>
      </w:r>
    </w:p>
    <w:tbl>
      <w:tblPr>
        <w:tblW w:w="3961" w:type="dxa"/>
        <w:jc w:val="left"/>
        <w:tblInd w:w="0" w:type="dxa"/>
        <w:tblLayout w:type="fixed"/>
        <w:tblCellMar>
          <w:top w:w="28" w:type="dxa"/>
          <w:left w:w="28" w:type="dxa"/>
          <w:bottom w:w="28" w:type="dxa"/>
          <w:right w:w="28" w:type="dxa"/>
        </w:tblCellMar>
      </w:tblPr>
      <w:tblGrid>
        <w:gridCol w:w="304"/>
        <w:gridCol w:w="267"/>
        <w:gridCol w:w="269"/>
        <w:gridCol w:w="912"/>
        <w:gridCol w:w="912"/>
        <w:gridCol w:w="129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Contact:</w:t>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Investors/Analysts</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Vereb</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Brian.Vereb@BreadFinancial.com</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Susan Haugen</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Susan.Haugen@BreadFinancial.com</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Media</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Rachel Stultz</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Rachel.Stultz@BreadFinancial.com</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1582</Words>
  <Characters>9093</Characters>
  <CharactersWithSpaces>10558</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