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24"/>
          <w:szCs w:val="24"/>
          <w:color w:val="auto"/>
        </w:rPr>
        <w:drawing>
          <wp:anchor simplePos="0" relativeHeight="251657728" behindDoc="1" locked="0" layoutInCell="0" allowOverlap="1">
            <wp:simplePos x="0" y="0"/>
            <wp:positionH relativeFrom="page">
              <wp:posOffset>155575</wp:posOffset>
            </wp:positionH>
            <wp:positionV relativeFrom="page">
              <wp:posOffset>738505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t>UNITED STATES</w:t>
      </w:r>
    </w:p>
    <w:p>
      <w:pPr>
        <w:spacing w:after="0" w:line="28" w:lineRule="exact"/>
        <w:rPr>
          <w:sz w:val="24"/>
          <w:szCs w:val="24"/>
          <w:color w:val="auto"/>
        </w:rPr>
      </w:pPr>
    </w:p>
    <w:p>
      <w:pPr>
        <w:jc w:val="center"/>
        <w:ind w:right="-339"/>
        <w:spacing w:after="0"/>
        <w:rPr>
          <w:sz w:val="20"/>
          <w:szCs w:val="20"/>
          <w:color w:val="auto"/>
        </w:rPr>
      </w:pPr>
      <w:r>
        <w:rPr>
          <w:rFonts w:ascii="Arial" w:cs="Arial" w:eastAsia="Arial" w:hAnsi="Arial"/>
          <w:sz w:val="24"/>
          <w:szCs w:val="24"/>
          <w:color w:val="auto"/>
        </w:rPr>
        <w:t>SECURITIES AND EXCHANGE COMMISSION</w:t>
      </w:r>
    </w:p>
    <w:p>
      <w:pPr>
        <w:spacing w:after="0" w:line="13" w:lineRule="exact"/>
        <w:rPr>
          <w:sz w:val="24"/>
          <w:szCs w:val="24"/>
          <w:color w:val="auto"/>
        </w:rPr>
      </w:pPr>
    </w:p>
    <w:p>
      <w:pPr>
        <w:jc w:val="center"/>
        <w:ind w:right="-399"/>
        <w:spacing w:after="0"/>
        <w:rPr>
          <w:sz w:val="20"/>
          <w:szCs w:val="20"/>
          <w:color w:val="auto"/>
        </w:rPr>
      </w:pPr>
      <w:r>
        <w:rPr>
          <w:rFonts w:ascii="Arial" w:cs="Arial" w:eastAsia="Arial" w:hAnsi="Arial"/>
          <w:sz w:val="18"/>
          <w:szCs w:val="18"/>
          <w:color w:val="auto"/>
        </w:rPr>
        <w:t>WASHINGTON, D.C. 20549</w:t>
      </w:r>
    </w:p>
    <w:p>
      <w:pPr>
        <w:spacing w:after="0" w:line="188" w:lineRule="exact"/>
        <w:rPr>
          <w:sz w:val="24"/>
          <w:szCs w:val="24"/>
          <w:color w:val="auto"/>
        </w:rPr>
      </w:pPr>
    </w:p>
    <w:p>
      <w:pPr>
        <w:jc w:val="center"/>
        <w:ind w:right="-399"/>
        <w:spacing w:after="0"/>
        <w:rPr>
          <w:sz w:val="20"/>
          <w:szCs w:val="20"/>
          <w:color w:val="auto"/>
        </w:rPr>
      </w:pPr>
      <w:r>
        <w:rPr>
          <w:rFonts w:ascii="Arial" w:cs="Arial" w:eastAsia="Arial" w:hAnsi="Arial"/>
          <w:sz w:val="32"/>
          <w:szCs w:val="32"/>
          <w:color w:val="auto"/>
        </w:rPr>
        <w:t>FORM 8-K</w:t>
      </w:r>
    </w:p>
    <w:p>
      <w:pPr>
        <w:spacing w:after="0" w:line="224" w:lineRule="exact"/>
        <w:rPr>
          <w:sz w:val="24"/>
          <w:szCs w:val="24"/>
          <w:color w:val="auto"/>
        </w:rPr>
      </w:pPr>
    </w:p>
    <w:p>
      <w:pPr>
        <w:jc w:val="center"/>
        <w:ind w:right="-399"/>
        <w:spacing w:after="0"/>
        <w:rPr>
          <w:sz w:val="20"/>
          <w:szCs w:val="20"/>
          <w:color w:val="auto"/>
        </w:rPr>
      </w:pPr>
      <w:r>
        <w:rPr>
          <w:rFonts w:ascii="Arial" w:cs="Arial" w:eastAsia="Arial" w:hAnsi="Arial"/>
          <w:sz w:val="22"/>
          <w:szCs w:val="22"/>
          <w:color w:val="auto"/>
        </w:rPr>
        <w:t>CURRENT REPORT</w:t>
      </w:r>
    </w:p>
    <w:p>
      <w:pPr>
        <w:spacing w:after="0" w:line="219" w:lineRule="exact"/>
        <w:rPr>
          <w:sz w:val="24"/>
          <w:szCs w:val="24"/>
          <w:color w:val="auto"/>
        </w:rPr>
      </w:pPr>
    </w:p>
    <w:p>
      <w:pPr>
        <w:ind w:left="3220"/>
        <w:spacing w:after="0"/>
        <w:rPr>
          <w:sz w:val="20"/>
          <w:szCs w:val="20"/>
          <w:color w:val="auto"/>
        </w:rPr>
      </w:pPr>
      <w:r>
        <w:rPr>
          <w:rFonts w:ascii="Arial" w:cs="Arial" w:eastAsia="Arial" w:hAnsi="Arial"/>
          <w:sz w:val="18"/>
          <w:szCs w:val="18"/>
          <w:color w:val="auto"/>
        </w:rPr>
        <w:t>Pursuant to Section 13 or 15(d) of the Securities Exchange Act of 1934</w:t>
      </w:r>
    </w:p>
    <w:p>
      <w:pPr>
        <w:spacing w:after="0" w:line="200" w:lineRule="exact"/>
        <w:rPr>
          <w:sz w:val="24"/>
          <w:szCs w:val="24"/>
          <w:color w:val="auto"/>
        </w:rPr>
      </w:pPr>
    </w:p>
    <w:p>
      <w:pPr>
        <w:spacing w:after="0" w:line="268" w:lineRule="exact"/>
        <w:rPr>
          <w:sz w:val="24"/>
          <w:szCs w:val="24"/>
          <w:color w:val="auto"/>
        </w:rPr>
      </w:pPr>
    </w:p>
    <w:p>
      <w:pPr>
        <w:ind w:left="1180"/>
        <w:spacing w:after="0"/>
        <w:tabs>
          <w:tab w:leader="none" w:pos="8440" w:val="left"/>
        </w:tabs>
        <w:rPr>
          <w:sz w:val="20"/>
          <w:szCs w:val="20"/>
          <w:color w:val="auto"/>
        </w:rPr>
      </w:pPr>
      <w:r>
        <w:rPr>
          <w:rFonts w:ascii="Arial" w:cs="Arial" w:eastAsia="Arial" w:hAnsi="Arial"/>
          <w:sz w:val="18"/>
          <w:szCs w:val="18"/>
          <w:color w:val="auto"/>
        </w:rPr>
        <w:t>Date of Report (Date of Earliest Event Reported):</w:t>
      </w:r>
      <w:r>
        <w:rPr>
          <w:sz w:val="20"/>
          <w:szCs w:val="20"/>
          <w:color w:val="auto"/>
        </w:rPr>
        <w:tab/>
      </w:r>
      <w:r>
        <w:rPr>
          <w:rFonts w:ascii="Arial" w:cs="Arial" w:eastAsia="Arial" w:hAnsi="Arial"/>
          <w:sz w:val="15"/>
          <w:szCs w:val="15"/>
          <w:color w:val="auto"/>
        </w:rPr>
        <w:t>June 9, 2010</w:t>
      </w:r>
    </w:p>
    <w:p>
      <w:pPr>
        <w:spacing w:after="0" w:line="200" w:lineRule="exact"/>
        <w:rPr>
          <w:sz w:val="24"/>
          <w:szCs w:val="24"/>
          <w:color w:val="auto"/>
        </w:rPr>
      </w:pPr>
    </w:p>
    <w:p>
      <w:pPr>
        <w:spacing w:after="0" w:line="245" w:lineRule="exact"/>
        <w:rPr>
          <w:sz w:val="24"/>
          <w:szCs w:val="24"/>
          <w:color w:val="auto"/>
        </w:rPr>
      </w:pPr>
    </w:p>
    <w:p>
      <w:pPr>
        <w:jc w:val="center"/>
        <w:ind w:right="-299"/>
        <w:spacing w:after="0"/>
        <w:rPr>
          <w:sz w:val="20"/>
          <w:szCs w:val="20"/>
          <w:color w:val="auto"/>
        </w:rPr>
      </w:pPr>
      <w:r>
        <w:rPr>
          <w:rFonts w:ascii="Arial" w:cs="Arial" w:eastAsia="Arial" w:hAnsi="Arial"/>
          <w:sz w:val="43"/>
          <w:szCs w:val="43"/>
          <w:color w:val="auto"/>
        </w:rPr>
        <w:t>Alliance Data Systems Corporation</w:t>
      </w:r>
    </w:p>
    <w:p>
      <w:pPr>
        <w:spacing w:after="0" w:line="42" w:lineRule="exact"/>
        <w:rPr>
          <w:sz w:val="24"/>
          <w:szCs w:val="24"/>
          <w:color w:val="auto"/>
        </w:rPr>
      </w:pPr>
    </w:p>
    <w:p>
      <w:pPr>
        <w:ind w:left="3880"/>
        <w:spacing w:after="0"/>
        <w:rPr>
          <w:sz w:val="20"/>
          <w:szCs w:val="20"/>
          <w:color w:val="auto"/>
        </w:rPr>
      </w:pPr>
      <w:r>
        <w:rPr>
          <w:rFonts w:ascii="Arial" w:cs="Arial" w:eastAsia="Arial" w:hAnsi="Arial"/>
          <w:sz w:val="18"/>
          <w:szCs w:val="18"/>
          <w:color w:val="auto"/>
        </w:rPr>
        <w:t>__________________________________________</w:t>
      </w:r>
    </w:p>
    <w:p>
      <w:pPr>
        <w:spacing w:after="0" w:line="1" w:lineRule="exact"/>
        <w:rPr>
          <w:sz w:val="24"/>
          <w:szCs w:val="24"/>
          <w:color w:val="auto"/>
        </w:rPr>
      </w:pPr>
    </w:p>
    <w:p>
      <w:pPr>
        <w:ind w:left="3900"/>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62" w:lineRule="exact"/>
        <w:rPr>
          <w:sz w:val="24"/>
          <w:szCs w:val="24"/>
          <w:color w:val="auto"/>
        </w:rPr>
      </w:pPr>
    </w:p>
    <w:tbl>
      <w:tblPr>
        <w:tblLayout w:type="fixed"/>
        <w:tblInd w:w="440" w:type="dxa"/>
        <w:tblCellMar>
          <w:top w:w="0" w:type="dxa"/>
          <w:left w:w="0" w:type="dxa"/>
          <w:bottom w:w="0" w:type="dxa"/>
          <w:right w:w="0" w:type="dxa"/>
        </w:tblCellMar>
      </w:tblPr>
      <w:tr>
        <w:trPr>
          <w:trHeight w:val="216"/>
        </w:trPr>
        <w:tc>
          <w:tcPr>
            <w:tcW w:w="3040" w:type="dxa"/>
            <w:vAlign w:val="bottom"/>
          </w:tcPr>
          <w:p>
            <w:pPr>
              <w:jc w:val="center"/>
              <w:ind w:right="52"/>
              <w:spacing w:after="0"/>
              <w:rPr>
                <w:sz w:val="20"/>
                <w:szCs w:val="20"/>
                <w:color w:val="auto"/>
              </w:rPr>
            </w:pPr>
            <w:r>
              <w:rPr>
                <w:rFonts w:ascii="Arial" w:cs="Arial" w:eastAsia="Arial" w:hAnsi="Arial"/>
                <w:sz w:val="18"/>
                <w:szCs w:val="18"/>
                <w:color w:val="auto"/>
                <w:w w:val="86"/>
              </w:rPr>
              <w:t>Delaware</w:t>
            </w:r>
          </w:p>
        </w:tc>
        <w:tc>
          <w:tcPr>
            <w:tcW w:w="4620" w:type="dxa"/>
            <w:vAlign w:val="bottom"/>
          </w:tcPr>
          <w:p>
            <w:pPr>
              <w:jc w:val="right"/>
              <w:ind w:right="1912"/>
              <w:spacing w:after="0"/>
              <w:rPr>
                <w:sz w:val="20"/>
                <w:szCs w:val="20"/>
                <w:color w:val="auto"/>
              </w:rPr>
            </w:pPr>
            <w:r>
              <w:rPr>
                <w:rFonts w:ascii="Arial" w:cs="Arial" w:eastAsia="Arial" w:hAnsi="Arial"/>
                <w:sz w:val="18"/>
                <w:szCs w:val="18"/>
                <w:color w:val="auto"/>
              </w:rPr>
              <w:t>001-15749</w:t>
            </w:r>
          </w:p>
        </w:tc>
        <w:tc>
          <w:tcPr>
            <w:tcW w:w="2100" w:type="dxa"/>
            <w:vAlign w:val="bottom"/>
          </w:tcPr>
          <w:p>
            <w:pPr>
              <w:jc w:val="center"/>
              <w:ind w:left="692"/>
              <w:spacing w:after="0"/>
              <w:rPr>
                <w:sz w:val="20"/>
                <w:szCs w:val="20"/>
                <w:color w:val="auto"/>
              </w:rPr>
            </w:pPr>
            <w:r>
              <w:rPr>
                <w:rFonts w:ascii="Arial" w:cs="Arial" w:eastAsia="Arial" w:hAnsi="Arial"/>
                <w:sz w:val="18"/>
                <w:szCs w:val="18"/>
                <w:color w:val="auto"/>
                <w:w w:val="87"/>
              </w:rPr>
              <w:t>31-1429215</w:t>
            </w:r>
          </w:p>
        </w:tc>
      </w:tr>
      <w:tr>
        <w:trPr>
          <w:trHeight w:val="216"/>
        </w:trPr>
        <w:tc>
          <w:tcPr>
            <w:tcW w:w="3040" w:type="dxa"/>
            <w:vAlign w:val="bottom"/>
          </w:tcPr>
          <w:p>
            <w:pPr>
              <w:jc w:val="right"/>
              <w:ind w:right="572"/>
              <w:spacing w:after="0"/>
              <w:rPr>
                <w:sz w:val="20"/>
                <w:szCs w:val="20"/>
                <w:color w:val="auto"/>
              </w:rPr>
            </w:pPr>
            <w:r>
              <w:rPr>
                <w:rFonts w:ascii="Arial" w:cs="Arial" w:eastAsia="Arial" w:hAnsi="Arial"/>
                <w:sz w:val="18"/>
                <w:szCs w:val="18"/>
                <w:color w:val="auto"/>
              </w:rPr>
              <w:t>_____________________</w:t>
            </w:r>
          </w:p>
        </w:tc>
        <w:tc>
          <w:tcPr>
            <w:tcW w:w="4620" w:type="dxa"/>
            <w:vAlign w:val="bottom"/>
          </w:tcPr>
          <w:p>
            <w:pPr>
              <w:jc w:val="right"/>
              <w:ind w:right="1712"/>
              <w:spacing w:after="0"/>
              <w:rPr>
                <w:sz w:val="20"/>
                <w:szCs w:val="20"/>
                <w:color w:val="auto"/>
              </w:rPr>
            </w:pPr>
            <w:r>
              <w:rPr>
                <w:rFonts w:ascii="Arial" w:cs="Arial" w:eastAsia="Arial" w:hAnsi="Arial"/>
                <w:sz w:val="18"/>
                <w:szCs w:val="18"/>
                <w:color w:val="auto"/>
              </w:rPr>
              <w:t>_____________</w:t>
            </w:r>
          </w:p>
        </w:tc>
        <w:tc>
          <w:tcPr>
            <w:tcW w:w="2100" w:type="dxa"/>
            <w:vAlign w:val="bottom"/>
          </w:tcPr>
          <w:p>
            <w:pPr>
              <w:jc w:val="center"/>
              <w:ind w:left="692"/>
              <w:spacing w:after="0"/>
              <w:rPr>
                <w:sz w:val="20"/>
                <w:szCs w:val="20"/>
                <w:color w:val="auto"/>
              </w:rPr>
            </w:pPr>
            <w:r>
              <w:rPr>
                <w:rFonts w:ascii="Arial" w:cs="Arial" w:eastAsia="Arial" w:hAnsi="Arial"/>
                <w:sz w:val="18"/>
                <w:szCs w:val="18"/>
                <w:color w:val="auto"/>
                <w:w w:val="88"/>
              </w:rPr>
              <w:t>______________</w:t>
            </w:r>
          </w:p>
        </w:tc>
      </w:tr>
      <w:tr>
        <w:trPr>
          <w:trHeight w:val="216"/>
        </w:trPr>
        <w:tc>
          <w:tcPr>
            <w:tcW w:w="3040" w:type="dxa"/>
            <w:vAlign w:val="bottom"/>
          </w:tcPr>
          <w:p>
            <w:pPr>
              <w:jc w:val="center"/>
              <w:ind w:right="52"/>
              <w:spacing w:after="0"/>
              <w:rPr>
                <w:sz w:val="20"/>
                <w:szCs w:val="20"/>
                <w:color w:val="auto"/>
              </w:rPr>
            </w:pPr>
            <w:r>
              <w:rPr>
                <w:rFonts w:ascii="Arial" w:cs="Arial" w:eastAsia="Arial" w:hAnsi="Arial"/>
                <w:sz w:val="18"/>
                <w:szCs w:val="18"/>
                <w:color w:val="auto"/>
                <w:w w:val="90"/>
              </w:rPr>
              <w:t>(State or other jurisdiction</w:t>
            </w:r>
          </w:p>
        </w:tc>
        <w:tc>
          <w:tcPr>
            <w:tcW w:w="4620" w:type="dxa"/>
            <w:vAlign w:val="bottom"/>
          </w:tcPr>
          <w:p>
            <w:pPr>
              <w:jc w:val="center"/>
              <w:ind w:right="52"/>
              <w:spacing w:after="0"/>
              <w:rPr>
                <w:sz w:val="20"/>
                <w:szCs w:val="20"/>
                <w:color w:val="auto"/>
              </w:rPr>
            </w:pPr>
            <w:r>
              <w:rPr>
                <w:rFonts w:ascii="Arial" w:cs="Arial" w:eastAsia="Arial" w:hAnsi="Arial"/>
                <w:sz w:val="18"/>
                <w:szCs w:val="18"/>
                <w:color w:val="auto"/>
                <w:w w:val="91"/>
              </w:rPr>
              <w:t>(Commission</w:t>
            </w:r>
          </w:p>
        </w:tc>
        <w:tc>
          <w:tcPr>
            <w:tcW w:w="2100" w:type="dxa"/>
            <w:vAlign w:val="bottom"/>
          </w:tcPr>
          <w:p>
            <w:pPr>
              <w:jc w:val="center"/>
              <w:ind w:left="692"/>
              <w:spacing w:after="0"/>
              <w:rPr>
                <w:sz w:val="20"/>
                <w:szCs w:val="20"/>
                <w:color w:val="auto"/>
              </w:rPr>
            </w:pPr>
            <w:r>
              <w:rPr>
                <w:rFonts w:ascii="Arial" w:cs="Arial" w:eastAsia="Arial" w:hAnsi="Arial"/>
                <w:sz w:val="18"/>
                <w:szCs w:val="18"/>
                <w:color w:val="auto"/>
                <w:w w:val="90"/>
              </w:rPr>
              <w:t>(I.R.S. Employer</w:t>
            </w:r>
          </w:p>
        </w:tc>
      </w:tr>
      <w:tr>
        <w:trPr>
          <w:trHeight w:val="222"/>
        </w:trPr>
        <w:tc>
          <w:tcPr>
            <w:tcW w:w="3040" w:type="dxa"/>
            <w:vAlign w:val="bottom"/>
          </w:tcPr>
          <w:p>
            <w:pPr>
              <w:jc w:val="center"/>
              <w:ind w:right="52"/>
              <w:spacing w:after="0"/>
              <w:rPr>
                <w:sz w:val="20"/>
                <w:szCs w:val="20"/>
                <w:color w:val="auto"/>
              </w:rPr>
            </w:pPr>
            <w:r>
              <w:rPr>
                <w:rFonts w:ascii="Arial" w:cs="Arial" w:eastAsia="Arial" w:hAnsi="Arial"/>
                <w:sz w:val="18"/>
                <w:szCs w:val="18"/>
                <w:color w:val="auto"/>
                <w:w w:val="90"/>
              </w:rPr>
              <w:t>of incorporation)</w:t>
            </w:r>
          </w:p>
        </w:tc>
        <w:tc>
          <w:tcPr>
            <w:tcW w:w="4620" w:type="dxa"/>
            <w:vAlign w:val="bottom"/>
          </w:tcPr>
          <w:p>
            <w:pPr>
              <w:jc w:val="center"/>
              <w:ind w:right="52"/>
              <w:spacing w:after="0"/>
              <w:rPr>
                <w:sz w:val="20"/>
                <w:szCs w:val="20"/>
                <w:color w:val="auto"/>
              </w:rPr>
            </w:pPr>
            <w:r>
              <w:rPr>
                <w:rFonts w:ascii="Arial" w:cs="Arial" w:eastAsia="Arial" w:hAnsi="Arial"/>
                <w:sz w:val="18"/>
                <w:szCs w:val="18"/>
                <w:color w:val="auto"/>
                <w:w w:val="92"/>
              </w:rPr>
              <w:t>File Number)</w:t>
            </w:r>
          </w:p>
        </w:tc>
        <w:tc>
          <w:tcPr>
            <w:tcW w:w="2100" w:type="dxa"/>
            <w:vAlign w:val="bottom"/>
          </w:tcPr>
          <w:p>
            <w:pPr>
              <w:jc w:val="center"/>
              <w:ind w:left="692"/>
              <w:spacing w:after="0"/>
              <w:rPr>
                <w:sz w:val="20"/>
                <w:szCs w:val="20"/>
                <w:color w:val="auto"/>
              </w:rPr>
            </w:pPr>
            <w:r>
              <w:rPr>
                <w:rFonts w:ascii="Arial" w:cs="Arial" w:eastAsia="Arial" w:hAnsi="Arial"/>
                <w:sz w:val="18"/>
                <w:szCs w:val="18"/>
                <w:color w:val="auto"/>
                <w:w w:val="94"/>
              </w:rPr>
              <w:t>Identification No.)</w:t>
            </w:r>
          </w:p>
        </w:tc>
      </w:tr>
      <w:tr>
        <w:trPr>
          <w:trHeight w:val="426"/>
        </w:trPr>
        <w:tc>
          <w:tcPr>
            <w:tcW w:w="3040" w:type="dxa"/>
            <w:vAlign w:val="bottom"/>
          </w:tcPr>
          <w:p>
            <w:pPr>
              <w:jc w:val="center"/>
              <w:ind w:right="32"/>
              <w:spacing w:after="0"/>
              <w:rPr>
                <w:sz w:val="20"/>
                <w:szCs w:val="20"/>
                <w:color w:val="auto"/>
              </w:rPr>
            </w:pPr>
            <w:r>
              <w:rPr>
                <w:rFonts w:ascii="Arial" w:cs="Arial" w:eastAsia="Arial" w:hAnsi="Arial"/>
                <w:sz w:val="18"/>
                <w:szCs w:val="18"/>
                <w:color w:val="auto"/>
                <w:w w:val="87"/>
              </w:rPr>
              <w:t>17655 Waterview Parkway, Dallas, Texas</w:t>
            </w:r>
          </w:p>
        </w:tc>
        <w:tc>
          <w:tcPr>
            <w:tcW w:w="4620" w:type="dxa"/>
            <w:vAlign w:val="bottom"/>
          </w:tcPr>
          <w:p>
            <w:pPr>
              <w:spacing w:after="0"/>
              <w:rPr>
                <w:sz w:val="24"/>
                <w:szCs w:val="24"/>
                <w:color w:val="auto"/>
              </w:rPr>
            </w:pPr>
          </w:p>
        </w:tc>
        <w:tc>
          <w:tcPr>
            <w:tcW w:w="2100" w:type="dxa"/>
            <w:vAlign w:val="bottom"/>
          </w:tcPr>
          <w:p>
            <w:pPr>
              <w:jc w:val="center"/>
              <w:ind w:left="692"/>
              <w:spacing w:after="0"/>
              <w:rPr>
                <w:sz w:val="20"/>
                <w:szCs w:val="20"/>
                <w:color w:val="auto"/>
              </w:rPr>
            </w:pPr>
            <w:r>
              <w:rPr>
                <w:rFonts w:ascii="Arial" w:cs="Arial" w:eastAsia="Arial" w:hAnsi="Arial"/>
                <w:sz w:val="18"/>
                <w:szCs w:val="18"/>
                <w:color w:val="auto"/>
                <w:w w:val="87"/>
              </w:rPr>
              <w:t>75252</w:t>
            </w:r>
          </w:p>
        </w:tc>
      </w:tr>
      <w:tr>
        <w:trPr>
          <w:trHeight w:val="216"/>
        </w:trPr>
        <w:tc>
          <w:tcPr>
            <w:tcW w:w="3040" w:type="dxa"/>
            <w:vAlign w:val="bottom"/>
          </w:tcPr>
          <w:p>
            <w:pPr>
              <w:jc w:val="right"/>
              <w:ind w:right="52"/>
              <w:spacing w:after="0"/>
              <w:rPr>
                <w:sz w:val="20"/>
                <w:szCs w:val="20"/>
                <w:color w:val="auto"/>
              </w:rPr>
            </w:pPr>
            <w:r>
              <w:rPr>
                <w:rFonts w:ascii="Arial" w:cs="Arial" w:eastAsia="Arial" w:hAnsi="Arial"/>
                <w:sz w:val="18"/>
                <w:szCs w:val="18"/>
                <w:color w:val="auto"/>
                <w:w w:val="87"/>
              </w:rPr>
              <w:t>_________________________________</w:t>
            </w:r>
          </w:p>
        </w:tc>
        <w:tc>
          <w:tcPr>
            <w:tcW w:w="4620" w:type="dxa"/>
            <w:vAlign w:val="bottom"/>
          </w:tcPr>
          <w:p>
            <w:pPr>
              <w:spacing w:after="0"/>
              <w:rPr>
                <w:sz w:val="18"/>
                <w:szCs w:val="18"/>
                <w:color w:val="auto"/>
              </w:rPr>
            </w:pPr>
          </w:p>
        </w:tc>
        <w:tc>
          <w:tcPr>
            <w:tcW w:w="2100" w:type="dxa"/>
            <w:vAlign w:val="bottom"/>
          </w:tcPr>
          <w:p>
            <w:pPr>
              <w:jc w:val="center"/>
              <w:ind w:left="692"/>
              <w:spacing w:after="0"/>
              <w:rPr>
                <w:sz w:val="20"/>
                <w:szCs w:val="20"/>
                <w:color w:val="auto"/>
              </w:rPr>
            </w:pPr>
            <w:r>
              <w:rPr>
                <w:rFonts w:ascii="Arial" w:cs="Arial" w:eastAsia="Arial" w:hAnsi="Arial"/>
                <w:sz w:val="18"/>
                <w:szCs w:val="18"/>
                <w:color w:val="auto"/>
                <w:w w:val="87"/>
              </w:rPr>
              <w:t>___________</w:t>
            </w:r>
          </w:p>
        </w:tc>
      </w:tr>
      <w:tr>
        <w:trPr>
          <w:trHeight w:val="222"/>
        </w:trPr>
        <w:tc>
          <w:tcPr>
            <w:tcW w:w="3040" w:type="dxa"/>
            <w:vAlign w:val="bottom"/>
          </w:tcPr>
          <w:p>
            <w:pPr>
              <w:jc w:val="center"/>
              <w:ind w:right="52"/>
              <w:spacing w:after="0"/>
              <w:rPr>
                <w:sz w:val="20"/>
                <w:szCs w:val="20"/>
                <w:color w:val="auto"/>
              </w:rPr>
            </w:pPr>
            <w:r>
              <w:rPr>
                <w:rFonts w:ascii="Arial" w:cs="Arial" w:eastAsia="Arial" w:hAnsi="Arial"/>
                <w:sz w:val="18"/>
                <w:szCs w:val="18"/>
                <w:color w:val="auto"/>
                <w:w w:val="90"/>
              </w:rPr>
              <w:t>(Address of principal executive offices)</w:t>
            </w:r>
          </w:p>
        </w:tc>
        <w:tc>
          <w:tcPr>
            <w:tcW w:w="4620" w:type="dxa"/>
            <w:vAlign w:val="bottom"/>
          </w:tcPr>
          <w:p>
            <w:pPr>
              <w:spacing w:after="0"/>
              <w:rPr>
                <w:sz w:val="19"/>
                <w:szCs w:val="19"/>
                <w:color w:val="auto"/>
              </w:rPr>
            </w:pPr>
          </w:p>
        </w:tc>
        <w:tc>
          <w:tcPr>
            <w:tcW w:w="2100" w:type="dxa"/>
            <w:vAlign w:val="bottom"/>
          </w:tcPr>
          <w:p>
            <w:pPr>
              <w:jc w:val="center"/>
              <w:ind w:left="712"/>
              <w:spacing w:after="0"/>
              <w:rPr>
                <w:sz w:val="20"/>
                <w:szCs w:val="20"/>
                <w:color w:val="auto"/>
              </w:rPr>
            </w:pPr>
            <w:r>
              <w:rPr>
                <w:rFonts w:ascii="Arial" w:cs="Arial" w:eastAsia="Arial" w:hAnsi="Arial"/>
                <w:sz w:val="18"/>
                <w:szCs w:val="18"/>
                <w:color w:val="auto"/>
                <w:w w:val="91"/>
              </w:rPr>
              <w:t>(Zip Code)</w:t>
            </w:r>
          </w:p>
        </w:tc>
      </w:tr>
      <w:tr>
        <w:trPr>
          <w:trHeight w:val="459"/>
        </w:trPr>
        <w:tc>
          <w:tcPr>
            <w:tcW w:w="7660" w:type="dxa"/>
            <w:vAlign w:val="bottom"/>
            <w:gridSpan w:val="2"/>
          </w:tcPr>
          <w:p>
            <w:pPr>
              <w:ind w:left="660"/>
              <w:spacing w:after="0"/>
              <w:rPr>
                <w:sz w:val="20"/>
                <w:szCs w:val="20"/>
                <w:color w:val="auto"/>
              </w:rPr>
            </w:pPr>
            <w:r>
              <w:rPr>
                <w:rFonts w:ascii="Arial" w:cs="Arial" w:eastAsia="Arial" w:hAnsi="Arial"/>
                <w:sz w:val="18"/>
                <w:szCs w:val="18"/>
                <w:color w:val="auto"/>
              </w:rPr>
              <w:t>Registrant’s telephone number, including area code:</w:t>
            </w:r>
          </w:p>
        </w:tc>
        <w:tc>
          <w:tcPr>
            <w:tcW w:w="2100" w:type="dxa"/>
            <w:vAlign w:val="bottom"/>
          </w:tcPr>
          <w:p>
            <w:pPr>
              <w:jc w:val="right"/>
              <w:ind w:right="652"/>
              <w:spacing w:after="0"/>
              <w:rPr>
                <w:sz w:val="20"/>
                <w:szCs w:val="20"/>
                <w:color w:val="auto"/>
              </w:rPr>
            </w:pPr>
            <w:r>
              <w:rPr>
                <w:rFonts w:ascii="Arial" w:cs="Arial" w:eastAsia="Arial" w:hAnsi="Arial"/>
                <w:sz w:val="18"/>
                <w:szCs w:val="18"/>
                <w:color w:val="auto"/>
              </w:rPr>
              <w:t>(972) 348-5100</w:t>
            </w:r>
          </w:p>
        </w:tc>
      </w:tr>
      <w:tr>
        <w:trPr>
          <w:trHeight w:val="426"/>
        </w:trPr>
        <w:tc>
          <w:tcPr>
            <w:tcW w:w="3040" w:type="dxa"/>
            <w:vAlign w:val="bottom"/>
          </w:tcPr>
          <w:p>
            <w:pPr>
              <w:spacing w:after="0"/>
              <w:rPr>
                <w:sz w:val="24"/>
                <w:szCs w:val="24"/>
                <w:color w:val="auto"/>
              </w:rPr>
            </w:pPr>
          </w:p>
        </w:tc>
        <w:tc>
          <w:tcPr>
            <w:tcW w:w="4620" w:type="dxa"/>
            <w:vAlign w:val="bottom"/>
          </w:tcPr>
          <w:p>
            <w:pPr>
              <w:ind w:left="1680"/>
              <w:spacing w:after="0"/>
              <w:rPr>
                <w:sz w:val="20"/>
                <w:szCs w:val="20"/>
                <w:color w:val="auto"/>
              </w:rPr>
            </w:pPr>
            <w:r>
              <w:rPr>
                <w:rFonts w:ascii="Arial" w:cs="Arial" w:eastAsia="Arial" w:hAnsi="Arial"/>
                <w:sz w:val="18"/>
                <w:szCs w:val="18"/>
                <w:color w:val="auto"/>
              </w:rPr>
              <w:t>Not Applicable</w:t>
            </w:r>
          </w:p>
        </w:tc>
        <w:tc>
          <w:tcPr>
            <w:tcW w:w="2100" w:type="dxa"/>
            <w:vAlign w:val="bottom"/>
          </w:tcPr>
          <w:p>
            <w:pPr>
              <w:spacing w:after="0"/>
              <w:rPr>
                <w:sz w:val="24"/>
                <w:szCs w:val="24"/>
                <w:color w:val="auto"/>
              </w:rPr>
            </w:pPr>
          </w:p>
        </w:tc>
      </w:tr>
      <w:tr>
        <w:trPr>
          <w:trHeight w:val="216"/>
        </w:trPr>
        <w:tc>
          <w:tcPr>
            <w:tcW w:w="3040" w:type="dxa"/>
            <w:vAlign w:val="bottom"/>
          </w:tcPr>
          <w:p>
            <w:pPr>
              <w:spacing w:after="0"/>
              <w:rPr>
                <w:sz w:val="18"/>
                <w:szCs w:val="18"/>
                <w:color w:val="auto"/>
              </w:rPr>
            </w:pPr>
          </w:p>
        </w:tc>
        <w:tc>
          <w:tcPr>
            <w:tcW w:w="4620" w:type="dxa"/>
            <w:vAlign w:val="bottom"/>
          </w:tcPr>
          <w:p>
            <w:pPr>
              <w:jc w:val="right"/>
              <w:ind w:right="272"/>
              <w:spacing w:after="0"/>
              <w:rPr>
                <w:sz w:val="20"/>
                <w:szCs w:val="20"/>
                <w:color w:val="auto"/>
              </w:rPr>
            </w:pPr>
            <w:r>
              <w:rPr>
                <w:rFonts w:ascii="Arial" w:cs="Arial" w:eastAsia="Arial" w:hAnsi="Arial"/>
                <w:sz w:val="18"/>
                <w:szCs w:val="18"/>
                <w:color w:val="auto"/>
                <w:w w:val="92"/>
              </w:rPr>
              <w:t>______________________________________________</w:t>
            </w:r>
          </w:p>
        </w:tc>
        <w:tc>
          <w:tcPr>
            <w:tcW w:w="2100" w:type="dxa"/>
            <w:vAlign w:val="bottom"/>
          </w:tcPr>
          <w:p>
            <w:pPr>
              <w:spacing w:after="0"/>
              <w:rPr>
                <w:sz w:val="18"/>
                <w:szCs w:val="18"/>
                <w:color w:val="auto"/>
              </w:rPr>
            </w:pPr>
          </w:p>
        </w:tc>
      </w:tr>
      <w:tr>
        <w:trPr>
          <w:trHeight w:val="222"/>
        </w:trPr>
        <w:tc>
          <w:tcPr>
            <w:tcW w:w="3040" w:type="dxa"/>
            <w:vAlign w:val="bottom"/>
          </w:tcPr>
          <w:p>
            <w:pPr>
              <w:spacing w:after="0"/>
              <w:rPr>
                <w:sz w:val="19"/>
                <w:szCs w:val="19"/>
                <w:color w:val="auto"/>
              </w:rPr>
            </w:pPr>
          </w:p>
        </w:tc>
        <w:tc>
          <w:tcPr>
            <w:tcW w:w="4620" w:type="dxa"/>
            <w:vAlign w:val="bottom"/>
          </w:tcPr>
          <w:p>
            <w:pPr>
              <w:jc w:val="center"/>
              <w:ind w:right="52"/>
              <w:spacing w:after="0"/>
              <w:rPr>
                <w:sz w:val="20"/>
                <w:szCs w:val="20"/>
                <w:color w:val="auto"/>
              </w:rPr>
            </w:pPr>
            <w:r>
              <w:rPr>
                <w:rFonts w:ascii="Arial" w:cs="Arial" w:eastAsia="Arial" w:hAnsi="Arial"/>
                <w:sz w:val="18"/>
                <w:szCs w:val="18"/>
                <w:color w:val="auto"/>
                <w:w w:val="87"/>
              </w:rPr>
              <w:t>Former name or former address, if changed since last report</w:t>
            </w:r>
          </w:p>
        </w:tc>
        <w:tc>
          <w:tcPr>
            <w:tcW w:w="2100" w:type="dxa"/>
            <w:vAlign w:val="bottom"/>
          </w:tcPr>
          <w:p>
            <w:pPr>
              <w:spacing w:after="0"/>
              <w:rPr>
                <w:sz w:val="19"/>
                <w:szCs w:val="19"/>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242"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86" w:lineRule="exact"/>
        <w:rPr>
          <w:sz w:val="24"/>
          <w:szCs w:val="24"/>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1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20"/>
          </w:cols>
          <w:pgMar w:left="240" w:top="1388" w:right="6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Top of the Form</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31" w:lineRule="exact"/>
        <w:rPr>
          <w:sz w:val="20"/>
          <w:szCs w:val="20"/>
          <w:color w:val="auto"/>
        </w:rPr>
      </w:pPr>
    </w:p>
    <w:p>
      <w:pPr>
        <w:ind w:right="200"/>
        <w:spacing w:after="0" w:line="332" w:lineRule="auto"/>
        <w:rPr>
          <w:sz w:val="20"/>
          <w:szCs w:val="20"/>
          <w:color w:val="auto"/>
        </w:rPr>
      </w:pPr>
      <w:r>
        <w:rPr>
          <w:rFonts w:ascii="Arial" w:cs="Arial" w:eastAsia="Arial" w:hAnsi="Arial"/>
          <w:sz w:val="16"/>
          <w:szCs w:val="16"/>
          <w:color w:val="auto"/>
        </w:rPr>
        <w:t>On June 9, 2010, WFN Credit Company, LLC and World Financial Network National Bank entered into an amendment to their purchase and sale agreement dated November 25, 1997, as amended, to address circumstances in which a yield change, as defined therein, would be permitted.</w:t>
      </w:r>
    </w:p>
    <w:p>
      <w:pPr>
        <w:spacing w:after="0" w:line="139"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description of the amendment herein is qualified in its entirety by reference to the full text of such agreement which is incorporated by reference to Exhibit 10.1 of this Current Report on Form 8-K, and incorporated by reference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25"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10.1 Sixth Amendment to Purchase and Sale Agreement, dated as of June 9, 2010, by and between WFN Credit Company, LLC and World Financial Network National 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876300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00"/>
          </w:cols>
          <w:pgMar w:left="240" w:top="125" w:right="45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Top of the Form</w:t>
        </w:r>
      </w:hyperlink>
    </w:p>
    <w:p>
      <w:pPr>
        <w:spacing w:after="0" w:line="225"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2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Alliance Data Systems Corporation</w:t>
      </w:r>
    </w:p>
    <w:p>
      <w:pPr>
        <w:spacing w:after="0" w:line="225" w:lineRule="exact"/>
        <w:rPr>
          <w:sz w:val="20"/>
          <w:szCs w:val="20"/>
          <w:color w:val="auto"/>
        </w:rPr>
      </w:pPr>
    </w:p>
    <w:p>
      <w:pPr>
        <w:spacing w:after="0"/>
        <w:tabs>
          <w:tab w:leader="none" w:pos="6060" w:val="left"/>
          <w:tab w:leader="none" w:pos="6500" w:val="left"/>
        </w:tabs>
        <w:rPr>
          <w:sz w:val="20"/>
          <w:szCs w:val="20"/>
          <w:color w:val="auto"/>
        </w:rPr>
      </w:pPr>
      <w:r>
        <w:rPr>
          <w:rFonts w:ascii="Arial" w:cs="Arial" w:eastAsia="Arial" w:hAnsi="Arial"/>
          <w:sz w:val="18"/>
          <w:szCs w:val="18"/>
          <w:i w:val="1"/>
          <w:iCs w:val="1"/>
          <w:color w:val="auto"/>
        </w:rPr>
        <w:t>June 9, 2010</w:t>
      </w:r>
      <w:r>
        <w:rPr>
          <w:sz w:val="20"/>
          <w:szCs w:val="20"/>
          <w:color w:val="auto"/>
        </w:rPr>
        <w:tab/>
      </w:r>
      <w:r>
        <w:rPr>
          <w:rFonts w:ascii="Arial" w:cs="Arial" w:eastAsia="Arial" w:hAnsi="Arial"/>
          <w:sz w:val="18"/>
          <w:szCs w:val="18"/>
          <w:i w:val="1"/>
          <w:iCs w:val="1"/>
          <w:color w:val="auto"/>
        </w:rPr>
        <w:t>By:</w:t>
      </w:r>
      <w:r>
        <w:rPr>
          <w:sz w:val="20"/>
          <w:szCs w:val="20"/>
          <w:color w:val="auto"/>
        </w:rPr>
        <w:tab/>
      </w:r>
      <w:r>
        <w:rPr>
          <w:rFonts w:ascii="Arial" w:cs="Arial" w:eastAsia="Arial" w:hAnsi="Arial"/>
          <w:sz w:val="16"/>
          <w:szCs w:val="16"/>
          <w:i w:val="1"/>
          <w:iCs w:val="1"/>
          <w:color w:val="auto"/>
        </w:rPr>
        <w:t>Charles L. Horn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80010</wp:posOffset>
            </wp:positionV>
            <wp:extent cx="31127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219" w:lineRule="exact"/>
        <w:rPr>
          <w:sz w:val="20"/>
          <w:szCs w:val="20"/>
          <w:color w:val="auto"/>
        </w:rPr>
      </w:pPr>
    </w:p>
    <w:p>
      <w:pPr>
        <w:ind w:left="6520"/>
        <w:spacing w:after="0"/>
        <w:rPr>
          <w:sz w:val="20"/>
          <w:szCs w:val="20"/>
          <w:color w:val="auto"/>
        </w:rPr>
      </w:pPr>
      <w:r>
        <w:rPr>
          <w:rFonts w:ascii="Arial" w:cs="Arial" w:eastAsia="Arial" w:hAnsi="Arial"/>
          <w:sz w:val="18"/>
          <w:szCs w:val="18"/>
          <w:i w:val="1"/>
          <w:iCs w:val="1"/>
          <w:color w:val="auto"/>
        </w:rPr>
        <w:t>Name: Charles L. Horn</w:t>
      </w:r>
    </w:p>
    <w:p>
      <w:pPr>
        <w:spacing w:after="0" w:line="15" w:lineRule="exact"/>
        <w:rPr>
          <w:sz w:val="20"/>
          <w:szCs w:val="20"/>
          <w:color w:val="auto"/>
        </w:rPr>
      </w:pPr>
    </w:p>
    <w:p>
      <w:pPr>
        <w:ind w:left="6520"/>
        <w:spacing w:after="0"/>
        <w:rPr>
          <w:sz w:val="20"/>
          <w:szCs w:val="20"/>
          <w:color w:val="auto"/>
        </w:rPr>
      </w:pPr>
      <w:r>
        <w:rPr>
          <w:rFonts w:ascii="Arial" w:cs="Arial" w:eastAsia="Arial" w:hAnsi="Arial"/>
          <w:sz w:val="16"/>
          <w:szCs w:val="16"/>
          <w:i w:val="1"/>
          <w:iCs w:val="1"/>
          <w:color w:val="auto"/>
        </w:rPr>
        <w:t>Title: Executive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156845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40"/>
          </w:cols>
          <w:pgMar w:left="240" w:top="125" w:right="71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Top of the Form</w:t>
        </w:r>
      </w:hyperlink>
    </w:p>
    <w:p>
      <w:pPr>
        <w:spacing w:after="0" w:line="231" w:lineRule="exact"/>
        <w:rPr>
          <w:sz w:val="20"/>
          <w:szCs w:val="20"/>
          <w:color w:val="auto"/>
        </w:rPr>
      </w:pPr>
    </w:p>
    <w:tbl>
      <w:tblPr>
        <w:tblLayout w:type="fixed"/>
        <w:tblInd w:w="2300" w:type="dxa"/>
        <w:tblCellMar>
          <w:top w:w="0" w:type="dxa"/>
          <w:left w:w="0" w:type="dxa"/>
          <w:bottom w:w="0" w:type="dxa"/>
          <w:right w:w="0" w:type="dxa"/>
        </w:tblCellMar>
      </w:tblPr>
      <w:tr>
        <w:trPr>
          <w:trHeight w:val="222"/>
        </w:trPr>
        <w:tc>
          <w:tcPr>
            <w:tcW w:w="6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980" w:type="dxa"/>
            <w:vAlign w:val="bottom"/>
            <w:gridSpan w:val="2"/>
          </w:tcPr>
          <w:p>
            <w:pPr>
              <w:ind w:left="1280"/>
              <w:spacing w:after="0"/>
              <w:rPr>
                <w:sz w:val="20"/>
                <w:szCs w:val="20"/>
                <w:color w:val="auto"/>
              </w:rPr>
            </w:pPr>
            <w:r>
              <w:rPr>
                <w:rFonts w:ascii="Arial" w:cs="Arial" w:eastAsia="Arial" w:hAnsi="Arial"/>
                <w:sz w:val="18"/>
                <w:szCs w:val="18"/>
                <w:color w:val="auto"/>
              </w:rPr>
              <w:t>Exhibit Index</w:t>
            </w:r>
          </w:p>
        </w:tc>
      </w:tr>
      <w:tr>
        <w:trPr>
          <w:trHeight w:val="866"/>
        </w:trPr>
        <w:tc>
          <w:tcPr>
            <w:tcW w:w="660" w:type="dxa"/>
            <w:vAlign w:val="bottom"/>
          </w:tcPr>
          <w:p>
            <w:pPr>
              <w:spacing w:after="0"/>
              <w:rPr>
                <w:sz w:val="20"/>
                <w:szCs w:val="20"/>
                <w:color w:val="auto"/>
              </w:rPr>
            </w:pPr>
            <w:r>
              <w:rPr>
                <w:rFonts w:ascii="Arial" w:cs="Arial" w:eastAsia="Arial" w:hAnsi="Arial"/>
                <w:sz w:val="14"/>
                <w:szCs w:val="14"/>
                <w:b w:val="1"/>
                <w:bCs w:val="1"/>
                <w:color w:val="auto"/>
                <w:w w:val="87"/>
              </w:rPr>
              <w:t>Exhibit No.</w:t>
            </w:r>
          </w:p>
        </w:tc>
        <w:tc>
          <w:tcPr>
            <w:tcW w:w="1000" w:type="dxa"/>
            <w:vAlign w:val="bottom"/>
          </w:tcPr>
          <w:p>
            <w:pPr>
              <w:spacing w:after="0"/>
              <w:rPr>
                <w:sz w:val="24"/>
                <w:szCs w:val="24"/>
                <w:color w:val="auto"/>
              </w:rPr>
            </w:pPr>
          </w:p>
        </w:tc>
        <w:tc>
          <w:tcPr>
            <w:tcW w:w="498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660" w:type="dxa"/>
            <w:vAlign w:val="bottom"/>
            <w:tcBorders>
              <w:bottom w:val="single" w:sz="8" w:color="808080"/>
            </w:tcBorders>
          </w:tcPr>
          <w:p>
            <w:pPr>
              <w:spacing w:after="0"/>
              <w:rPr>
                <w:sz w:val="8"/>
                <w:szCs w:val="8"/>
                <w:color w:val="auto"/>
              </w:rPr>
            </w:pPr>
          </w:p>
        </w:tc>
        <w:tc>
          <w:tcPr>
            <w:tcW w:w="1000" w:type="dxa"/>
            <w:vAlign w:val="bottom"/>
          </w:tcPr>
          <w:p>
            <w:pPr>
              <w:spacing w:after="0"/>
              <w:rPr>
                <w:sz w:val="8"/>
                <w:szCs w:val="8"/>
                <w:color w:val="auto"/>
              </w:rPr>
            </w:pPr>
          </w:p>
        </w:tc>
        <w:tc>
          <w:tcPr>
            <w:tcW w:w="458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r>
      <w:tr>
        <w:trPr>
          <w:trHeight w:val="309"/>
        </w:trPr>
        <w:tc>
          <w:tcPr>
            <w:tcW w:w="660" w:type="dxa"/>
            <w:vAlign w:val="bottom"/>
          </w:tcPr>
          <w:p>
            <w:pPr>
              <w:spacing w:after="0"/>
              <w:rPr>
                <w:sz w:val="20"/>
                <w:szCs w:val="20"/>
                <w:color w:val="auto"/>
              </w:rPr>
            </w:pPr>
            <w:r>
              <w:rPr>
                <w:rFonts w:ascii="Arial" w:cs="Arial" w:eastAsia="Arial" w:hAnsi="Arial"/>
                <w:sz w:val="18"/>
                <w:szCs w:val="18"/>
                <w:color w:val="auto"/>
              </w:rPr>
              <w:t>10.1</w:t>
            </w:r>
          </w:p>
        </w:tc>
        <w:tc>
          <w:tcPr>
            <w:tcW w:w="1000" w:type="dxa"/>
            <w:vAlign w:val="bottom"/>
          </w:tcPr>
          <w:p>
            <w:pPr>
              <w:spacing w:after="0"/>
              <w:rPr>
                <w:sz w:val="24"/>
                <w:szCs w:val="24"/>
                <w:color w:val="auto"/>
              </w:rPr>
            </w:pPr>
          </w:p>
        </w:tc>
        <w:tc>
          <w:tcPr>
            <w:tcW w:w="4980" w:type="dxa"/>
            <w:vAlign w:val="bottom"/>
            <w:gridSpan w:val="2"/>
          </w:tcPr>
          <w:p>
            <w:pPr>
              <w:spacing w:after="0"/>
              <w:rPr>
                <w:sz w:val="20"/>
                <w:szCs w:val="20"/>
                <w:color w:val="auto"/>
              </w:rPr>
            </w:pPr>
            <w:r>
              <w:rPr>
                <w:rFonts w:ascii="Arial" w:cs="Arial" w:eastAsia="Arial" w:hAnsi="Arial"/>
                <w:sz w:val="18"/>
                <w:szCs w:val="18"/>
                <w:color w:val="auto"/>
                <w:w w:val="86"/>
              </w:rPr>
              <w:t>Sixth Amendment to Purchase and Sale Agreement, dated as of June 9,</w:t>
            </w:r>
          </w:p>
        </w:tc>
      </w:tr>
      <w:tr>
        <w:trPr>
          <w:trHeight w:val="216"/>
        </w:trPr>
        <w:tc>
          <w:tcPr>
            <w:tcW w:w="6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980" w:type="dxa"/>
            <w:vAlign w:val="bottom"/>
            <w:gridSpan w:val="2"/>
          </w:tcPr>
          <w:p>
            <w:pPr>
              <w:spacing w:after="0"/>
              <w:rPr>
                <w:sz w:val="20"/>
                <w:szCs w:val="20"/>
                <w:color w:val="auto"/>
              </w:rPr>
            </w:pPr>
            <w:r>
              <w:rPr>
                <w:rFonts w:ascii="Arial" w:cs="Arial" w:eastAsia="Arial" w:hAnsi="Arial"/>
                <w:sz w:val="18"/>
                <w:szCs w:val="18"/>
                <w:color w:val="auto"/>
                <w:w w:val="97"/>
              </w:rPr>
              <w:t>2010, between WFN Credit Company, LLC and World Financial</w:t>
            </w:r>
          </w:p>
        </w:tc>
      </w:tr>
      <w:tr>
        <w:trPr>
          <w:trHeight w:val="222"/>
        </w:trPr>
        <w:tc>
          <w:tcPr>
            <w:tcW w:w="6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980" w:type="dxa"/>
            <w:vAlign w:val="bottom"/>
            <w:gridSpan w:val="2"/>
          </w:tcPr>
          <w:p>
            <w:pPr>
              <w:spacing w:after="0"/>
              <w:rPr>
                <w:sz w:val="20"/>
                <w:szCs w:val="20"/>
                <w:color w:val="auto"/>
              </w:rPr>
            </w:pPr>
            <w:r>
              <w:rPr>
                <w:rFonts w:ascii="Arial" w:cs="Arial" w:eastAsia="Arial" w:hAnsi="Arial"/>
                <w:sz w:val="18"/>
                <w:szCs w:val="18"/>
                <w:color w:val="auto"/>
              </w:rPr>
              <w:t>Network National Bank.</w:t>
            </w:r>
          </w:p>
        </w:tc>
      </w:tr>
    </w:tbl>
    <w:p>
      <w:pPr>
        <w:sectPr>
          <w:pgSz w:w="11900" w:h="16838" w:orient="portrait"/>
          <w:cols w:equalWidth="0" w:num="1">
            <w:col w:w="10219"/>
          </w:cols>
          <w:pgMar w:left="240" w:top="125" w:right="1440"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22"/>
          <w:szCs w:val="22"/>
          <w:u w:val="single" w:color="auto"/>
          <w:color w:val="auto"/>
        </w:rPr>
        <w:t>SIXTH AMENDMENT TO PURCHASE AND SALE AGREEMENT</w:t>
      </w:r>
    </w:p>
    <w:p>
      <w:pPr>
        <w:spacing w:after="0" w:line="207" w:lineRule="exact"/>
        <w:rPr>
          <w:sz w:val="20"/>
          <w:szCs w:val="20"/>
          <w:color w:val="auto"/>
        </w:rPr>
      </w:pPr>
    </w:p>
    <w:p>
      <w:pPr>
        <w:ind w:right="20" w:firstLine="456"/>
        <w:spacing w:after="0" w:line="277" w:lineRule="auto"/>
        <w:rPr>
          <w:sz w:val="20"/>
          <w:szCs w:val="20"/>
          <w:color w:val="auto"/>
        </w:rPr>
      </w:pPr>
      <w:r>
        <w:rPr>
          <w:rFonts w:ascii="Arial" w:cs="Arial" w:eastAsia="Arial" w:hAnsi="Arial"/>
          <w:sz w:val="19"/>
          <w:szCs w:val="19"/>
          <w:color w:val="auto"/>
        </w:rPr>
        <w:t>THIS SIXTH AMENDMENT (this “</w:t>
      </w:r>
      <w:r>
        <w:rPr>
          <w:rFonts w:ascii="Arial" w:cs="Arial" w:eastAsia="Arial" w:hAnsi="Arial"/>
          <w:sz w:val="19"/>
          <w:szCs w:val="19"/>
          <w:u w:val="single" w:color="auto"/>
          <w:color w:val="auto"/>
        </w:rPr>
        <w:t>Amendment</w:t>
      </w:r>
      <w:r>
        <w:rPr>
          <w:rFonts w:ascii="Arial" w:cs="Arial" w:eastAsia="Arial" w:hAnsi="Arial"/>
          <w:sz w:val="19"/>
          <w:szCs w:val="19"/>
          <w:color w:val="auto"/>
        </w:rPr>
        <w:t>”) dated as of June 9, 2010 to the Purchase and Sale Agreement, dated as of November 25, 1997 and amended by the First Amendment thereto dated as of July 22, 1999, by the Second Amendment thereto dated as of November 9, 2000, by the Third Amendment thereto dated as of May 8, 2001, by the Fourth Amendment thereto dated as of October 30, 2009 and by the Fifth Amendment thereto dated as of March 11, 2010 (the “</w:t>
      </w:r>
      <w:r>
        <w:rPr>
          <w:rFonts w:ascii="Arial" w:cs="Arial" w:eastAsia="Arial" w:hAnsi="Arial"/>
          <w:sz w:val="19"/>
          <w:szCs w:val="19"/>
          <w:u w:val="single" w:color="auto"/>
          <w:color w:val="auto"/>
        </w:rPr>
        <w:t>Purchase Agreement</w:t>
      </w:r>
      <w:r>
        <w:rPr>
          <w:rFonts w:ascii="Arial" w:cs="Arial" w:eastAsia="Arial" w:hAnsi="Arial"/>
          <w:sz w:val="19"/>
          <w:szCs w:val="19"/>
          <w:color w:val="auto"/>
        </w:rPr>
        <w:t>”), is between WFN CREDIT COMPANY, LLC (“</w:t>
      </w:r>
      <w:r>
        <w:rPr>
          <w:rFonts w:ascii="Arial" w:cs="Arial" w:eastAsia="Arial" w:hAnsi="Arial"/>
          <w:sz w:val="19"/>
          <w:szCs w:val="19"/>
          <w:u w:val="single" w:color="auto"/>
          <w:color w:val="auto"/>
        </w:rPr>
        <w:t>WFN SPV</w:t>
      </w:r>
      <w:r>
        <w:rPr>
          <w:rFonts w:ascii="Arial" w:cs="Arial" w:eastAsia="Arial" w:hAnsi="Arial"/>
          <w:sz w:val="19"/>
          <w:szCs w:val="19"/>
          <w:color w:val="auto"/>
        </w:rPr>
        <w:t>”), successor in interest to Charming Shoppes Receivables Corp., as Purchaser, and WORLD FINANCIAL NETWORK NATIONAL BANK (“</w:t>
      </w:r>
      <w:r>
        <w:rPr>
          <w:rFonts w:ascii="Arial" w:cs="Arial" w:eastAsia="Arial" w:hAnsi="Arial"/>
          <w:sz w:val="19"/>
          <w:szCs w:val="19"/>
          <w:u w:val="single" w:color="auto"/>
          <w:color w:val="auto"/>
        </w:rPr>
        <w:t>WFNNB</w:t>
      </w:r>
      <w:r>
        <w:rPr>
          <w:rFonts w:ascii="Arial" w:cs="Arial" w:eastAsia="Arial" w:hAnsi="Arial"/>
          <w:sz w:val="19"/>
          <w:szCs w:val="19"/>
          <w:color w:val="auto"/>
        </w:rPr>
        <w:t>”), successor in interest to Spirit of America National Bank, as Seller. Unless otherwise defined herein, capitalized terms used herein shall have the meanings assigned in the Purchase Agreement.</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W I T N E S S E T H:</w:t>
      </w:r>
    </w:p>
    <w:p>
      <w:pPr>
        <w:spacing w:after="0" w:line="206" w:lineRule="exact"/>
        <w:rPr>
          <w:sz w:val="20"/>
          <w:szCs w:val="20"/>
          <w:color w:val="auto"/>
        </w:rPr>
      </w:pPr>
    </w:p>
    <w:p>
      <w:pPr>
        <w:ind w:left="460"/>
        <w:spacing w:after="0"/>
        <w:rPr>
          <w:sz w:val="20"/>
          <w:szCs w:val="20"/>
          <w:color w:val="auto"/>
        </w:rPr>
      </w:pPr>
      <w:r>
        <w:rPr>
          <w:rFonts w:ascii="Arial" w:cs="Arial" w:eastAsia="Arial" w:hAnsi="Arial"/>
          <w:sz w:val="22"/>
          <w:szCs w:val="22"/>
          <w:color w:val="auto"/>
        </w:rPr>
        <w:t>WHEREAS, the parties hereto desire to amend the Purchase Agreement in certain respects as set forth herein.</w:t>
      </w:r>
    </w:p>
    <w:p>
      <w:pPr>
        <w:spacing w:after="0" w:line="206" w:lineRule="exact"/>
        <w:rPr>
          <w:sz w:val="20"/>
          <w:szCs w:val="20"/>
          <w:color w:val="auto"/>
        </w:rPr>
      </w:pPr>
    </w:p>
    <w:p>
      <w:pPr>
        <w:ind w:right="60" w:firstLine="456"/>
        <w:spacing w:after="0" w:line="251" w:lineRule="auto"/>
        <w:rPr>
          <w:sz w:val="20"/>
          <w:szCs w:val="20"/>
          <w:color w:val="auto"/>
        </w:rPr>
      </w:pPr>
      <w:r>
        <w:rPr>
          <w:rFonts w:ascii="Arial" w:cs="Arial" w:eastAsia="Arial" w:hAnsi="Arial"/>
          <w:sz w:val="22"/>
          <w:szCs w:val="22"/>
          <w:color w:val="auto"/>
        </w:rPr>
        <w:t>NOW THEREFORE, for good and valuable consideration, the receipt and sufficiency of which are hereby acknowledged, the parties hereto agree as follows:</w:t>
      </w:r>
    </w:p>
    <w:p>
      <w:pPr>
        <w:spacing w:after="0" w:line="173" w:lineRule="exact"/>
        <w:rPr>
          <w:sz w:val="20"/>
          <w:szCs w:val="20"/>
          <w:color w:val="auto"/>
        </w:rPr>
      </w:pPr>
    </w:p>
    <w:p>
      <w:pPr>
        <w:ind w:right="560" w:firstLine="456"/>
        <w:spacing w:after="0" w:line="251" w:lineRule="auto"/>
        <w:rPr>
          <w:sz w:val="20"/>
          <w:szCs w:val="20"/>
          <w:color w:val="auto"/>
        </w:rPr>
      </w:pPr>
      <w:r>
        <w:rPr>
          <w:rFonts w:ascii="Arial" w:cs="Arial" w:eastAsia="Arial" w:hAnsi="Arial"/>
          <w:sz w:val="22"/>
          <w:szCs w:val="22"/>
          <w:color w:val="auto"/>
        </w:rPr>
        <w:t xml:space="preserve">SECTION 1. </w:t>
      </w:r>
      <w:r>
        <w:rPr>
          <w:rFonts w:ascii="Arial" w:cs="Arial" w:eastAsia="Arial" w:hAnsi="Arial"/>
          <w:sz w:val="22"/>
          <w:szCs w:val="22"/>
          <w:u w:val="single" w:color="auto"/>
          <w:color w:val="auto"/>
        </w:rPr>
        <w:t>Amendments to the Purchase Agreement</w:t>
      </w:r>
      <w:r>
        <w:rPr>
          <w:rFonts w:ascii="Arial" w:cs="Arial" w:eastAsia="Arial" w:hAnsi="Arial"/>
          <w:sz w:val="22"/>
          <w:szCs w:val="22"/>
          <w:color w:val="auto"/>
        </w:rPr>
        <w:t>. Section 2.3(c) is hereby amended by amending and restating the proviso in the last sentence therein its entirety to read as follows:</w:t>
      </w:r>
    </w:p>
    <w:p>
      <w:pPr>
        <w:spacing w:after="0" w:line="173" w:lineRule="exact"/>
        <w:rPr>
          <w:sz w:val="20"/>
          <w:szCs w:val="20"/>
          <w:color w:val="auto"/>
        </w:rPr>
      </w:pPr>
    </w:p>
    <w:p>
      <w:pPr>
        <w:ind w:left="460" w:right="580"/>
        <w:spacing w:after="0" w:line="252" w:lineRule="auto"/>
        <w:rPr>
          <w:sz w:val="20"/>
          <w:szCs w:val="20"/>
          <w:color w:val="auto"/>
        </w:rPr>
      </w:pP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the Seller may not decrease the required minimum monthly payment or periodic finance charge (collectively, a “</w:t>
      </w:r>
      <w:r>
        <w:rPr>
          <w:rFonts w:ascii="Arial" w:cs="Arial" w:eastAsia="Arial" w:hAnsi="Arial"/>
          <w:sz w:val="21"/>
          <w:szCs w:val="21"/>
          <w:u w:val="single" w:color="auto"/>
          <w:color w:val="auto"/>
        </w:rPr>
        <w:t>Yield Change</w:t>
      </w:r>
      <w:r>
        <w:rPr>
          <w:rFonts w:ascii="Arial" w:cs="Arial" w:eastAsia="Arial" w:hAnsi="Arial"/>
          <w:sz w:val="21"/>
          <w:szCs w:val="21"/>
          <w:color w:val="auto"/>
        </w:rPr>
        <w:t>”) unless, after five Business Days’ prior written notice to the Rating Agency of a Yield Change, the Rating Agency shall have provided written notice to the Seller that the Rating Agency Condition shall be satisfied or unless such Yield Change is mandated by applicable law.</w:t>
      </w:r>
    </w:p>
    <w:p>
      <w:pPr>
        <w:spacing w:after="0" w:line="174" w:lineRule="exact"/>
        <w:rPr>
          <w:sz w:val="20"/>
          <w:szCs w:val="20"/>
          <w:color w:val="auto"/>
        </w:rPr>
      </w:pPr>
    </w:p>
    <w:p>
      <w:pPr>
        <w:jc w:val="both"/>
        <w:ind w:right="420" w:firstLine="456"/>
        <w:spacing w:after="0" w:line="297" w:lineRule="auto"/>
        <w:rPr>
          <w:sz w:val="20"/>
          <w:szCs w:val="20"/>
          <w:color w:val="auto"/>
        </w:rPr>
      </w:pPr>
      <w:r>
        <w:rPr>
          <w:rFonts w:ascii="Arial" w:cs="Arial" w:eastAsia="Arial" w:hAnsi="Arial"/>
          <w:sz w:val="19"/>
          <w:szCs w:val="19"/>
          <w:color w:val="auto"/>
        </w:rPr>
        <w:t xml:space="preserve">SECTION 2. </w:t>
      </w:r>
      <w:r>
        <w:rPr>
          <w:rFonts w:ascii="Arial" w:cs="Arial" w:eastAsia="Arial" w:hAnsi="Arial"/>
          <w:sz w:val="19"/>
          <w:szCs w:val="19"/>
          <w:u w:val="single" w:color="auto"/>
          <w:color w:val="auto"/>
        </w:rPr>
        <w:t>Amendment Date</w:t>
      </w:r>
      <w:r>
        <w:rPr>
          <w:rFonts w:ascii="Arial" w:cs="Arial" w:eastAsia="Arial" w:hAnsi="Arial"/>
          <w:sz w:val="19"/>
          <w:szCs w:val="19"/>
          <w:color w:val="auto"/>
        </w:rPr>
        <w:t>. The amendments shall become effective as of the date hereof provided that the following shall have occurred: (a) receipt by each of the parties hereto of counterparts duly executed and delivered by each of the parties hereto and (b) satisfaction of each of the conditions precedent described in Section 7.1(a) of the Purchase Agreement.</w:t>
      </w:r>
    </w:p>
    <w:p>
      <w:pPr>
        <w:spacing w:after="0" w:line="134" w:lineRule="exact"/>
        <w:rPr>
          <w:sz w:val="20"/>
          <w:szCs w:val="20"/>
          <w:color w:val="auto"/>
        </w:rPr>
      </w:pPr>
    </w:p>
    <w:p>
      <w:pPr>
        <w:ind w:firstLine="456"/>
        <w:spacing w:after="0" w:line="238" w:lineRule="auto"/>
        <w:rPr>
          <w:sz w:val="20"/>
          <w:szCs w:val="20"/>
          <w:color w:val="auto"/>
        </w:rPr>
      </w:pPr>
      <w:r>
        <w:rPr>
          <w:rFonts w:ascii="Arial" w:cs="Arial" w:eastAsia="Arial" w:hAnsi="Arial"/>
          <w:sz w:val="22"/>
          <w:szCs w:val="22"/>
          <w:color w:val="auto"/>
        </w:rPr>
        <w:t xml:space="preserve">SECTION 3. </w:t>
      </w:r>
      <w:r>
        <w:rPr>
          <w:rFonts w:ascii="Arial" w:cs="Arial" w:eastAsia="Arial" w:hAnsi="Arial"/>
          <w:sz w:val="22"/>
          <w:szCs w:val="22"/>
          <w:u w:val="single" w:color="auto"/>
          <w:color w:val="auto"/>
        </w:rPr>
        <w:t>Governing Law</w:t>
      </w:r>
      <w:r>
        <w:rPr>
          <w:rFonts w:ascii="Arial" w:cs="Arial" w:eastAsia="Arial" w:hAnsi="Arial"/>
          <w:sz w:val="22"/>
          <w:szCs w:val="22"/>
          <w:color w:val="auto"/>
        </w:rPr>
        <w:t>. THIS AGREEMENT SHALL BE CONSTRUED IN ACCORDANCE WITH THE LAWS OF THE STATE OF NEW YORK WITHOUT REFERENCE TO ITS CONFLICT OF LAW PROVISIONS, AND THE OBLIGATIONS, RIGHTS AND REMEDIES OF THE PARTIES HEREUNDER SHALL BE DETERMINED IN ACCORDANCE WITH SUCH LAWS.</w:t>
      </w:r>
    </w:p>
    <w:p>
      <w:pPr>
        <w:spacing w:after="0" w:line="185" w:lineRule="exact"/>
        <w:rPr>
          <w:sz w:val="20"/>
          <w:szCs w:val="20"/>
          <w:color w:val="auto"/>
        </w:rPr>
      </w:pPr>
    </w:p>
    <w:p>
      <w:pPr>
        <w:ind w:right="20" w:firstLine="456"/>
        <w:spacing w:after="0" w:line="252" w:lineRule="auto"/>
        <w:rPr>
          <w:sz w:val="20"/>
          <w:szCs w:val="20"/>
          <w:color w:val="auto"/>
        </w:rPr>
      </w:pPr>
      <w:r>
        <w:rPr>
          <w:rFonts w:ascii="Arial" w:cs="Arial" w:eastAsia="Arial" w:hAnsi="Arial"/>
          <w:sz w:val="21"/>
          <w:szCs w:val="21"/>
          <w:color w:val="auto"/>
        </w:rPr>
        <w:t xml:space="preserve">SECTION 4. </w:t>
      </w:r>
      <w:r>
        <w:rPr>
          <w:rFonts w:ascii="Arial" w:cs="Arial" w:eastAsia="Arial" w:hAnsi="Arial"/>
          <w:sz w:val="21"/>
          <w:szCs w:val="21"/>
          <w:u w:val="single" w:color="auto"/>
          <w:color w:val="auto"/>
        </w:rPr>
        <w:t>Severability</w:t>
      </w:r>
      <w:r>
        <w:rPr>
          <w:rFonts w:ascii="Arial" w:cs="Arial" w:eastAsia="Arial" w:hAnsi="Arial"/>
          <w:sz w:val="21"/>
          <w:szCs w:val="21"/>
          <w:color w:val="auto"/>
        </w:rPr>
        <w:t>. Each provision of this Amendment shall be severable from every other provision of this Amendment for the purpose of determining the legal enforceability of any provision hereof, and the unenforceability of any provision hereof, and the unenforceability of one or more provisions of this Amendment in one jurisdiction shall not have the effect of rendering such provision or provisions unenforceable in any other jurisdiction.</w:t>
      </w:r>
    </w:p>
    <w:p>
      <w:pPr>
        <w:spacing w:after="0" w:line="174" w:lineRule="exact"/>
        <w:rPr>
          <w:sz w:val="20"/>
          <w:szCs w:val="20"/>
          <w:color w:val="auto"/>
        </w:rPr>
      </w:pPr>
    </w:p>
    <w:p>
      <w:pPr>
        <w:ind w:right="120" w:firstLine="456"/>
        <w:spacing w:after="0" w:line="282" w:lineRule="auto"/>
        <w:rPr>
          <w:sz w:val="20"/>
          <w:szCs w:val="20"/>
          <w:color w:val="auto"/>
        </w:rPr>
      </w:pPr>
      <w:r>
        <w:rPr>
          <w:rFonts w:ascii="Arial" w:cs="Arial" w:eastAsia="Arial" w:hAnsi="Arial"/>
          <w:sz w:val="19"/>
          <w:szCs w:val="19"/>
          <w:color w:val="auto"/>
        </w:rPr>
        <w:t xml:space="preserve">SECTION 5. </w:t>
      </w:r>
      <w:r>
        <w:rPr>
          <w:rFonts w:ascii="Arial" w:cs="Arial" w:eastAsia="Arial" w:hAnsi="Arial"/>
          <w:sz w:val="19"/>
          <w:szCs w:val="19"/>
          <w:u w:val="single" w:color="auto"/>
          <w:color w:val="auto"/>
        </w:rPr>
        <w:t>Ratification of the Purchase Agreement</w:t>
      </w:r>
      <w:r>
        <w:rPr>
          <w:rFonts w:ascii="Arial" w:cs="Arial" w:eastAsia="Arial" w:hAnsi="Arial"/>
          <w:sz w:val="19"/>
          <w:szCs w:val="19"/>
          <w:color w:val="auto"/>
        </w:rPr>
        <w:t>. From and after the Amendment Date, each reference in the Purchase Agreement to “this Agreement”, “hereunder”, “hereof”, “herein” or words of like import, and references to the Purchase Agreement in any other document, instrument or agreement executed and/or delivered in connection therewith, shall, in each case, mean and be a reference to the Purchase Agreement as amended hereby. Except as otherwise amended by this Amendment, the Purchase Agreement shall continue in full force and effect and is hereby ratified and confirmed.</w:t>
      </w:r>
    </w:p>
    <w:p>
      <w:pPr>
        <w:spacing w:after="0" w:line="148" w:lineRule="exact"/>
        <w:rPr>
          <w:sz w:val="20"/>
          <w:szCs w:val="20"/>
          <w:color w:val="auto"/>
        </w:rPr>
      </w:pPr>
    </w:p>
    <w:p>
      <w:pPr>
        <w:ind w:right="80" w:firstLine="456"/>
        <w:spacing w:after="0" w:line="251" w:lineRule="auto"/>
        <w:rPr>
          <w:sz w:val="20"/>
          <w:szCs w:val="20"/>
          <w:color w:val="auto"/>
        </w:rPr>
      </w:pPr>
      <w:r>
        <w:rPr>
          <w:rFonts w:ascii="Arial" w:cs="Arial" w:eastAsia="Arial" w:hAnsi="Arial"/>
          <w:sz w:val="22"/>
          <w:szCs w:val="22"/>
          <w:color w:val="auto"/>
        </w:rPr>
        <w:t xml:space="preserve">SECTION 6. </w:t>
      </w:r>
      <w:r>
        <w:rPr>
          <w:rFonts w:ascii="Arial" w:cs="Arial" w:eastAsia="Arial" w:hAnsi="Arial"/>
          <w:sz w:val="22"/>
          <w:szCs w:val="22"/>
          <w:u w:val="single" w:color="auto"/>
          <w:color w:val="auto"/>
        </w:rPr>
        <w:t>Counterparts</w:t>
      </w:r>
      <w:r>
        <w:rPr>
          <w:rFonts w:ascii="Arial" w:cs="Arial" w:eastAsia="Arial" w:hAnsi="Arial"/>
          <w:sz w:val="22"/>
          <w:szCs w:val="22"/>
          <w:color w:val="auto"/>
        </w:rPr>
        <w:t>. This Amendment may be executed in one or more counterparts, each of which shall be deemed to be an original, but all of which together shall constitute one and the same instrument.</w:t>
      </w:r>
    </w:p>
    <w:p>
      <w:pPr>
        <w:spacing w:after="0" w:line="173" w:lineRule="exact"/>
        <w:rPr>
          <w:sz w:val="20"/>
          <w:szCs w:val="20"/>
          <w:color w:val="auto"/>
        </w:rPr>
      </w:pPr>
    </w:p>
    <w:p>
      <w:pPr>
        <w:ind w:left="3780"/>
        <w:spacing w:after="0"/>
        <w:rPr>
          <w:sz w:val="20"/>
          <w:szCs w:val="20"/>
          <w:color w:val="auto"/>
        </w:rPr>
      </w:pPr>
      <w:r>
        <w:rPr>
          <w:rFonts w:ascii="Arial" w:cs="Arial" w:eastAsia="Arial" w:hAnsi="Arial"/>
          <w:sz w:val="22"/>
          <w:szCs w:val="22"/>
          <w:color w:val="auto"/>
        </w:rPr>
        <w:t>[Remainder of page intentionally left blank.]</w:t>
      </w:r>
    </w:p>
    <w:p>
      <w:pPr>
        <w:spacing w:after="0" w:line="206" w:lineRule="exact"/>
        <w:rPr>
          <w:sz w:val="20"/>
          <w:szCs w:val="20"/>
          <w:color w:val="auto"/>
        </w:rPr>
      </w:pPr>
    </w:p>
    <w:p>
      <w:pPr>
        <w:ind w:left="460"/>
        <w:spacing w:after="0"/>
        <w:rPr>
          <w:sz w:val="20"/>
          <w:szCs w:val="20"/>
          <w:color w:val="auto"/>
        </w:rPr>
      </w:pPr>
      <w:r>
        <w:rPr>
          <w:rFonts w:ascii="Arial" w:cs="Arial" w:eastAsia="Arial" w:hAnsi="Arial"/>
          <w:sz w:val="19"/>
          <w:szCs w:val="19"/>
          <w:color w:val="auto"/>
        </w:rPr>
        <w:t>IN WITNESS WHEREOF, the parties hereto have caused this Amendment to be executed as of the date first above written.</w:t>
      </w:r>
    </w:p>
    <w:p>
      <w:pPr>
        <w:spacing w:after="0" w:line="235" w:lineRule="exact"/>
        <w:rPr>
          <w:sz w:val="20"/>
          <w:szCs w:val="20"/>
          <w:color w:val="auto"/>
        </w:rPr>
      </w:pPr>
    </w:p>
    <w:p>
      <w:pPr>
        <w:ind w:left="2300"/>
        <w:spacing w:after="0"/>
        <w:rPr>
          <w:sz w:val="20"/>
          <w:szCs w:val="20"/>
          <w:color w:val="auto"/>
        </w:rPr>
      </w:pPr>
      <w:r>
        <w:rPr>
          <w:rFonts w:ascii="Arial" w:cs="Arial" w:eastAsia="Arial" w:hAnsi="Arial"/>
          <w:sz w:val="22"/>
          <w:szCs w:val="22"/>
          <w:b w:val="1"/>
          <w:bCs w:val="1"/>
          <w:color w:val="auto"/>
        </w:rPr>
        <w:t>WFN CREDIT COMPANY, LLC</w:t>
      </w:r>
      <w:r>
        <w:rPr>
          <w:rFonts w:ascii="Arial" w:cs="Arial" w:eastAsia="Arial" w:hAnsi="Arial"/>
          <w:sz w:val="22"/>
          <w:szCs w:val="22"/>
          <w:color w:val="auto"/>
        </w:rPr>
        <w:t>, as Purchaser</w:t>
      </w:r>
    </w:p>
    <w:p>
      <w:pPr>
        <w:spacing w:after="0" w:line="212" w:lineRule="exact"/>
        <w:rPr>
          <w:sz w:val="20"/>
          <w:szCs w:val="20"/>
          <w:color w:val="auto"/>
        </w:rPr>
      </w:pPr>
    </w:p>
    <w:p>
      <w:pPr>
        <w:ind w:left="2300"/>
        <w:spacing w:after="0"/>
        <w:rPr>
          <w:sz w:val="20"/>
          <w:szCs w:val="20"/>
          <w:color w:val="auto"/>
        </w:rPr>
      </w:pPr>
      <w:r>
        <w:rPr>
          <w:rFonts w:ascii="Arial" w:cs="Arial" w:eastAsia="Arial" w:hAnsi="Arial"/>
          <w:sz w:val="22"/>
          <w:szCs w:val="22"/>
          <w:color w:val="auto"/>
        </w:rPr>
        <w:t>By:</w:t>
      </w:r>
      <w:r>
        <w:rPr>
          <w:rFonts w:ascii="Arial" w:cs="Arial" w:eastAsia="Arial" w:hAnsi="Arial"/>
          <w:sz w:val="22"/>
          <w:szCs w:val="22"/>
          <w:u w:val="single" w:color="auto"/>
          <w:color w:val="auto"/>
        </w:rPr>
        <w:t>/s/ Daniel T. Groomes</w:t>
      </w:r>
    </w:p>
    <w:p>
      <w:pPr>
        <w:ind w:left="2300"/>
        <w:spacing w:after="0" w:line="238" w:lineRule="auto"/>
        <w:rPr>
          <w:sz w:val="20"/>
          <w:szCs w:val="20"/>
          <w:color w:val="auto"/>
        </w:rPr>
      </w:pPr>
      <w:r>
        <w:rPr>
          <w:rFonts w:ascii="Arial" w:cs="Arial" w:eastAsia="Arial" w:hAnsi="Arial"/>
          <w:sz w:val="22"/>
          <w:szCs w:val="22"/>
          <w:color w:val="auto"/>
        </w:rPr>
        <w:t>Name: Daniel T. Groomes</w:t>
      </w:r>
    </w:p>
    <w:p>
      <w:pPr>
        <w:ind w:left="2300"/>
        <w:spacing w:after="0"/>
        <w:rPr>
          <w:sz w:val="20"/>
          <w:szCs w:val="20"/>
          <w:color w:val="auto"/>
        </w:rPr>
      </w:pPr>
      <w:r>
        <w:rPr>
          <w:rFonts w:ascii="Arial" w:cs="Arial" w:eastAsia="Arial" w:hAnsi="Arial"/>
          <w:sz w:val="22"/>
          <w:szCs w:val="22"/>
          <w:color w:val="auto"/>
        </w:rPr>
        <w:t>Title: President</w:t>
      </w:r>
    </w:p>
    <w:p>
      <w:pPr>
        <w:spacing w:after="0" w:line="182" w:lineRule="exact"/>
        <w:rPr>
          <w:sz w:val="20"/>
          <w:szCs w:val="20"/>
          <w:color w:val="auto"/>
        </w:rPr>
      </w:pPr>
    </w:p>
    <w:p>
      <w:pPr>
        <w:ind w:left="2300"/>
        <w:spacing w:after="0"/>
        <w:rPr>
          <w:sz w:val="20"/>
          <w:szCs w:val="20"/>
          <w:color w:val="auto"/>
        </w:rPr>
      </w:pPr>
      <w:r>
        <w:rPr>
          <w:rFonts w:ascii="Arial" w:cs="Arial" w:eastAsia="Arial" w:hAnsi="Arial"/>
          <w:sz w:val="22"/>
          <w:szCs w:val="22"/>
          <w:b w:val="1"/>
          <w:bCs w:val="1"/>
          <w:color w:val="auto"/>
        </w:rPr>
        <w:t>WORLD FINANCIAL NETWORK NATIONAL BANK</w:t>
      </w:r>
      <w:r>
        <w:rPr>
          <w:rFonts w:ascii="Arial" w:cs="Arial" w:eastAsia="Arial" w:hAnsi="Arial"/>
          <w:sz w:val="22"/>
          <w:szCs w:val="22"/>
          <w:color w:val="auto"/>
        </w:rPr>
        <w:t>, as Seller</w:t>
      </w:r>
    </w:p>
    <w:p>
      <w:pPr>
        <w:spacing w:after="0" w:line="212" w:lineRule="exact"/>
        <w:rPr>
          <w:sz w:val="20"/>
          <w:szCs w:val="20"/>
          <w:color w:val="auto"/>
        </w:rPr>
      </w:pPr>
    </w:p>
    <w:p>
      <w:pPr>
        <w:ind w:left="2300"/>
        <w:spacing w:after="0"/>
        <w:rPr>
          <w:sz w:val="20"/>
          <w:szCs w:val="20"/>
          <w:color w:val="auto"/>
        </w:rPr>
      </w:pPr>
      <w:r>
        <w:rPr>
          <w:rFonts w:ascii="Arial" w:cs="Arial" w:eastAsia="Arial" w:hAnsi="Arial"/>
          <w:sz w:val="22"/>
          <w:szCs w:val="22"/>
          <w:color w:val="auto"/>
        </w:rPr>
        <w:t>By:</w:t>
      </w:r>
      <w:r>
        <w:rPr>
          <w:rFonts w:ascii="Arial" w:cs="Arial" w:eastAsia="Arial" w:hAnsi="Arial"/>
          <w:sz w:val="22"/>
          <w:szCs w:val="22"/>
          <w:u w:val="single" w:color="auto"/>
          <w:color w:val="auto"/>
        </w:rPr>
        <w:t>/s/ Ronald C. Reed</w:t>
      </w:r>
    </w:p>
    <w:p>
      <w:pPr>
        <w:ind w:left="2300"/>
        <w:spacing w:after="0" w:line="238" w:lineRule="auto"/>
        <w:rPr>
          <w:sz w:val="20"/>
          <w:szCs w:val="20"/>
          <w:color w:val="auto"/>
        </w:rPr>
      </w:pPr>
      <w:r>
        <w:rPr>
          <w:rFonts w:ascii="Arial" w:cs="Arial" w:eastAsia="Arial" w:hAnsi="Arial"/>
          <w:sz w:val="22"/>
          <w:szCs w:val="22"/>
          <w:color w:val="auto"/>
        </w:rPr>
        <w:t>Name: Ronald C. Reed</w:t>
      </w:r>
    </w:p>
    <w:p>
      <w:pPr>
        <w:ind w:left="2300"/>
        <w:spacing w:after="0"/>
        <w:rPr>
          <w:sz w:val="20"/>
          <w:szCs w:val="20"/>
          <w:color w:val="auto"/>
        </w:rPr>
      </w:pPr>
      <w:r>
        <w:rPr>
          <w:rFonts w:ascii="Arial" w:cs="Arial" w:eastAsia="Arial" w:hAnsi="Arial"/>
          <w:sz w:val="22"/>
          <w:szCs w:val="22"/>
          <w:color w:val="auto"/>
        </w:rPr>
        <w:t>Title: Treasurer</w:t>
      </w:r>
    </w:p>
    <w:sectPr>
      <w:pgSz w:w="11900" w:h="16838" w:orient="portrait"/>
      <w:cols w:equalWidth="0" w:num="1">
        <w:col w:w="11400"/>
      </w:cols>
      <w:pgMar w:left="240" w:top="118"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2019-12-10T19:19:29Z</dcterms:created>
  <dcterms:modified xsi:type="dcterms:W3CDTF">2019-12-10T19:19:29Z</dcterms:modified>
</cp:coreProperties>
</file>