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5" w:lineRule="exact"/>
        <w:rPr>
          <w:sz w:val="24"/>
          <w:szCs w:val="24"/>
          <w:color w:val="auto"/>
        </w:rPr>
      </w:pPr>
    </w:p>
    <w:p>
      <w:pPr>
        <w:ind w:left="660" w:right="2680" w:hanging="652"/>
        <w:spacing w:after="0" w:line="257" w:lineRule="auto"/>
        <w:tabs>
          <w:tab w:leader="none" w:pos="32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16"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001-15749</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BREAD FINANCIAL HOLDINGS,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69215</wp:posOffset>
            </wp:positionV>
            <wp:extent cx="34290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408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31-1429215</w:t>
            </w:r>
          </w:p>
        </w:tc>
      </w:tr>
      <w:tr>
        <w:trPr>
          <w:trHeight w:val="168"/>
        </w:trPr>
        <w:tc>
          <w:tcPr>
            <w:tcW w:w="4080" w:type="dxa"/>
            <w:vAlign w:val="bottom"/>
          </w:tcPr>
          <w:p>
            <w:pPr>
              <w:jc w:val="center"/>
              <w:ind w:right="1899"/>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20" w:type="dxa"/>
            <w:vAlign w:val="bottom"/>
          </w:tcPr>
          <w:p>
            <w:pPr>
              <w:jc w:val="center"/>
              <w:ind w:left="1879"/>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8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80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3095 Loyalty Circle</w:t>
            </w:r>
          </w:p>
        </w:tc>
        <w:tc>
          <w:tcPr>
            <w:tcW w:w="3420" w:type="dxa"/>
            <w:vAlign w:val="bottom"/>
          </w:tcPr>
          <w:p>
            <w:pPr>
              <w:spacing w:after="0"/>
              <w:rPr>
                <w:sz w:val="19"/>
                <w:szCs w:val="19"/>
                <w:color w:val="auto"/>
              </w:rPr>
            </w:pPr>
          </w:p>
        </w:tc>
      </w:tr>
      <w:tr>
        <w:trPr>
          <w:trHeight w:val="236"/>
        </w:trPr>
        <w:tc>
          <w:tcPr>
            <w:tcW w:w="3480" w:type="dxa"/>
            <w:vAlign w:val="bottom"/>
          </w:tcPr>
          <w:p>
            <w:pPr>
              <w:jc w:val="center"/>
              <w:ind w:left="2055"/>
              <w:spacing w:after="0"/>
              <w:rPr>
                <w:sz w:val="20"/>
                <w:szCs w:val="20"/>
                <w:color w:val="auto"/>
              </w:rPr>
            </w:pPr>
            <w:r>
              <w:rPr>
                <w:rFonts w:ascii="Times New Roman" w:cs="Times New Roman" w:eastAsia="Times New Roman" w:hAnsi="Times New Roman"/>
                <w:sz w:val="18"/>
                <w:szCs w:val="18"/>
                <w:b w:val="1"/>
                <w:bCs w:val="1"/>
                <w:color w:val="auto"/>
                <w:w w:val="99"/>
              </w:rPr>
              <w:t>Columbus, Ohio</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20" w:type="dxa"/>
            <w:vAlign w:val="bottom"/>
          </w:tcPr>
          <w:p>
            <w:pPr>
              <w:jc w:val="right"/>
              <w:ind w:right="2477"/>
              <w:spacing w:after="0"/>
              <w:rPr>
                <w:sz w:val="20"/>
                <w:szCs w:val="20"/>
                <w:color w:val="auto"/>
              </w:rPr>
            </w:pPr>
            <w:r>
              <w:rPr>
                <w:rFonts w:ascii="Times New Roman" w:cs="Times New Roman" w:eastAsia="Times New Roman" w:hAnsi="Times New Roman"/>
                <w:sz w:val="18"/>
                <w:szCs w:val="18"/>
                <w:b w:val="1"/>
                <w:bCs w:val="1"/>
                <w:color w:val="auto"/>
              </w:rPr>
              <w:t>43219</w:t>
            </w:r>
          </w:p>
        </w:tc>
      </w:tr>
      <w:tr>
        <w:trPr>
          <w:trHeight w:val="212"/>
        </w:trPr>
        <w:tc>
          <w:tcPr>
            <w:tcW w:w="7800" w:type="dxa"/>
            <w:vAlign w:val="bottom"/>
            <w:gridSpan w:val="6"/>
          </w:tcPr>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420" w:type="dxa"/>
            <w:vAlign w:val="bottom"/>
          </w:tcPr>
          <w:p>
            <w:pPr>
              <w:jc w:val="center"/>
              <w:ind w:right="2077"/>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82"/>
        </w:trPr>
        <w:tc>
          <w:tcPr>
            <w:tcW w:w="3480" w:type="dxa"/>
            <w:vAlign w:val="bottom"/>
          </w:tcPr>
          <w:p>
            <w:pPr>
              <w:spacing w:after="0"/>
              <w:rPr>
                <w:sz w:val="24"/>
                <w:szCs w:val="24"/>
                <w:color w:val="auto"/>
              </w:rPr>
            </w:pPr>
          </w:p>
        </w:tc>
        <w:tc>
          <w:tcPr>
            <w:tcW w:w="380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(614) 729-4000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91"/>
        </w:trPr>
        <w:tc>
          <w:tcPr>
            <w:tcW w:w="3480" w:type="dxa"/>
            <w:vAlign w:val="bottom"/>
          </w:tcPr>
          <w:p>
            <w:pPr>
              <w:spacing w:after="0"/>
              <w:rPr>
                <w:sz w:val="16"/>
                <w:szCs w:val="16"/>
                <w:color w:val="auto"/>
              </w:rPr>
            </w:pPr>
          </w:p>
        </w:tc>
        <w:tc>
          <w:tcPr>
            <w:tcW w:w="43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420" w:type="dxa"/>
            <w:vAlign w:val="bottom"/>
          </w:tcPr>
          <w:p>
            <w:pPr>
              <w:spacing w:after="0"/>
              <w:rPr>
                <w:sz w:val="16"/>
                <w:szCs w:val="16"/>
                <w:color w:val="auto"/>
              </w:rPr>
            </w:pPr>
          </w:p>
        </w:tc>
      </w:tr>
      <w:tr>
        <w:trPr>
          <w:trHeight w:val="282"/>
        </w:trPr>
        <w:tc>
          <w:tcPr>
            <w:tcW w:w="3480" w:type="dxa"/>
            <w:vAlign w:val="bottom"/>
          </w:tcPr>
          <w:p>
            <w:pPr>
              <w:spacing w:after="0"/>
              <w:rPr>
                <w:sz w:val="24"/>
                <w:szCs w:val="24"/>
                <w:color w:val="auto"/>
              </w:rPr>
            </w:pPr>
          </w:p>
        </w:tc>
        <w:tc>
          <w:tcPr>
            <w:tcW w:w="432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w w:val="98"/>
              </w:rPr>
              <w:t>_______________________________________</w:t>
            </w:r>
          </w:p>
        </w:tc>
        <w:tc>
          <w:tcPr>
            <w:tcW w:w="3420" w:type="dxa"/>
            <w:vAlign w:val="bottom"/>
          </w:tcPr>
          <w:p>
            <w:pPr>
              <w:spacing w:after="0"/>
              <w:rPr>
                <w:sz w:val="24"/>
                <w:szCs w:val="24"/>
                <w:color w:val="auto"/>
              </w:rPr>
            </w:pPr>
          </w:p>
        </w:tc>
      </w:tr>
      <w:tr>
        <w:trPr>
          <w:trHeight w:val="306"/>
        </w:trPr>
        <w:tc>
          <w:tcPr>
            <w:tcW w:w="3480" w:type="dxa"/>
            <w:vAlign w:val="bottom"/>
          </w:tcPr>
          <w:p>
            <w:pPr>
              <w:spacing w:after="0"/>
              <w:rPr>
                <w:sz w:val="24"/>
                <w:szCs w:val="24"/>
                <w:color w:val="auto"/>
              </w:rPr>
            </w:pPr>
          </w:p>
        </w:tc>
        <w:tc>
          <w:tcPr>
            <w:tcW w:w="43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20" w:type="dxa"/>
            <w:vAlign w:val="bottom"/>
          </w:tcPr>
          <w:p>
            <w:pPr>
              <w:spacing w:after="0"/>
              <w:rPr>
                <w:sz w:val="24"/>
                <w:szCs w:val="24"/>
                <w:color w:val="auto"/>
              </w:rPr>
            </w:pPr>
          </w:p>
        </w:tc>
      </w:tr>
      <w:tr>
        <w:trPr>
          <w:trHeight w:val="340"/>
        </w:trPr>
        <w:tc>
          <w:tcPr>
            <w:tcW w:w="3480" w:type="dxa"/>
            <w:vAlign w:val="bottom"/>
          </w:tcPr>
          <w:p>
            <w:pPr>
              <w:jc w:val="center"/>
              <w:ind w:left="255"/>
              <w:spacing w:after="0"/>
              <w:rPr>
                <w:sz w:val="20"/>
                <w:szCs w:val="20"/>
                <w:color w:val="auto"/>
              </w:rPr>
            </w:pPr>
            <w:r>
              <w:rPr>
                <w:rFonts w:ascii="Times New Roman" w:cs="Times New Roman" w:eastAsia="Times New Roman" w:hAnsi="Times New Roman"/>
                <w:sz w:val="16"/>
                <w:szCs w:val="16"/>
                <w:color w:val="auto"/>
              </w:rPr>
              <w:t>Title of each class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Trading symbol</w:t>
            </w:r>
          </w:p>
        </w:tc>
        <w:tc>
          <w:tcPr>
            <w:tcW w:w="3420" w:type="dxa"/>
            <w:vAlign w:val="bottom"/>
          </w:tcPr>
          <w:p>
            <w:pPr>
              <w:jc w:val="center"/>
              <w:ind w:right="337"/>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480" w:type="dxa"/>
            <w:vAlign w:val="bottom"/>
            <w:tcBorders>
              <w:top w:val="single" w:sz="8" w:color="auto"/>
            </w:tcBorders>
          </w:tcPr>
          <w:p>
            <w:pPr>
              <w:jc w:val="center"/>
              <w:ind w:left="255"/>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BFH</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94"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p>
    <w:p>
      <w:pPr>
        <w:spacing w:after="0"/>
        <w:rPr>
          <w:sz w:val="20"/>
          <w:szCs w:val="20"/>
          <w:color w:val="auto"/>
        </w:rPr>
      </w:pPr>
      <w:r>
        <w:rPr>
          <w:rFonts w:ascii="Wingdings" w:cs="Wingdings" w:eastAsia="Wingdings" w:hAnsi="Wingdings"/>
          <w:sz w:val="14"/>
          <w:szCs w:val="14"/>
          <w:b w:val="1"/>
          <w:bCs w:val="1"/>
          <w:color w:val="auto"/>
        </w:rPr>
        <w:t>o</w:t>
      </w:r>
    </w:p>
    <w:p>
      <w:pPr>
        <w:spacing w:after="0" w:line="109"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Smaller reporting company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14"/>
          <w:szCs w:val="14"/>
          <w:b w:val="1"/>
          <w:bCs w:val="1"/>
          <w:color w:val="auto"/>
        </w:rPr>
        <w:t>o</w:t>
      </w:r>
    </w:p>
    <w:p>
      <w:pPr>
        <w:spacing w:after="0" w:line="11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374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As of April 23, 2025, 46,549,180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gridSpan w:val="1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11"/>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4"/>
            <w:vMerge w:val="restart"/>
          </w:tcPr>
          <w:p>
            <w:pPr>
              <w:jc w:val="center"/>
              <w:ind w:right="240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60" w:type="dxa"/>
            <w:vAlign w:val="bottom"/>
            <w:gridSpan w:val="14"/>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months ended March 31, 2025 and 2024</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31, 2025 and 2024</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2025 and December 31, 2024</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2025 and 2024</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2025 and 2024</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(MD&amp;A)</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60" w:type="dxa"/>
            <w:vAlign w:val="bottom"/>
            <w:gridSpan w:val="12"/>
          </w:tcPr>
          <w:p>
            <w:pPr>
              <w:jc w:val="center"/>
              <w:ind w:right="31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(MD&amp;A).</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the unaudited Consolidated Financial Statements and related notes thereto presented in this quarterly report and the audited Consolidated Financial Statements and related notes thereto included in our Annual Report on Form 10-K for the year ended December 31, 2024, filed with the Securities and Exchange Commission (the SEC) on February 14, 2025 (the 2024 Form 10-K). Some of the information contained in this discussion and analysis constitutes forward-looking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2024 Form 10-K and this Quarterly Report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goods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(GAAP). However, certain information included herein constitutes Non-GAAP Financial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Measures. Our calculations of Non-GAAP Financial Measures may differ from the calculations of similarly titled measures by other companies. In particular:</w:t>
      </w:r>
    </w:p>
    <w:p>
      <w:pPr>
        <w:spacing w:after="0" w:line="187" w:lineRule="exact"/>
        <w:rPr>
          <w:sz w:val="20"/>
          <w:szCs w:val="20"/>
          <w:color w:val="auto"/>
        </w:rPr>
      </w:pPr>
    </w:p>
    <w:p>
      <w:pPr>
        <w:jc w:val="both"/>
        <w:ind w:left="660" w:right="14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Pretax pre-provision earnings </w:t>
      </w:r>
      <w:r>
        <w:rPr>
          <w:rFonts w:ascii="Times New Roman" w:cs="Times New Roman" w:eastAsia="Times New Roman" w:hAnsi="Times New Roman"/>
          <w:sz w:val="18"/>
          <w:szCs w:val="18"/>
          <w:color w:val="auto"/>
        </w:rPr>
        <w:t>(PPNR) represents Income from continuing operations before income taxes and the Provision for credit losses.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PPNR</w:t>
      </w:r>
      <w:r>
        <w:rPr>
          <w:rFonts w:ascii="Times New Roman" w:cs="Times New Roman" w:eastAsia="Times New Roman" w:hAnsi="Times New Roman"/>
          <w:sz w:val="18"/>
          <w:szCs w:val="18"/>
          <w:color w:val="auto"/>
        </w:rPr>
        <w:t xml:space="preserve"> as a metric to evaluate our results of operations before income taxes, excluding the volatility that can occur within Provision for credit losses.</w:t>
      </w:r>
    </w:p>
    <w:p>
      <w:pPr>
        <w:jc w:val="both"/>
        <w:ind w:left="660" w:right="4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average tangible common equity </w:t>
      </w:r>
      <w:r>
        <w:rPr>
          <w:rFonts w:ascii="Times New Roman" w:cs="Times New Roman" w:eastAsia="Times New Roman" w:hAnsi="Times New Roman"/>
          <w:sz w:val="18"/>
          <w:szCs w:val="18"/>
          <w:color w:val="auto"/>
        </w:rPr>
        <w:t>(ROTCE) represents annualized Income from continuing operations divided by average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equity. Tangible common equity (TCE) represents Total stockholders' equity reduced by Goodwill and intangible assets, net. We use </w:t>
      </w:r>
      <w:r>
        <w:rPr>
          <w:rFonts w:ascii="Times New Roman" w:cs="Times New Roman" w:eastAsia="Times New Roman" w:hAnsi="Times New Roman"/>
          <w:sz w:val="18"/>
          <w:szCs w:val="18"/>
          <w:i w:val="1"/>
          <w:iCs w:val="1"/>
          <w:color w:val="auto"/>
        </w:rPr>
        <w:t xml:space="preserve">ROTCE </w:t>
      </w:r>
      <w:r>
        <w:rPr>
          <w:rFonts w:ascii="Times New Roman" w:cs="Times New Roman" w:eastAsia="Times New Roman" w:hAnsi="Times New Roman"/>
          <w:sz w:val="18"/>
          <w:szCs w:val="18"/>
          <w:color w:val="auto"/>
        </w:rPr>
        <w:t>as a metric to evaluate the Company's performance.</w:t>
      </w:r>
    </w:p>
    <w:p>
      <w:pPr>
        <w:spacing w:after="0" w:line="1"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book value per common share </w:t>
      </w:r>
      <w:r>
        <w:rPr>
          <w:rFonts w:ascii="Times New Roman" w:cs="Times New Roman" w:eastAsia="Times New Roman" w:hAnsi="Times New Roman"/>
          <w:sz w:val="18"/>
          <w:szCs w:val="18"/>
          <w:color w:val="auto"/>
        </w:rPr>
        <w:t>represents TCE divided by shares outstanding. We use</w:t>
      </w:r>
      <w:r>
        <w:rPr>
          <w:rFonts w:ascii="Times New Roman" w:cs="Times New Roman" w:eastAsia="Times New Roman" w:hAnsi="Times New Roman"/>
          <w:sz w:val="18"/>
          <w:szCs w:val="18"/>
          <w:i w:val="1"/>
          <w:iCs w:val="1"/>
          <w:color w:val="auto"/>
        </w:rPr>
        <w:t xml:space="preserve"> Tangible book value per common share</w:t>
      </w:r>
      <w:r>
        <w:rPr>
          <w:rFonts w:ascii="Times New Roman" w:cs="Times New Roman" w:eastAsia="Times New Roman" w:hAnsi="Times New Roman"/>
          <w:sz w:val="18"/>
          <w:szCs w:val="18"/>
          <w:color w:val="auto"/>
        </w:rPr>
        <w:t>, a metric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across the industry, to estimate liquidation value.</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We believe the use of these Non-GAAP financial measures provide additional clarity in understanding our results of operations and trends. For a reconciliation of these Non-GAAP financial measures to the most directly comparable GAAP measures, please see </w:t>
      </w:r>
      <w:r>
        <w:rPr>
          <w:rFonts w:ascii="Times New Roman" w:cs="Times New Roman" w:eastAsia="Times New Roman" w:hAnsi="Times New Roman"/>
          <w:sz w:val="18"/>
          <w:szCs w:val="18"/>
          <w:b w:val="1"/>
          <w:bCs w:val="1"/>
          <w:color w:val="auto"/>
        </w:rPr>
        <w:t>Table 6: Reconciliation of GAAP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that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Business Environment section provides an overview of our results of operations and financial position for the first quarter of 2025, as well as our related outlook for the remainder of 2025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2024 Form 10-K,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March 31, 2025, compared with the same period in the prior year.</w:t>
      </w:r>
    </w:p>
    <w:p>
      <w:pPr>
        <w:spacing w:after="0" w:line="2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Credit sales of $6.1 billion were up 1% year-over-year driven by higher general-purpose spending and overall transaction volume as consumer financial health remained relatively steady, reflected in our stable to improving credit metrics, and consumers likely advanced certain purchases ahead of potential price increases. Average credit card and other loans of $18.2 billion, and End-of-period credit card and other loans of $17.8 billion, both decreased 2% primarily due to the macroeconomic environment throughout 2024 driving lower consumer spending, higher gross losses, as well as our ongoing strategic credit tightening. Total interest income was down 5% from the first quarter of 2024, primarily as a result of lower late fees, driven both by lower early-stage delinquency volumes and from our gradual shift in product mix to a lower proportion of private label accounts which tend to have higher late fees, in addition to lower Average credit card and other loans balances, offset by lower reversals of fees resulting from lower gross credit losses. Net interest margin for the first quarter of 2025 was 18.1%, relative to 18.7% for the first quarter of 2024, driven primarily by decreased late fees. Our Net interest margin trends continue to be impacted by a lower average prime rate, our gradual shift in product mix toward co-brand cards and lower billed late fees, partially offset by the ongoing implementation of pricing actions, such as increases to annual percentage rates. Year-over-year, Non-interest income increased</w:t>
      </w:r>
    </w:p>
    <w:p>
      <w:pPr>
        <w:spacing w:after="0" w:line="4"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18"/>
          <w:szCs w:val="18"/>
          <w:color w:val="auto"/>
        </w:rPr>
        <w:t>$25 million, primarily driven by our implemented pricing actions, inclusive of paper statement fees, as well as a reduction in costs associated with brand partner retailer share arrangements, offset by a decrease in merchant discount fees from lower “big ticket” credit sales. We intend to maintain our various implemented pricing actions and policies to ensure appropriate risk-based returns and a competitive value proposition for our cardholders. Overall, Total net interest and non-interest income for the quarter was $970 million, down 2% versus the first quarter of 2024.</w:t>
      </w:r>
    </w:p>
    <w:p>
      <w:pPr>
        <w:spacing w:after="0" w:line="21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Provision for credit losses decreased for the quarter ended March 31, 2025, relative to the first quarter of 2024, with a $69 million reserve release in the current year period compared with a $73 million reserve release in the prior year period. The reserve releases were offset by net principal losses of $365 million and $394 million during those same respective periods.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Allowance for credit losses decreased as of March 31, 2025, relative to December 31, 2024, due primarily to a lower Credit card and other loans balance, as seasonally higher transactor balances from the fourth quarter of 2024 were paid down in the first quarter of 2025. Our reserve rate was 12.2% as of March 31, 2025, reflecting appropriately prudent weightings on the economic scenarios in our credit reserve modeling to ensure the adequacy of our Allowance for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losses given the wide range of potential macroeconomic outcomes. From an overall credit quality perspective, our percentage of Vantage 660+ cardholders continues to remain above pre-pandemic levels due to prudent credit tightening and a more diversified product mix, with co-brand and proprietary cards representing a larger proportion of our portfolio.</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Total non-interest expenses of $477 million decreased 1% from the first quarter of 2024. The year-over-year decrease was primarily driven by debt extinguishment costs incurred in the first quarter of 2024 and decreased Card and processing expenses due to reduced volume-related card and statement costs, partially offset by increases in Information processing and communication expenses, due to elevated software license renewal costs, and increased Marketing expenses, due to incremental investments associated with our brand partner joint marketing campaigns.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continued strengthening our balance sheet during the first quarter of 2025 by completing a $400 million Subordinated Notes offering, which contributed to the increase in our Total risk-based capital ratio of 15.5% as of March 31, 2025. We further optimized our capital structure through our $150 million board authorized share repurchase program, which we commenced in March and completed in April, with a combined total of 3.2 million shares repurchased. We also repurchased $7 million in principal value of our Convertible Notes, leaving only $3 million remaining. Additionally, direct-to-consumer (DTC) deposits increased 13% to $7.9 billion as of March 31, 2025, with average DTC deposits now representing 43% of our total funding, up from 36% a year ago.</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continued to closely monitor the litigation related to the Consumer Financial Protection Bureau (CFPB) credit card late fee rule, which, among other things, would have significantly reduced the safe harbor amount for late fees that credit card issuers are authorized to charge. Industry organizations had previously challenged the final rule in court, and since May 2024 the rule had been subject to an injunction issued by the United States District Court for the Northern District of Texas. On April 15, 2025, the United States District Court for the Northern District of Texas entered an order and final judgement, pursuant to which the CFPB’s credit card late fee rule was vacated. As a result of the rule being vacated, the rule will have no force or effect, and the late fee safe harbor amounts will continue to be set as they were prior to the CFPB’s late fee rulemaking.</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While our industry will benefit from the CFPB's late fee rule having been vacated, as well as from a reduced regulatory environment anticipated under the current Presidential Administration and congressional majorities, risks associated with tariffs, trade policies and inflation may adversely impact consumer strength. The risk of disruption to the economy continues to grow as evidenced by the uncertainty reflected in lower consumer and small business confidence and sentiment.</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light of the foregoing, our 2025 financial outlook has been adjusted from our original outlook provided in our 2024 Form 10-K, to reflect slower Credit sales growth and slightly higher inflation, but still generally healthy labor markets. With greater anticipated economic volatility, we are prepared for a wide range of scenarios. From an interest rate perspective, our outlook assumes interest rate decreases by the Federal Reserve Board, which will slightly decrease Total net interest income. Our 2025 outlook assumed no late fee reduction related to the CFPB late fee rule, which, as noted above has recently been vacated by the United States District Court.</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an updated range of economic scenarios and expected impacts on consumer spending, our strategic credit tightening actions, higher gross credit losses, and visibility into our new business pipeline and existing partners, we now expect 2025 Average credit card and other loans to be flat to slightly lower relative to 2024. For 2025 compared with 2024, Total net interest and non-interest income, excluding any gains on portfolio sales, a Non-GAAP financial measure, is anticipated to be flat to slightly higher after adjusting for our updated outlook on Average credit card and other loans, as a result of our implemented pricing actions, partially offset by factors such as: (i) expected interest rate decreases by the Federal Reserve Board, which impact us due to our slight asset sensitivity and lagged cost of funds impacts, (ii) our continued shift in risk mix, from improving credit quality, and therefore lower delinquencies and consequently lower late fees, and (iii) the shift in our product mix, to co-brand, proprietary, and installment lending products, leading to lower finance charges and late fees.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efficiencies gained from our ongoing operational excellence initiatives, along with disciplined expense management and prudent investments, in 2025 we expect to generate nominal positive operating leverage excluding any gains on portfolio sales and the pretax impacts from our repurchased Convertible Notes,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2025 financial outlook continues to assume a full year Net principal loss rate ranging from 8.0% to 8.2%. As a result of hurricanes Helene and Milton in September and October 2024, respectively, we froze delinquency progression for cardholders in Federal Emergency Management Agency (FEMA) identified impact zones for one billing cycle, which is estimated to negatively impact second quarter of 2025 net credit losses by approximately $13 million.</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our 2025 financial outlook, we also continue to expect our full year normalized effective tax rate to be in the range of 25% to 26%, with quarter-over-quarter variability due to the timing of certain discrete items.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remain focused on responsible growth, disciplined capital allocation, and continued execution on our operational excellence efforts, while maintaining flexibility to adapt to changing fiscal and monetary policies, and the regulatory landscape. We are well-positioned to generate additional capital, deliver strong returns, and create sustainable, long-term value for our shareholders.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Note: We are unable to provide a quantitative reconciliation of the forward-looking 2025 financial outlook for the Non-GAAP financial measures above, to their most directly comparable forward-looking GAAP measures, as we cannot reliably predict all of the necessary components of such forward-looking GAAP measures without unreasonable effort.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commentary on the variances in our results of operations for the three months ended March 31, 2025, compared with the same period in the prior year, as presented in the accompanying tables. This discussion should be read in conjunction with the discussion under “Business Environment”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Summary of Our Financial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2"/>
        </w:trPr>
        <w:tc>
          <w:tcPr>
            <w:tcW w:w="6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per diluted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 — continuing operations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p>
    <w:p>
      <w:pPr>
        <w:ind w:left="340" w:right="80" w:hanging="332"/>
        <w:spacing w:after="0" w:line="229"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p>
    <w:p>
      <w:pPr>
        <w:spacing w:after="0" w:line="10" w:lineRule="exact"/>
        <w:rPr>
          <w:rFonts w:ascii="Times New Roman" w:cs="Times New Roman" w:eastAsia="Times New Roman" w:hAnsi="Times New Roman"/>
          <w:sz w:val="21"/>
          <w:szCs w:val="21"/>
          <w:color w:val="auto"/>
          <w:vertAlign w:val="superscript"/>
        </w:rPr>
      </w:pPr>
    </w:p>
    <w:p>
      <w:pPr>
        <w:ind w:left="340" w:right="100" w:hanging="332"/>
        <w:spacing w:after="0" w:line="224"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Summary of Total Net Interest and Non-interest Income, After Provision for Credit Losses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deposits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borrowings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 after provision for credit losses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Interest and Non-interest Income, After Provision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Total interest income decreased for the three months ended March 31, 2025, due to the following:</w:t>
      </w:r>
    </w:p>
    <w:p>
      <w:pPr>
        <w:spacing w:after="0" w:line="252" w:lineRule="exact"/>
        <w:rPr>
          <w:sz w:val="20"/>
          <w:szCs w:val="20"/>
          <w:color w:val="auto"/>
        </w:rPr>
      </w:pPr>
    </w:p>
    <w:p>
      <w:pPr>
        <w:ind w:left="660" w:right="12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fees on loans </w:t>
      </w:r>
      <w:r>
        <w:rPr>
          <w:rFonts w:ascii="Times New Roman" w:cs="Times New Roman" w:eastAsia="Times New Roman" w:hAnsi="Times New Roman"/>
          <w:sz w:val="18"/>
          <w:szCs w:val="18"/>
          <w:color w:val="auto"/>
        </w:rPr>
        <w:t>decreased due primarily to lower late fees, driven both by lower early-stage delinquency volumes and from our gradual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in product mix to a lower proportion of private label accounts, in addition to lower Average credit card and other loans balances, offset by lower reversals of fees resulting from lower gross credit losses; collectively decreasing finance charge and late fee yields by approximately 58 basis points.</w:t>
      </w:r>
    </w:p>
    <w:p>
      <w:pPr>
        <w:spacing w:after="0" w:line="1"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decreased due to lower average interest rates which decreased interest income by $11 million,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higher average balances which increased interest income by $4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Total interest expense decreased for the three months ended March 31, 2025, due to the following:</w:t>
      </w:r>
    </w:p>
    <w:p>
      <w:pPr>
        <w:spacing w:after="0" w:line="252" w:lineRule="exact"/>
        <w:rPr>
          <w:sz w:val="20"/>
          <w:szCs w:val="20"/>
          <w:color w:val="auto"/>
        </w:rPr>
      </w:pPr>
    </w:p>
    <w:p>
      <w:pPr>
        <w:ind w:left="660" w:right="26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deposits </w:t>
      </w:r>
      <w:r>
        <w:rPr>
          <w:rFonts w:ascii="Times New Roman" w:cs="Times New Roman" w:eastAsia="Times New Roman" w:hAnsi="Times New Roman"/>
          <w:sz w:val="18"/>
          <w:szCs w:val="18"/>
          <w:color w:val="auto"/>
        </w:rPr>
        <w:t>decreased due to lower average interest rates which decreased interest expense by $11 million and lower average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balances, which decreased funding costs by $6 million.</w:t>
      </w:r>
    </w:p>
    <w:p>
      <w:pPr>
        <w:ind w:left="660" w:right="4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borrowings </w:t>
      </w:r>
      <w:r>
        <w:rPr>
          <w:rFonts w:ascii="Times New Roman" w:cs="Times New Roman" w:eastAsia="Times New Roman" w:hAnsi="Times New Roman"/>
          <w:sz w:val="18"/>
          <w:szCs w:val="18"/>
          <w:color w:val="auto"/>
        </w:rPr>
        <w:t>decreased due to lower average interest rates which decreased funding costs by $10 million, partially offset by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borrowings which increased funding costs by $4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Total non-interest income increased for the three months ended March 31, 2025, due to the following:</w:t>
      </w:r>
    </w:p>
    <w:p>
      <w:pPr>
        <w:spacing w:after="0" w:line="252" w:lineRule="exact"/>
        <w:rPr>
          <w:sz w:val="20"/>
          <w:szCs w:val="20"/>
          <w:color w:val="auto"/>
        </w:rPr>
      </w:pPr>
    </w:p>
    <w:p>
      <w:pPr>
        <w:ind w:left="660" w:right="2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Interchange revenue, net of retailer share arrangements</w:t>
      </w:r>
      <w:r>
        <w:rPr>
          <w:rFonts w:ascii="Times New Roman" w:cs="Times New Roman" w:eastAsia="Times New Roman" w:hAnsi="Times New Roman"/>
          <w:sz w:val="18"/>
          <w:szCs w:val="18"/>
          <w:color w:val="auto"/>
        </w:rPr>
        <w:t>, typically a contra-revenue item for us, decreased due to a reduction in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brand partner retailer share arrangements, offset by a decrease in merchant discount fees from lower “big ticket” credit sales.</w:t>
      </w:r>
    </w:p>
    <w:p>
      <w:pPr>
        <w:ind w:left="660" w:right="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due primarily to our implemented pricing actions, including paper statement fees, which we began assessing in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w:t>
      </w:r>
    </w:p>
    <w:p>
      <w:pPr>
        <w:spacing w:after="0" w:line="20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decreased during the three months ended March 31, 2025, with a $69 million reserve release in the current year period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$73 million reserve release in the prior year period. The reserve releases in both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periods were offset by net principal losses of $365 million and $394 million during those same respective periods. Our reserve rate was 12.2% as of March 31, 2025, reflecting appropriately prudent weightings on the economic scenarios in our credit reserve modeling to ensure the adequacy of our Allowance for credit losses given the wide range of potential macroeconomic outcomes.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Summary of Total Non-interest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8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8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6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6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Non-interest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expenses: </w:t>
      </w:r>
      <w:r>
        <w:rPr>
          <w:rFonts w:ascii="Times New Roman" w:cs="Times New Roman" w:eastAsia="Times New Roman" w:hAnsi="Times New Roman"/>
          <w:sz w:val="18"/>
          <w:szCs w:val="18"/>
          <w:color w:val="auto"/>
        </w:rPr>
        <w:t>Total non-interest expenses decreased for the three months ended March 31, 2025, due to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Card and processing expenses </w:t>
      </w:r>
      <w:r>
        <w:rPr>
          <w:rFonts w:ascii="Times New Roman" w:cs="Times New Roman" w:eastAsia="Times New Roman" w:hAnsi="Times New Roman"/>
          <w:sz w:val="18"/>
          <w:szCs w:val="18"/>
          <w:color w:val="auto"/>
        </w:rPr>
        <w:t>decreased due primarily to reduced volume-related card and statement costs.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processing and communication </w:t>
      </w:r>
      <w:r>
        <w:rPr>
          <w:rFonts w:ascii="Times New Roman" w:cs="Times New Roman" w:eastAsia="Times New Roman" w:hAnsi="Times New Roman"/>
          <w:sz w:val="18"/>
          <w:szCs w:val="18"/>
          <w:color w:val="auto"/>
        </w:rPr>
        <w:t>increased due primarily to elevated software license renewal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expenses </w:t>
      </w:r>
      <w:r>
        <w:rPr>
          <w:rFonts w:ascii="Times New Roman" w:cs="Times New Roman" w:eastAsia="Times New Roman" w:hAnsi="Times New Roman"/>
          <w:sz w:val="18"/>
          <w:szCs w:val="18"/>
          <w:color w:val="auto"/>
        </w:rPr>
        <w:t>increased due primarily due to incremental investments associated with our brand partner joint marketing campaigns.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decreased due primarily to debt extinguishment costs in the first quarter of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increased for the three months ended March 31, 2025, compared with the three months ended March 31, 2024, primarily driven by an increase in Income from continuing operations before income taxes in the current year period relative to the prior year period. The effective tax rate was 28.1% for each of the three-month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Summary Financial Highlights – Continuing Operations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6"/>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March 31,</w:t>
            </w:r>
          </w:p>
        </w:tc>
      </w:tr>
      <w:tr>
        <w:trPr>
          <w:trHeight w:val="2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PPNR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18,546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18,185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direct-to-consumer (retail) deposits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6,984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08"/>
        </w:trPr>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equity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yield </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08"/>
        </w:trPr>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29"/>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08"/>
        </w:trPr>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Tangible book value per common share </w:t>
            </w:r>
            <w:r>
              <w:rPr>
                <w:rFonts w:ascii="Times New Roman" w:cs="Times New Roman" w:eastAsia="Times New Roman" w:hAnsi="Times New Roman"/>
                <w:sz w:val="23"/>
                <w:szCs w:val="23"/>
                <w:color w:val="auto"/>
                <w:vertAlign w:val="superscript"/>
              </w:rPr>
              <w:t>(9)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08"/>
        </w:trPr>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Payment rate </w:t>
            </w:r>
            <w:r>
              <w:rPr>
                <w:rFonts w:ascii="Times New Roman" w:cs="Times New Roman" w:eastAsia="Times New Roman" w:hAnsi="Times New Roman"/>
                <w:sz w:val="23"/>
                <w:szCs w:val="23"/>
                <w:color w:val="auto"/>
                <w:vertAlign w:val="superscript"/>
              </w:rPr>
              <w:t>(10)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08"/>
        </w:trPr>
        <w:tc>
          <w:tcPr>
            <w:tcW w:w="7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Delinquency rate </w:t>
            </w:r>
            <w:r>
              <w:rPr>
                <w:rFonts w:ascii="Times New Roman" w:cs="Times New Roman" w:eastAsia="Times New Roman" w:hAnsi="Times New Roman"/>
                <w:sz w:val="23"/>
                <w:szCs w:val="23"/>
                <w:color w:val="auto"/>
                <w:vertAlign w:val="superscript"/>
              </w:rPr>
              <w:t>(11)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rate </w:t>
            </w:r>
            <w:r>
              <w:rPr>
                <w:rFonts w:ascii="Times New Roman" w:cs="Times New Roman" w:eastAsia="Times New Roman" w:hAnsi="Times New Roman"/>
                <w:sz w:val="23"/>
                <w:szCs w:val="23"/>
                <w:color w:val="auto"/>
                <w:vertAlign w:val="superscript"/>
              </w:rPr>
              <w:t>(12)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Reserve rate </w:t>
            </w:r>
            <w:r>
              <w:rPr>
                <w:rFonts w:ascii="Times New Roman" w:cs="Times New Roman" w:eastAsia="Times New Roman" w:hAnsi="Times New Roman"/>
                <w:sz w:val="23"/>
                <w:szCs w:val="23"/>
                <w:color w:val="auto"/>
                <w:vertAlign w:val="superscript"/>
              </w:rPr>
              <w:t>(13)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400" w:hanging="332"/>
        <w:spacing w:after="0" w:line="222"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PPNR represents Income from continuing operations before income taxes and the Provision for credit losses. PPNR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assets represents annualized Income from continuing operations divided by average Total assets.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ind w:left="340" w:right="100" w:hanging="332"/>
        <w:spacing w:after="0" w:line="228"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yield represents annualized Interest and fees on loans divided by Average credit card and other loans.</w:t>
      </w: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Efficiency ratio represents Total non-interest expenses divided by Total net interest and non-interest income.</w:t>
      </w:r>
    </w:p>
    <w:p>
      <w:pPr>
        <w:spacing w:after="0" w:line="10" w:lineRule="exact"/>
        <w:rPr>
          <w:rFonts w:ascii="Times New Roman" w:cs="Times New Roman" w:eastAsia="Times New Roman" w:hAnsi="Times New Roman"/>
          <w:sz w:val="21"/>
          <w:szCs w:val="21"/>
          <w:color w:val="auto"/>
          <w:vertAlign w:val="superscript"/>
        </w:rPr>
      </w:pPr>
    </w:p>
    <w:p>
      <w:pPr>
        <w:ind w:left="340" w:right="40" w:hanging="332"/>
        <w:spacing w:after="0" w:line="224"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40" w:right="240" w:hanging="332"/>
        <w:spacing w:after="0" w:line="220"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Tangible book value per common share represents TCE divided by shares outstanding and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40" w:right="60" w:hanging="332"/>
        <w:spacing w:after="0" w:line="218" w:lineRule="auto"/>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rate represents consumer payments during the last month of the period, divided by the beginning-of-month Credit card and other loans, including held for sale in applicable periods.</w:t>
      </w:r>
    </w:p>
    <w:p>
      <w:pPr>
        <w:spacing w:after="0" w:line="1" w:lineRule="exact"/>
        <w:rPr>
          <w:rFonts w:ascii="Times New Roman" w:cs="Times New Roman" w:eastAsia="Times New Roman" w:hAnsi="Times New Roman"/>
          <w:sz w:val="21"/>
          <w:szCs w:val="21"/>
          <w:color w:val="auto"/>
          <w:vertAlign w:val="superscript"/>
        </w:rPr>
      </w:pPr>
    </w:p>
    <w:p>
      <w:pPr>
        <w:ind w:left="340" w:right="280" w:hanging="332"/>
        <w:spacing w:after="0" w:line="220" w:lineRule="auto"/>
        <w:tabs>
          <w:tab w:leader="none" w:pos="33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Delinquency rate represents outstanding balances that are contractually delinquent (i.e., principal balances greater than 30 days past due) as of the end of the period, divided by the outstanding principal amount of Credit card and other loans as of the same period-end.</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187" w:lineRule="auto"/>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loss rate, an annualized rate, represents net principal losses for the period divided by Average credit card and other loans for the same period.</w:t>
      </w:r>
    </w:p>
    <w:p>
      <w:pPr>
        <w:ind w:left="340" w:hanging="332"/>
        <w:spacing w:after="0" w:line="191" w:lineRule="auto"/>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Reserve rate represents the Allowance for credit losses divided by End-of-period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Net Interest Margin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6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60" w:type="dxa"/>
            <w:vAlign w:val="bottom"/>
          </w:tcPr>
          <w:p>
            <w:pPr>
              <w:spacing w:after="0"/>
              <w:rPr>
                <w:sz w:val="16"/>
                <w:szCs w:val="16"/>
                <w:color w:val="auto"/>
              </w:rPr>
            </w:pPr>
          </w:p>
        </w:tc>
        <w:tc>
          <w:tcPr>
            <w:tcW w:w="3500" w:type="dxa"/>
            <w:vAlign w:val="bottom"/>
            <w:gridSpan w:val="6"/>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2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80" w:type="dxa"/>
            <w:vAlign w:val="bottom"/>
          </w:tcPr>
          <w:p>
            <w:pPr>
              <w:spacing w:after="0"/>
              <w:rPr>
                <w:sz w:val="11"/>
                <w:szCs w:val="11"/>
                <w:color w:val="auto"/>
              </w:rPr>
            </w:pPr>
          </w:p>
        </w:tc>
        <w:tc>
          <w:tcPr>
            <w:tcW w:w="12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26.47 %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27.05 %</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22.10 %</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 (retail) deposits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9.03 %</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6.68 %</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7.42 %</w:t>
            </w:r>
          </w:p>
        </w:tc>
        <w:tc>
          <w:tcPr>
            <w:tcW w:w="0" w:type="dxa"/>
            <w:vAlign w:val="bottom"/>
          </w:tcPr>
          <w:p>
            <w:pPr>
              <w:spacing w:after="0"/>
              <w:rPr>
                <w:sz w:val="1"/>
                <w:szCs w:val="1"/>
                <w:color w:val="auto"/>
              </w:rPr>
            </w:pPr>
          </w:p>
        </w:tc>
      </w:tr>
      <w:tr>
        <w:trPr>
          <w:trHeight w:val="207"/>
        </w:trPr>
        <w:tc>
          <w:tcPr>
            <w:tcW w:w="31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(1)</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08"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margin represents annualized Net interest income divided by average Total interest-earning assets.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Reconciliation of GAAP to Non-GAAP Financial Measures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March 31,</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Pretax pre-provision earnings (PPNR)</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02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w w:val="99"/>
              </w:rPr>
              <w:t>5</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rPr>
              <w:t>(8)</w:t>
            </w:r>
          </w:p>
        </w:tc>
      </w:tr>
      <w:tr>
        <w:trPr>
          <w:trHeight w:val="183"/>
        </w:trPr>
        <w:tc>
          <w:tcPr>
            <w:tcW w:w="7980" w:type="dxa"/>
            <w:vAlign w:val="bottom"/>
          </w:tcPr>
          <w:p>
            <w:pPr>
              <w:ind w:left="360"/>
              <w:spacing w:after="0" w:line="183" w:lineRule="exact"/>
              <w:rPr>
                <w:sz w:val="20"/>
                <w:szCs w:val="20"/>
                <w:color w:val="auto"/>
              </w:rPr>
            </w:pPr>
            <w:r>
              <w:rPr>
                <w:rFonts w:ascii="Times New Roman" w:cs="Times New Roman" w:eastAsia="Times New Roman" w:hAnsi="Times New Roman"/>
                <w:sz w:val="16"/>
                <w:szCs w:val="16"/>
                <w:color w:val="auto"/>
              </w:rPr>
              <w:t>Pretax pre-provision earnings (PPNR)</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ind w:left="700"/>
              <w:spacing w:after="0" w:line="183"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7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tangible common equity</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Average total stockholders’ equity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740"/>
              <w:spacing w:after="0"/>
              <w:rPr>
                <w:sz w:val="20"/>
                <w:szCs w:val="20"/>
                <w:color w:val="auto"/>
              </w:rPr>
            </w:pPr>
            <w:r>
              <w:rPr>
                <w:rFonts w:ascii="Times New Roman" w:cs="Times New Roman" w:eastAsia="Times New Roman" w:hAnsi="Times New Roman"/>
                <w:sz w:val="16"/>
                <w:szCs w:val="16"/>
                <w:color w:val="auto"/>
                <w:w w:val="99"/>
              </w:rPr>
              <w:t>4</w:t>
            </w:r>
          </w:p>
        </w:tc>
      </w:tr>
      <w:tr>
        <w:trPr>
          <w:trHeight w:val="213"/>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Average goodwill and intangible assets, net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740"/>
              <w:spacing w:after="0"/>
              <w:rPr>
                <w:sz w:val="20"/>
                <w:szCs w:val="20"/>
                <w:color w:val="auto"/>
              </w:rPr>
            </w:pPr>
            <w:r>
              <w:rPr>
                <w:rFonts w:ascii="Times New Roman" w:cs="Times New Roman" w:eastAsia="Times New Roman" w:hAnsi="Times New Roman"/>
                <w:sz w:val="16"/>
                <w:szCs w:val="16"/>
                <w:color w:val="auto"/>
                <w:w w:val="99"/>
              </w:rPr>
              <w:t>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(TCE)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Pr>
          <w:p>
            <w:pPr>
              <w:spacing w:after="0"/>
              <w:rPr>
                <w:sz w:val="18"/>
                <w:szCs w:val="18"/>
                <w:color w:val="auto"/>
              </w:rPr>
            </w:pPr>
          </w:p>
        </w:tc>
        <w:tc>
          <w:tcPr>
            <w:tcW w:w="102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Goodwill and intangible assets, net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Tangible common equity (TCE)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ind w:left="740"/>
              <w:spacing w:after="0"/>
              <w:rPr>
                <w:sz w:val="20"/>
                <w:szCs w:val="20"/>
                <w:color w:val="auto"/>
              </w:rPr>
            </w:pPr>
            <w:r>
              <w:rPr>
                <w:rFonts w:ascii="Times New Roman" w:cs="Times New Roman" w:eastAsia="Times New Roman" w:hAnsi="Times New Roman"/>
                <w:sz w:val="16"/>
                <w:szCs w:val="16"/>
                <w:color w:val="auto"/>
                <w:w w:val="99"/>
              </w:rPr>
              <w:t>2</w:t>
            </w:r>
          </w:p>
        </w:tc>
      </w:tr>
      <w:tr>
        <w:trPr>
          <w:trHeight w:val="21"/>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delinquency trends on our Credit card and other loans portfolio based on the principal balances outstanding as of the dates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Delinquency Trends on Credit Card and Other Loans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488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outstanding ─ principal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balances contractually delinquent: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 to 60 days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 to 90 days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91 or more days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losses that are deemed uncollectible, less recoveries, and exclude charged-off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using an average daily balance calculation methodology. The following table provides our net principal losses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Net Principal Losses on Credit Card and Other Loans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18,546</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principal losses</w:t>
            </w:r>
          </w:p>
        </w:tc>
        <w:tc>
          <w:tcPr>
            <w:tcW w:w="28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as a percentage of average credit card and other loans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and our public secured financings, and meet our regulatory and policy requirements, including capital and leverage ratio requirements applicable to Comenity Bank (CB) and Comenity Capital Bank (CCB) under Federal Deposit Insurance Corporation (FDIC) regulations, in a cost effective and prudent manner through both expected and unexpected market environments.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include cash generated from operating activities, our bank credit facility, issuances of senior unsecured, subordinated or convertible debt securities by our Parent Company, financings through our securitization programs, and deposits with the Banks.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spacing w:after="0" w:line="21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primary uses of liquidity are for underwriting Credit card and other loans, scheduled payments of principal and interest on our debt, operational expenses, capital expenditures, including digital and product innovation and technology enhancements, stock repurchases and dividends.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from time to time retire or purchase our outstanding debt, including our senior unsecured notes, subordinated notes or convertible notes,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debt or convertible debt securities or other sources of liquidity. The amounts involved may be material.</w:t>
      </w:r>
    </w:p>
    <w:p>
      <w:pPr>
        <w:spacing w:after="0" w:line="21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will also need additional financing in the future to repay or refinance our existing debt at or prior to maturity, and to fund our growth, which may include issuance of additional debt, equity or convertible securities, or engaging in other capital markets or financing transactions. Also as part of our financing strategy, we will continue to seek to optimize our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capital structure. Given the maturities of certain of our outstanding debt instruments and the macroeconomic outlook, it is possible that we will be required to repay, extend or refinance some or all of our maturing debt in volatile and/or unfavorable markets.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mitigating actions if necessary and provide enhanced reporting to our Boards of Directors, at both the Bread Financial and Bank-levels, and regulators.</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obtain credit ratings for our Parent Company from the major credit rating agencies, Moody’s Investor Services (Moody’s), Standard &amp; Poor’s (S&amp;P) and Fitch Ratings (Fitch), in order to facilitate debt financings and broaden the investor base for our Parent Company debt securities.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management approach is designed, among other things, to maintain appropriate and stable Parent Company senior unsecured and subordinated debt ratings from the credit rating agencies which help support our access to cost-effective unsecured funding as a component of our overall liquidity and capital resources.</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both Moody’s and Fitch upgraded their credit ratings outlook from “Stable” to “Positive”. The table below provides a summary of the credit ratings for the senior unsecured and subordinated long-term debt of Bread Financial Holdings, Inc. as of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Moody’s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S&amp;P</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Ba3</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Ba3</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148"/>
        </w:trPr>
        <w:tc>
          <w:tcPr>
            <w:tcW w:w="5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bl>
    <w:p>
      <w:pPr>
        <w:spacing w:after="0" w:line="31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also seek to maintain appropriate and stable credit ratings for our credit card securitizations issued through World Financial Network Credit Card Master Note Trust (WFNMNT) from the rating agencies (DBRS, S&amp;P and Fitch). The table below provides a summary of the structured finance credit ratings for certain of the asset-backed securities, specifically the Class A notes of WFNMNT as of March 31,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WFNMNT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 xml:space="preserve">DBRS </w:t>
            </w:r>
            <w:r>
              <w:rPr>
                <w:rFonts w:ascii="Times New Roman" w:cs="Times New Roman" w:eastAsia="Times New Roman" w:hAnsi="Times New Roman"/>
                <w:sz w:val="23"/>
                <w:szCs w:val="23"/>
                <w:color w:val="auto"/>
                <w:w w:val="95"/>
                <w:vertAlign w:val="superscript"/>
              </w:rPr>
              <w:t>(1)</w:t>
            </w:r>
          </w:p>
        </w:tc>
        <w:tc>
          <w:tcPr>
            <w:tcW w:w="1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S&amp;P</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notes</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AAA</w:t>
            </w:r>
          </w:p>
        </w:tc>
      </w:tr>
      <w:tr>
        <w:trPr>
          <w:trHeight w:val="29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ind w:left="320" w:hanging="312"/>
        <w:spacing w:after="0" w:line="195"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Does not include our Series 2024-B public asset-backed-notes.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Sources</w:t>
      </w:r>
    </w:p>
    <w:p>
      <w:pPr>
        <w:spacing w:after="0" w:line="25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referenced above, our primary sources of liquidity include cash generated from operating activities, our bank credit facility, issuances of senior unsecured, subordinated or convertible debt securities by our Parent Company, financings through our securitization programs, and deposits with the Banks.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we engaged in a number of financing-related transactions, including the repurchase of another portion of our 4.25% Convertible Senior Notes due 2028, and redeeming the remaining $100 million in aggregate principal amount of our 7.000% Senior Notes due 2026, in each case with cash on hand. In addition, we closed on our offering of $400 million aggregate principal amount of 8.375% Fixed-Rate Reset Subordinated Notes due 2035. Each of these transactions, as well as other matters relating to our liquidity and capital resources during the first quarter, are described in more detail below.</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March 31, 2025, we were in compliance with all such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March 31, 2025, our Revolving Credit Facility was undrawn and all $700 million remained available for future borrowings.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issuance of our Convertible Notes and our Capped Call transactions, see “Consolidated Liquidity and Capital Resources” under Part II of our 2024 Form 10-K.</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a holder of Convertible Notes approached us to repurchase Convertible Notes, and we entered into a privately-negotiated repurchase agreement with the holder, repurchasing $7 million aggregate principal amount of outstanding Convertible Notes. The final purchase price, or settlement value, for the repurchase was $11 million, which was funded with cash on hand. In connection with the repurchase, we recognized a $2 million inducement expense in Other non-interest expenses representing the total settlement value, inclusive of transaction fees, in excess of the total conversion value (calculated in accordance with the indenture governing the Convertible Notes), as well as a $2 million reduction in Additional paid-in capital (APIC) related to the total conversion value paid in excess of the carrying value of the Convertible Notes repurchased and a deferred tax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Following the settlement of these repurchases, $3 million of Convertible Notes remained outstanding as of March 31, 2025.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repurchases of our Convertible Notes.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with cash on hand we redeemed the remaining $100 million in aggregate principal amount of our Senior Notes due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8.375% Subordinated Notes Due 2035</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2025, we issued and sold $400 million aggregate principal amount of 8.375% Fixed-Rate Reset Subordinated Notes due June 2035 (the Subordinated Notes). The Subordinated Notes were issued pursuant to an indenture between the Company and U.S. Bank Trust Company, National Association, as trustee.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in June and December of each year, beginning in June 2025. The Subordinated Notes will mature in June 2035, unless earlier repurchased or redeemed.</w:t>
      </w:r>
    </w:p>
    <w:p>
      <w:pPr>
        <w:spacing w:after="0" w:line="21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used $250 million of the net proceeds from the Subordinated Notes offering to enter into a subordinated promissory note between Parent Company, as lender, and Comenity Capital Bank, as borrower, on terms substantially the same as those of the Subordinated Notes. The subordinated promissory note is eliminated in consolidation.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Banks use a variety of deposit products to finance their operating activities, including funding for non-securitized credit card and other loans, and to fund their securitization enhancement requirements. The Banks offer DTC retail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also issue certificates of deposit with scheduled maturity dates ranging between April 2025 and March 2030, in denominations of at least $1,000, on which interest is paid either monthly or at maturity. The following table summarizes these retail and wholesale deposit products by type and associated attributes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Interest-bearing Deposits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5,150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interest-bearing deposits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Non-maturity deposit products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Non-maturity deposits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- 4.75%</w:t>
            </w: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deposits that exceeded applicable FDIC insurance limits, which are generally $250,000 per depositor, per insured bank, per ownership category, were estimated to be $592 million (4% of Total deposits) and $574 million (4% of Total deposits), respectively. The measurement of estimated uninsured deposits aligns with regulatory guidelines.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Programs Including Conduit Facilities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VIEs in the Consolidated Balance Sheets. The table below summarizes our conduit capacities, borrowings and maturities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Table 10: Conduit Borrowing Capacity Rollforward and Maturities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0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4"/>
                <w:szCs w:val="24"/>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4"/>
                <w:szCs w:val="24"/>
                <w:color w:val="auto"/>
              </w:rPr>
            </w:pPr>
          </w:p>
        </w:tc>
        <w:tc>
          <w:tcPr>
            <w:tcW w:w="22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3"/>
        </w:trPr>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Drawn </w:t>
            </w:r>
            <w:r>
              <w:rPr>
                <w:rFonts w:ascii="Times New Roman" w:cs="Times New Roman" w:eastAsia="Times New Roman" w:hAnsi="Times New Roman"/>
                <w:sz w:val="23"/>
                <w:szCs w:val="23"/>
                <w:b w:val="1"/>
                <w:bCs w:val="1"/>
                <w:color w:val="auto"/>
                <w:w w:val="95"/>
                <w:vertAlign w:val="superscript"/>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98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2026</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shd w:val="clear" w:color="auto" w:fill="CCEEFF"/>
          </w:tcPr>
          <w:p>
            <w:pPr>
              <w:spacing w:after="0"/>
              <w:rPr>
                <w:sz w:val="19"/>
                <w:szCs w:val="19"/>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320" w:hanging="312"/>
        <w:spacing w:after="0" w:line="210"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40" w:right="80" w:hanging="332"/>
        <w:spacing w:after="0" w:line="22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In October 2024, the revolving period of the 2009-VFC1 Conduit expired and the Conduit Facility entered controlled amortization, meaning the period in which principal collections are accumulated to pay down the outstanding principal amount of the notes issued under the Conduit Facility.</w:t>
      </w:r>
    </w:p>
    <w:p>
      <w:pPr>
        <w:spacing w:after="0" w:line="2" w:lineRule="exact"/>
        <w:rPr>
          <w:rFonts w:ascii="Times New Roman" w:cs="Times New Roman" w:eastAsia="Times New Roman" w:hAnsi="Times New Roman"/>
          <w:sz w:val="21"/>
          <w:szCs w:val="21"/>
          <w:color w:val="auto"/>
          <w:vertAlign w:val="superscript"/>
        </w:rPr>
      </w:pPr>
    </w:p>
    <w:p>
      <w:pPr>
        <w:ind w:left="340" w:right="420" w:hanging="332"/>
        <w:spacing w:after="0" w:line="218"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was reduced by $250 million to $2 billion, and the Maturity Date extended to February 2026.</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was retired in February 2025 pursuant to the termination, consent and waiver agreement.</w:t>
      </w:r>
    </w:p>
    <w:p>
      <w:pPr>
        <w:ind w:left="340" w:right="300" w:hanging="332"/>
        <w:spacing w:after="0" w:line="220"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$0.6 billion and $1.1 billion of debt issued by the Trusts as of March 31, 2025 and December 31, 2024, respectively, which were not sold, but were retained by us as a credit enhancement and therefore have been eliminated from the Total.</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31, 2025, we had approximately $11.7 billion of securitized credit card loans. Securitizations require credit enhancements in the form of cash, spread deposits, additional loans and subordinated classes. The credit enhancement is principally based on the outstanding balances of the series issued by the Trusts and by the performance of the credit card loans in the Trusts.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Regulation RR (Credit Risk Retention) adopted by the FDIC, the SEC, the Federal Reserve Board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5th, 2025, our Board of Directors approved a stock repurchase program to acquire up to $150 million in shares of our outstanding common stock in the open market. There is no expiration date for the repurchase plan. The rationale for this repurchase program, and the amount thereof, was to further optimize our capital ratios, providing capital flexibility for future growth, and strengthening of our capital position over time.</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under the authorized stock repurchase program, we acquired a total of 2.1 million shares of our common stock for $102 million plus applicable excise tax on stock repurchases. Following their repurchase, these 2.1 million shares ceased to be outstanding shares of common stock and are now treated as authorized but unissued shares of common stock. As of March 31, 2025, we had $48 million remaining for future repurchases under the authorized stock repurchase program. During April 2025, we repurchased an additional 1.1 million shares, completing the $150 million stock repurchase program. These shares are now also treated as authorized but unissued shares of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paid $12 million in dividends to holders of our common stock. On April 24, 2025, our Board of Directors declared a quarterly cash dividend of $0.21 per share on our common stock, payable on June 13, 2025, to stockholders of record at the close of business on May 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may require future cash payments, the vast majority of which relate to deposits, debt issued by consolidated VIEs, long-term and other debt and operating contracts and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 activity for the periods indicated, followed by a discussion of the variance drivers impacting our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53"/>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447</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720</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522</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192</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primarily include net income adjusted for (i) non-cash items included in net income, such as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$393 million and $447 million for the three months ended March 31, 2025 and 2024, respectively. The net cash provided by operating activities during these periods was primarily driven by cash generated from net income for the periods after adjusting for the Provision for credit losses in both periods of comparison.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primarily include changes in Credit card and other loans. Cash provided by investing activities was $691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$720 million for the three months ended March 31, 2025 and 2024, respectively. The net cash provided by investing activities during these periods was primarily due to the seasonal paydown of Credit card and other loans.</w:t>
      </w:r>
    </w:p>
    <w:p>
      <w:pPr>
        <w:spacing w:after="0" w:line="200"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primarily include changes in deposits and long-term debt. Cash used in financing activities was $562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$975 million for the three months ended March 31, 2025 and 2024, respectively. The net cash used in financing activities during the three months ended March 31, 2025 was primarily driven by repayments of debt issued by consolidated variable interest entities (securitizations) and the repurchases of common stock, partially offset by the net issuance of unsecured borrowings under debt agreements. For the three months ended March 31, 2024 the net cash used in financing activities was primarily driven by net repayments of both securitizations and unsecured borrowings, as well as a net decrease in deposits.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higher interest rates, and the persistent effects therefrom, which results in higher delinquencies and increased credit losses, as reflected in our elevated Reserve rate. If the efforts to control inflation in the U.S. and globally are not successful and inflationary pressures continue to persist, including due to changes to, or the imposition of, tariffs and/or trade barriers, they could further increase repayment pressure on consumers as well as the risk of a recessionary environment, which may adversely impact our business, results of operations and financial condition.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loss rates for our Credit card and other loans portfolio also have historically exhibited seasonal patterns and generally tend to be the highest in the first quarter of the year. While the effects of the seasonal trends discussed above remain evident, macroeconomic trends, such as those discussed within the Business Environment sections of our quarterly and annual reports on Forms 10-Q and Form 10-K generally have a more significant impact on our key financial metrics and can outweigh any seasonal impacts that we may experience.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MATTERS AND CAPITAL ADEQUACY</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March 31, 2025 and 2024, each Bank met all capital requirements to which it was subject, and maintained capital ratios in excess of the minimums required to qualify as well capitalized. The Banks seek to maintain capital levels and ratios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1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Banks adopted the option provided by the interim final rule issued by joint federal bank regulatory agencies, which largely delayed the effects of the current expected credit loss (CECL) model on their regulatory capital for two years, until January 1, 2022, after which the effects are phased-in over a three-year period through December 31, 2024. Under the interim final rule, the amount of adjustments to regulatory capital deferred until the phase-in period includes both the initial impact of our adoption of CECL as of January 1, 2020, and 25% of subsequent changes in our Allowance for credit losses during each quarter of the two-year period ended December 31, 2021. In accordance with the interim final rule, we began to ratably phase-in these effects on January 1, 2022, and as of January 1, 2025 had fully phased-in all such effects.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actual capital ratios and minimum ratios for the Company, as well as each Bank,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Capital Ratios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r>
      <w:tr>
        <w:trPr>
          <w:trHeight w:val="175"/>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r>
      <w:tr>
        <w:trPr>
          <w:trHeight w:val="162"/>
        </w:trPr>
        <w:tc>
          <w:tcPr>
            <w:tcW w:w="3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r>
      <w:tr>
        <w:trPr>
          <w:trHeight w:val="204"/>
        </w:trPr>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20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r>
      <w:tr>
        <w:trPr>
          <w:trHeight w:val="23"/>
        </w:trPr>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22"/>
                <w:szCs w:val="22"/>
                <w:color w:val="auto"/>
              </w:rPr>
            </w:pPr>
          </w:p>
        </w:tc>
        <w:tc>
          <w:tcPr>
            <w:tcW w:w="18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12.0 %</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12.0</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15.5</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10.3</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18,810</w:t>
            </w: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17.0 %</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17.0</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18.4</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14.8</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162"/>
        </w:trPr>
        <w:tc>
          <w:tcPr>
            <w:tcW w:w="36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15.3 %</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15.3</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18.9</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31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tcPr>
          <w:p>
            <w:pPr>
              <w:spacing w:after="0"/>
              <w:rPr>
                <w:sz w:val="24"/>
                <w:szCs w:val="24"/>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13.2</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jc w:val="both"/>
        <w:ind w:left="340" w:right="40" w:hanging="332"/>
        <w:spacing w:after="0" w:line="23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spacing w:after="0" w:line="1" w:lineRule="exact"/>
        <w:rPr>
          <w:rFonts w:ascii="Times New Roman" w:cs="Times New Roman" w:eastAsia="Times New Roman" w:hAnsi="Times New Roman"/>
          <w:sz w:val="21"/>
          <w:szCs w:val="21"/>
          <w:color w:val="auto"/>
          <w:vertAlign w:val="superscript"/>
        </w:rPr>
      </w:pPr>
    </w:p>
    <w:p>
      <w:pPr>
        <w:ind w:left="340" w:right="220" w:hanging="332"/>
        <w:spacing w:after="0" w:line="233"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ind w:left="340" w:right="120" w:hanging="332"/>
        <w:spacing w:after="0" w:line="215"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Total stockholders’ equity under GAAP to Basel III Standardized Approach Common equity tier 1 capital, Tier 1 capital, Tier 2 capital and Total capital, as of the date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3"/>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9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70"/>
        </w:trPr>
        <w:tc>
          <w:tcPr>
            <w:tcW w:w="9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9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94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Qualifying allowance for credit losses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0" w:type="dxa"/>
            <w:vAlign w:val="bottom"/>
          </w:tcPr>
          <w:p>
            <w:pPr>
              <w:spacing w:after="0"/>
              <w:rPr>
                <w:sz w:val="1"/>
                <w:szCs w:val="1"/>
                <w:color w:val="auto"/>
              </w:rPr>
            </w:pPr>
          </w:p>
        </w:tc>
      </w:tr>
      <w:tr>
        <w:trPr>
          <w:trHeight w:val="270"/>
        </w:trPr>
        <w:tc>
          <w:tcPr>
            <w:tcW w:w="94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42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net of the related $40 million deferred tax liability.</w:t>
      </w:r>
    </w:p>
    <w:p>
      <w:pPr>
        <w:ind w:left="320" w:hanging="312"/>
        <w:spacing w:after="0" w:line="191"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allowable portion of the Allowance for credit losses, which is a maximum of 1.25% of RWA and is net of applicable CECL phase-in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our Basel III Standardized Approach Common equity tier 1 capital, Tier 1 capital and Tier 2 capital for the period presented: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equity tier 1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applicable to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CECL phase-in adjustment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Tier 2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qualifying allowance for credit losses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157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99" w:lineRule="exact"/>
        <w:rPr>
          <w:sz w:val="20"/>
          <w:szCs w:val="20"/>
          <w:color w:val="auto"/>
        </w:rPr>
      </w:pPr>
    </w:p>
    <w:p>
      <w:pPr>
        <w:ind w:left="1325" w:hanging="1325"/>
        <w:spacing w:after="0"/>
        <w:tabs>
          <w:tab w:leader="none" w:pos="13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2,474</w:t>
      </w:r>
    </w:p>
    <w:p>
      <w:pPr>
        <w:spacing w:after="0" w:line="27" w:lineRule="exact"/>
        <w:rPr>
          <w:rFonts w:ascii="Times New Roman" w:cs="Times New Roman" w:eastAsia="Times New Roman" w:hAnsi="Times New Roman"/>
          <w:sz w:val="18"/>
          <w:szCs w:val="18"/>
          <w:color w:val="auto"/>
        </w:rPr>
      </w:pPr>
    </w:p>
    <w:p>
      <w:pPr>
        <w:ind w:left="14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w:t>
      </w:r>
    </w:p>
    <w:p>
      <w:pPr>
        <w:spacing w:after="0" w:line="22" w:lineRule="exact"/>
        <w:rPr>
          <w:rFonts w:ascii="Times New Roman" w:cs="Times New Roman" w:eastAsia="Times New Roman" w:hAnsi="Times New Roman"/>
          <w:sz w:val="18"/>
          <w:szCs w:val="18"/>
          <w:color w:val="auto"/>
        </w:rPr>
      </w:pPr>
    </w:p>
    <w:p>
      <w:pPr>
        <w:ind w:left="1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31" w:lineRule="exact"/>
        <w:rPr>
          <w:sz w:val="20"/>
          <w:szCs w:val="20"/>
          <w:color w:val="auto"/>
        </w:rPr>
      </w:pPr>
    </w:p>
    <w:p>
      <w:pPr>
        <w:ind w:left="1325"/>
        <w:spacing w:after="0"/>
        <w:rPr>
          <w:sz w:val="20"/>
          <w:szCs w:val="20"/>
          <w:color w:val="auto"/>
        </w:rPr>
      </w:pPr>
      <w:r>
        <w:rPr>
          <w:rFonts w:ascii="Times New Roman" w:cs="Times New Roman" w:eastAsia="Times New Roman" w:hAnsi="Times New Roman"/>
          <w:sz w:val="18"/>
          <w:szCs w:val="18"/>
          <w:color w:val="auto"/>
        </w:rPr>
        <w:t>2,266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157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59" w:lineRule="exact"/>
        <w:rPr>
          <w:sz w:val="20"/>
          <w:szCs w:val="20"/>
          <w:color w:val="auto"/>
        </w:rPr>
      </w:pPr>
    </w:p>
    <w:p>
      <w:pPr>
        <w:ind w:left="1325"/>
        <w:spacing w:after="0"/>
        <w:rPr>
          <w:sz w:val="20"/>
          <w:szCs w:val="20"/>
          <w:color w:val="auto"/>
        </w:rPr>
      </w:pPr>
      <w:r>
        <w:rPr>
          <w:rFonts w:ascii="Times New Roman" w:cs="Times New Roman" w:eastAsia="Times New Roman" w:hAnsi="Times New Roman"/>
          <w:sz w:val="18"/>
          <w:szCs w:val="18"/>
          <w:color w:val="auto"/>
        </w:rPr>
        <w:t>2,266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157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46" w:lineRule="exact"/>
        <w:rPr>
          <w:sz w:val="20"/>
          <w:szCs w:val="20"/>
          <w:color w:val="auto"/>
        </w:rPr>
      </w:pPr>
    </w:p>
    <w:p>
      <w:pPr>
        <w:ind w:left="1465"/>
        <w:spacing w:after="0"/>
        <w:rPr>
          <w:sz w:val="20"/>
          <w:szCs w:val="20"/>
          <w:color w:val="auto"/>
        </w:rPr>
      </w:pPr>
      <w:r>
        <w:rPr>
          <w:rFonts w:ascii="Times New Roman" w:cs="Times New Roman" w:eastAsia="Times New Roman" w:hAnsi="Times New Roman"/>
          <w:sz w:val="18"/>
          <w:szCs w:val="18"/>
          <w:color w:val="auto"/>
        </w:rPr>
        <w:t>271</w:t>
      </w:r>
    </w:p>
    <w:p>
      <w:pPr>
        <w:spacing w:after="0" w:line="27" w:lineRule="exact"/>
        <w:rPr>
          <w:sz w:val="20"/>
          <w:szCs w:val="20"/>
          <w:color w:val="auto"/>
        </w:rPr>
      </w:pPr>
    </w:p>
    <w:p>
      <w:pPr>
        <w:ind w:left="1465"/>
        <w:spacing w:after="0"/>
        <w:rPr>
          <w:sz w:val="20"/>
          <w:szCs w:val="20"/>
          <w:color w:val="auto"/>
        </w:rPr>
      </w:pPr>
      <w:r>
        <w:rPr>
          <w:rFonts w:ascii="Times New Roman" w:cs="Times New Roman" w:eastAsia="Times New Roman" w:hAnsi="Times New Roman"/>
          <w:sz w:val="18"/>
          <w:szCs w:val="18"/>
          <w:color w:val="auto"/>
        </w:rPr>
        <w:t>400</w:t>
      </w:r>
    </w:p>
    <w:p>
      <w:pPr>
        <w:spacing w:after="0" w:line="23" w:lineRule="exact"/>
        <w:rPr>
          <w:sz w:val="20"/>
          <w:szCs w:val="20"/>
          <w:color w:val="auto"/>
        </w:rPr>
      </w:pPr>
    </w:p>
    <w:p>
      <w:pPr>
        <w:ind w:left="1485"/>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57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1465"/>
        <w:spacing w:after="0"/>
        <w:rPr>
          <w:sz w:val="20"/>
          <w:szCs w:val="20"/>
          <w:color w:val="auto"/>
        </w:rPr>
      </w:pPr>
      <w:r>
        <w:rPr>
          <w:rFonts w:ascii="Times New Roman" w:cs="Times New Roman" w:eastAsia="Times New Roman" w:hAnsi="Times New Roman"/>
          <w:sz w:val="18"/>
          <w:szCs w:val="18"/>
          <w:color w:val="auto"/>
        </w:rPr>
        <w:t>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171450</wp:posOffset>
            </wp:positionV>
            <wp:extent cx="1157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17145</wp:posOffset>
            </wp:positionV>
            <wp:extent cx="1157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59" w:lineRule="exact"/>
        <w:rPr>
          <w:sz w:val="20"/>
          <w:szCs w:val="20"/>
          <w:color w:val="auto"/>
        </w:rPr>
      </w:pPr>
    </w:p>
    <w:p>
      <w:pPr>
        <w:ind w:left="1325" w:hanging="1325"/>
        <w:spacing w:after="0"/>
        <w:tabs>
          <w:tab w:leader="none" w:pos="1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576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57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715" w:space="720"/>
            <w:col w:w="1785"/>
          </w:cols>
          <w:pgMar w:left="320" w:top="121" w:right="359" w:bottom="1440" w:gutter="0" w:footer="0" w:header="0"/>
          <w:type w:val="continuous"/>
        </w:sectPr>
      </w:pPr>
    </w:p>
    <w:p>
      <w:pPr>
        <w:spacing w:after="0" w:line="1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 information about each Bank’s capital components and calculations can be found in each Bank’s Consolidated Reports of Condition and Income Form FFIEC 041 (Call Reports) as filed with the FDIC.</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Directors of each of the Banks continue to oversee the Servicer’s compliance with the requirements of the consent order and provide effective challenge to the Servicer’s management toward that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(MD&amp;A)” included in our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See the “Recently Issued Accounting Standards” in Note 1, “Description of Business, Basis of Presentation and Summary of Significant Accounting Policies” to the unaudited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7" w:lineRule="exact"/>
        <w:rPr>
          <w:sz w:val="20"/>
          <w:szCs w:val="20"/>
          <w:color w:val="auto"/>
        </w:rPr>
      </w:pPr>
    </w:p>
    <w:p>
      <w:pPr>
        <w:ind w:left="660" w:right="20" w:hanging="328"/>
        <w:spacing w:after="0" w:line="276"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market conditions, inflation, interest rates, labor market conditions, recessionary pressures or concerns over a prolonged economic slowdown, and the related impact on consumer spending behavior, payments, debt levels, savings rates and other behaviors;</w:t>
      </w:r>
    </w:p>
    <w:p>
      <w:pPr>
        <w:jc w:val="both"/>
        <w:ind w:left="660" w:right="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public health events and conditions, including significant shifts in trade policy, such as changes to, or the imposition of, tariffs and/or trade barriers and any economic impacts, volatility, uncertainty and geopolitical instability resulting therefrom, as well as ongoing wars and military conflicts and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performance of our customers, including the level of future delinquency and write-off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demand for services from, significant brand partners or customers in the highly competitive markets in which we compete;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U.S. consumer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volatility in the Allowance for credit losses that may result from the application of the current expected credit loss (CECL) model;</w:t>
      </w:r>
    </w:p>
    <w:p>
      <w:pPr>
        <w:spacing w:after="0" w:line="9" w:lineRule="exact"/>
        <w:rPr>
          <w:rFonts w:ascii="Times New Roman" w:cs="Times New Roman" w:eastAsia="Times New Roman" w:hAnsi="Times New Roman"/>
          <w:sz w:val="18"/>
          <w:szCs w:val="18"/>
          <w:color w:val="auto"/>
        </w:rPr>
      </w:pPr>
    </w:p>
    <w:p>
      <w:pPr>
        <w:ind w:left="660" w:right="9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models and estimates on which we rely, including the amount of our Allowance for credit losses and our credit risk management models;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fraudulent activity;</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complete or successfully integrate or disaggregate business acquisitions, divestitures and other strategic initiatives, including, with respect to divested businesses, any associated guarantees, indemnities or other liabilities;</w:t>
      </w:r>
    </w:p>
    <w:p>
      <w:pPr>
        <w:ind w:left="660" w:right="10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results are dependent upon our brand partners, including our brand partners’ financial performance and reputation, as well as the effective promotion and support of our products by brand partners;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doing business, including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inability to access financial or capital markets, including asset-backed securitization funding or deposits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limit our Banks’ ability to pay dividends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regulatory capital requirements or other support for our Banks;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arising from or relating to the transition of our credit card processing services to third party service providers that we completed in 2022;</w:t>
      </w:r>
    </w:p>
    <w:p>
      <w:pPr>
        <w:spacing w:after="0" w:line="9" w:lineRule="exact"/>
        <w:rPr>
          <w:rFonts w:ascii="Times New Roman" w:cs="Times New Roman" w:eastAsia="Times New Roman" w:hAnsi="Times New Roman"/>
          <w:sz w:val="18"/>
          <w:szCs w:val="18"/>
          <w:color w:val="auto"/>
        </w:rPr>
      </w:pPr>
    </w:p>
    <w:p>
      <w:pPr>
        <w:ind w:left="660" w:right="80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in our operational or security systems, including as a result of cyberattacks, unanticipated impacts from technology modernization projects, failure of our information security controls or otherwise;</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consumer information or other data due to compromised physical or cyber security, including disruptive attacks from financially motivated bad actors and third party supply chain issues;</w:t>
      </w:r>
    </w:p>
    <w:p>
      <w:pPr>
        <w:ind w:left="660" w:right="8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or other liability or adverse impacts arising out of or related to the spinoff of our former LoyaltyOne segment or the bankruptcy filings of Loyalty Ventures Inc. (LVI) and certain of its subsidiaries and subsequent litigation or other disputes; and</w:t>
      </w:r>
    </w:p>
    <w:p>
      <w:pPr>
        <w:ind w:left="660" w:right="3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identified in our filings with the SEC, including in the “Risk Factors” and “Management’s Discussion and Analysis of Financial Condition and Results of Operations” sections of our 2024 Form 10-K and this quarterly report.</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5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9"/>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13"/>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cash and investment securities</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2"/>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borrowings</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2"/>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08"/>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1,052</w:t>
            </w:r>
          </w:p>
        </w:tc>
      </w:tr>
      <w:tr>
        <w:trPr>
          <w:trHeight w:val="21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Interchange revenue, net of retailer share arrangements</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non-interest income</w:t>
            </w: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interest and non-interest income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w:t>
            </w:r>
          </w:p>
        </w:tc>
      </w:tr>
      <w:tr>
        <w:trPr>
          <w:trHeight w:val="214"/>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and non-interest income, after provision for credit losses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4"/>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Card and processing expenses</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Information processing and communication</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expenses</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non-interest expenses</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9"/>
        </w:trPr>
        <w:tc>
          <w:tcPr>
            <w:tcW w:w="8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Loss from discontinued operations, net of income taxes </w:t>
            </w:r>
            <w:r>
              <w:rPr>
                <w:rFonts w:ascii="Times New Roman" w:cs="Times New Roman" w:eastAsia="Times New Roman" w:hAnsi="Times New Roman"/>
                <w:sz w:val="21"/>
                <w:szCs w:val="21"/>
                <w:color w:val="auto"/>
                <w:vertAlign w:val="superscript"/>
              </w:rPr>
              <w:t>(1)</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1"/>
        </w:trPr>
        <w:tc>
          <w:tcPr>
            <w:tcW w:w="85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14"/>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income per share (Note 16)</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per share (Note 16)</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6"/>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2"/>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8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1"/>
        </w:trPr>
        <w:tc>
          <w:tcPr>
            <w:tcW w:w="85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14"/>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(Note 16)</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0"/>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p>
    <w:p>
      <w:pPr>
        <w:ind w:left="180" w:right="120" w:hanging="172"/>
        <w:spacing w:after="0" w:line="247" w:lineRule="auto"/>
        <w:tabs>
          <w:tab w:leader="none" w:pos="168"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200" w:lineRule="exact"/>
        <w:rPr>
          <w:sz w:val="20"/>
          <w:szCs w:val="20"/>
          <w:color w:val="auto"/>
        </w:rPr>
      </w:pPr>
    </w:p>
    <w:p>
      <w:pPr>
        <w:spacing w:after="0" w:line="23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7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
        </w:trPr>
        <w:tc>
          <w:tcPr>
            <w:tcW w:w="8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8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 benefit</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 net of tax</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87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on cash flow hedges, net of tax</w:t>
            </w:r>
          </w:p>
        </w:tc>
        <w:tc>
          <w:tcPr>
            <w:tcW w:w="7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7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87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
        </w:trPr>
        <w:tc>
          <w:tcPr>
            <w:tcW w:w="8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credit card and other loans (includes loans available to settle obligations of consolidated variable interest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March 31, 2025, $11,674; December 31, 2024, $12,408)</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(Fair value: March 31, 2025, $220; December 31, 2024, $217)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variable interest entities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 million shares; issued, 47.6 million shares as of March 31,</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49.1 million shares as of December 31, 2024.</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22,891</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Convertible Notes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($0.21 per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2"/>
        </w:trPr>
        <w:tc>
          <w:tcPr>
            <w:tcW w:w="4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60" w:type="dxa"/>
            <w:vAlign w:val="bottom"/>
            <w:gridSpan w:val="4"/>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continue"/>
          </w:tcPr>
          <w:p>
            <w:pPr>
              <w:spacing w:after="0"/>
              <w:rPr>
                <w:sz w:val="10"/>
                <w:szCs w:val="10"/>
                <w:color w:val="auto"/>
              </w:rPr>
            </w:pPr>
          </w:p>
        </w:tc>
        <w:tc>
          <w:tcPr>
            <w:tcW w:w="10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48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Cumulative effect of change in accounting principal </w:t>
            </w:r>
            <w:r>
              <w:rPr>
                <w:rFonts w:ascii="Times New Roman" w:cs="Times New Roman" w:eastAsia="Times New Roman" w:hAnsi="Times New Roman"/>
                <w:sz w:val="23"/>
                <w:szCs w:val="23"/>
                <w:color w:val="auto"/>
                <w:vertAlign w:val="superscript"/>
              </w:rPr>
              <w:t>(1)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($0.21 per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29" w:lineRule="exact"/>
        <w:rPr>
          <w:sz w:val="20"/>
          <w:szCs w:val="20"/>
          <w:color w:val="auto"/>
        </w:rPr>
      </w:pPr>
    </w:p>
    <w:p>
      <w:pPr>
        <w:ind w:left="340" w:right="220" w:hanging="332"/>
        <w:spacing w:after="0" w:line="230" w:lineRule="auto"/>
        <w:tabs>
          <w:tab w:leader="none" w:pos="32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cumulative effect, net of tax, of adopting the proportional amortization method of accounting for our tax credit investment. For additional information refer to Note 1, “Description of Business, Basis of Presentation and Significant Accounting Policies” included in our 2024 Form 10-K.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deferred origination costs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other assets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3"/>
        </w:trPr>
        <w:tc>
          <w:tcPr>
            <w:tcW w:w="81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w:t>
            </w:r>
          </w:p>
        </w:tc>
      </w:tr>
      <w:tr>
        <w:trPr>
          <w:trHeight w:val="199"/>
        </w:trPr>
        <w:tc>
          <w:tcPr>
            <w:tcW w:w="8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credit card and other loans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including capital expenditures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0"/>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720</w:t>
            </w:r>
          </w:p>
        </w:tc>
      </w:tr>
      <w:tr>
        <w:trPr>
          <w:trHeight w:val="199"/>
        </w:trPr>
        <w:tc>
          <w:tcPr>
            <w:tcW w:w="8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borrowings under debt agreements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unsecured borrowings under debt agreements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9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debt issued by consolidated variable interest entities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(975)</w:t>
            </w:r>
          </w:p>
        </w:tc>
      </w:tr>
      <w:tr>
        <w:trPr>
          <w:trHeight w:val="199"/>
        </w:trPr>
        <w:tc>
          <w:tcPr>
            <w:tcW w:w="8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r>
      <w:tr>
        <w:trPr>
          <w:trHeight w:val="208"/>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8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reconciliation</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3,808</w:t>
            </w:r>
          </w:p>
        </w:tc>
      </w:tr>
      <w:tr>
        <w:trPr>
          <w:trHeight w:val="22"/>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Consolidated Statements of Cash Flows are presented with the combined cash flows from continuing and discontinued operations.</w:t>
      </w: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92" w:lineRule="exact"/>
        <w:rPr>
          <w:sz w:val="20"/>
          <w:szCs w:val="20"/>
          <w:color w:val="auto"/>
        </w:rPr>
      </w:pPr>
    </w:p>
    <w:p>
      <w:pPr>
        <w:ind w:right="1080" w:firstLine="8"/>
        <w:spacing w:after="0" w:line="534"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SUMMARY OF SIGNIFICANT ACCOUNTING POLICIES DESCRIPTION OF THE BUSINESS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home goods, technology and electronics and the industry in which we first began, specialty apparel.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accounting principles generally accepted in the United States of America (GAAP), and should be read in conjunction with the Consolidated Financial Statements and notes thereto included in our Annual Report on Form 10-K for the year ended December 31, 2024, filed with the Securities and Exchange Commission on February 14, 2025 (the 2024 Form 10-K). If not significantly different, certain note disclosures included therein have been omitted from these unaudited Consolidated Financial Statements.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 entire year. The preparation of financial statements in conformity with GAAP requires management to make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Provision for income taxes and Goodwill.</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all subsidiaries in which we have a controlling financial interest. All intercompany transactions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discussed in Note 1, “Description of Business, Basis of Presentation and Significant Accounting Policies” included in our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3291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329184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Issued but Not Yet Adopted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Income Taxes: Improvements to</w:t>
            </w:r>
          </w:p>
        </w:tc>
        <w:tc>
          <w:tcPr>
            <w:tcW w:w="2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greater disaggregation of rate</w:t>
            </w:r>
          </w:p>
        </w:tc>
        <w:tc>
          <w:tcPr>
            <w:tcW w:w="5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Income Tax Disclosures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reconciliation and income taxes paid</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2025. Early adoption is permitted, although we did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as well as other changes</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not 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December 2023</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intended to enhance the transparency</w:t>
            </w:r>
          </w:p>
        </w:tc>
        <w:tc>
          <w:tcPr>
            <w:tcW w:w="5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decision-usefulness of income tax</w:t>
            </w:r>
          </w:p>
        </w:tc>
        <w:tc>
          <w:tcPr>
            <w:tcW w:w="552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Adoption will require enhancements to our income tax disclosures but is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60" w:type="dxa"/>
            <w:vAlign w:val="bottom"/>
            <w:tcBorders>
              <w:right w:val="single" w:sz="8" w:color="auto"/>
            </w:tcBorders>
            <w:shd w:val="clear" w:color="auto" w:fill="CCEEFF"/>
          </w:tcPr>
          <w:p>
            <w:pPr>
              <w:spacing w:after="0"/>
              <w:rPr>
                <w:sz w:val="4"/>
                <w:szCs w:val="4"/>
                <w:color w:val="auto"/>
              </w:rPr>
            </w:pPr>
          </w:p>
        </w:tc>
        <w:tc>
          <w:tcPr>
            <w:tcW w:w="2860" w:type="dxa"/>
            <w:vAlign w:val="bottom"/>
            <w:tcBorders>
              <w:right w:val="single" w:sz="8" w:color="auto"/>
            </w:tcBorders>
            <w:vMerge w:val="continue"/>
            <w:shd w:val="clear" w:color="auto" w:fill="CCEEFF"/>
          </w:tcPr>
          <w:p>
            <w:pPr>
              <w:spacing w:after="0"/>
              <w:rPr>
                <w:sz w:val="4"/>
                <w:szCs w:val="4"/>
                <w:color w:val="auto"/>
              </w:rPr>
            </w:pPr>
          </w:p>
        </w:tc>
        <w:tc>
          <w:tcPr>
            <w:tcW w:w="55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spacing w:after="0"/>
              <w:rPr>
                <w:sz w:val="16"/>
                <w:szCs w:val="16"/>
                <w:color w:val="auto"/>
              </w:rPr>
            </w:pPr>
          </w:p>
        </w:tc>
        <w:tc>
          <w:tcPr>
            <w:tcW w:w="28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disclosures.</w:t>
            </w:r>
          </w:p>
        </w:tc>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expected to have a significant impact on our financial reporting, or on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spacing w:after="0"/>
              <w:rPr>
                <w:sz w:val="15"/>
                <w:szCs w:val="15"/>
                <w:color w:val="auto"/>
              </w:rPr>
            </w:pP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Debt – Debt with Conversion and</w:t>
            </w:r>
          </w:p>
        </w:tc>
        <w:tc>
          <w:tcPr>
            <w:tcW w:w="28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Improves the relevance and</w:t>
            </w:r>
          </w:p>
        </w:tc>
        <w:tc>
          <w:tcPr>
            <w:tcW w:w="5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Effective January 1, 2026. Early adoption is permitted, although we do not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Options: Induced Conversions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consistency in application of the</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of Convertible Debt Instruments</w:t>
            </w: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induced conversion guidance for (a)</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debt instruments with cash</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features and (b) debt</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as the new guidance aligns with our recent accounting for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instruments that are not currently</w:t>
            </w:r>
          </w:p>
        </w:tc>
        <w:tc>
          <w:tcPr>
            <w:tcW w:w="55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repurchases of certain of our Convertible Senior Notes due 2028.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86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5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Additionally, adoption is not expected to have a significant impact on our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860" w:type="dxa"/>
            <w:vAlign w:val="bottom"/>
            <w:tcBorders>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Income Statement – Reporting</w:t>
            </w:r>
          </w:p>
        </w:tc>
        <w:tc>
          <w:tcPr>
            <w:tcW w:w="28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Requires disaggregated disclosure of</w:t>
            </w:r>
          </w:p>
        </w:tc>
        <w:tc>
          <w:tcPr>
            <w:tcW w:w="55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Comprehensive Income – Expense</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certain income statement expenses on</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2027, and effective for interim reporting periods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Disaggregation Disclosures: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face of the Consolidated</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beginning in 2028. Early adoption is permitted, although we do not plan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Disaggregation of Income Statement</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of Income, and further</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disaggregation of certain expense</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captions into specified categories in</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within the notes to the</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tcBorders>
              <w:bottom w:val="single" w:sz="8" w:color="auto"/>
              <w:right w:val="single" w:sz="8" w:color="auto"/>
            </w:tcBorders>
            <w:shd w:val="clear" w:color="auto" w:fill="CCEEFF"/>
          </w:tcPr>
          <w:p>
            <w:pPr>
              <w:spacing w:after="0"/>
              <w:rPr>
                <w:sz w:val="10"/>
                <w:szCs w:val="10"/>
                <w:color w:val="auto"/>
              </w:rPr>
            </w:pPr>
          </w:p>
        </w:tc>
        <w:tc>
          <w:tcPr>
            <w:tcW w:w="28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55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CREDIT CARD AND OTHER LOANS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which consist primarily of our pay-over-time products, which include installment loans and “split-pay” offerings, have a range of fixed terms such as interest rates, fees and repayment periods, and borrowers are required to make pre-established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payments over the term of the loan in accordance with the applicable terms and conditions. Credit card and other loans include principal and any related accrued interest and fees and are presented on the Consolidated Balance Sheets net of the Allowance for credit losses. We continue to accrue interest and fee income on all accounts, except in limited circumstances, until the related balance and all related interest and fees are paid or charged-off.</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generally classify our Credit card and other loans as held for investment. We sell a majority of our credit card loans originated by Comenity Bank (CB) and by Comenity Capital Bank (CCB), to certain of our master securitization trusts (the Trusts), which are consolidated VIEs, and therefore these loans are restricted for securitization investors. All new originations of Credit card and other loans are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Credit card and other loans,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credit card and other loans </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400" w:hanging="332"/>
        <w:spacing w:after="0" w:line="222"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$11.7 billion and $12.4 billion of Credit card and other loans available to settle obligations of consolidated VIEs as of March 31, 2025 and December 31, 2024, respectively.</w:t>
      </w:r>
    </w:p>
    <w:p>
      <w:pPr>
        <w:spacing w:after="0" w:line="1" w:lineRule="exact"/>
        <w:rPr>
          <w:rFonts w:ascii="Times New Roman" w:cs="Times New Roman" w:eastAsia="Times New Roman" w:hAnsi="Times New Roman"/>
          <w:sz w:val="21"/>
          <w:szCs w:val="21"/>
          <w:color w:val="auto"/>
          <w:vertAlign w:val="superscript"/>
        </w:rPr>
      </w:pPr>
    </w:p>
    <w:p>
      <w:pPr>
        <w:ind w:left="340" w:right="620" w:hanging="332"/>
        <w:spacing w:after="0" w:line="222"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$372 million and $378 million, of accrued interest and fees that have not yet been billed to cardholders as of March 31, 2025 and December 31, 2024,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and Other Loans Aging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of our Credit card and other loans portfolio, based on the amortized cost, as of the dates presented:</w:t>
      </w:r>
    </w:p>
    <w:p>
      <w:pPr>
        <w:spacing w:after="0" w:line="28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jc w:val="center"/>
        <w:ind w:right="220"/>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Credit Card and Other Loans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6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380" w:hanging="332"/>
        <w:spacing w:after="0" w:line="217"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loans delinquencies have been included with credit card loan delinquencies in the table above, as amounts were insignificant as of each period presented. As permitted by GAAP, the primary difference between the amortized cost basis included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400" w:lineRule="exact"/>
        <w:rPr>
          <w:sz w:val="20"/>
          <w:szCs w:val="20"/>
          <w:color w:val="auto"/>
        </w:rPr>
      </w:pPr>
    </w:p>
    <w:p>
      <w:pPr>
        <w:jc w:val="both"/>
        <w:ind w:left="340" w:right="480"/>
        <w:spacing w:after="0" w:line="272" w:lineRule="auto"/>
        <w:rPr>
          <w:sz w:val="20"/>
          <w:szCs w:val="20"/>
          <w:color w:val="auto"/>
        </w:rPr>
      </w:pPr>
      <w:r>
        <w:rPr>
          <w:rFonts w:ascii="Times New Roman" w:cs="Times New Roman" w:eastAsia="Times New Roman" w:hAnsi="Times New Roman"/>
          <w:sz w:val="16"/>
          <w:szCs w:val="16"/>
          <w:color w:val="auto"/>
        </w:rPr>
        <w:t>above and the carrying value of our Credit card and other loans relates to the exclusion of unbilled finance charges and fees from the amortized cost basis. As of March 31, 2025 and December 31, 2024, accrued interest and fees that have not yet been billed to cardholders were $372 million and $378 million, respectively, included in Credit card and other loans on the Consolidated Balance Sheets.</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3.5% and 5.5% for the three months ended March 31, 2025 and 2024. Our re-aging practices comply with regulatory guidelines.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Our Credit Card and Other Loans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 Our Delinquency rate was 5.9% as of both March 31, 2025 and December 31, 2024.</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losses that are deemed uncollectible, less recoveries, and exclude charged-off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$250 million and $278 million for the three months ended March 31, 2025 and 2024.</w:t>
      </w:r>
    </w:p>
    <w:p>
      <w:pPr>
        <w:spacing w:after="0" w:line="2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using an average daily balance calculation methodology. For the three months ended March 31, 2025 and 2024, our Net principal loss rates were 8.2% and 8.5%,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Overall Credit Quality: </w:t>
      </w:r>
      <w:r>
        <w:rPr>
          <w:rFonts w:ascii="Times New Roman" w:cs="Times New Roman" w:eastAsia="Times New Roman" w:hAnsi="Times New Roman"/>
          <w:sz w:val="18"/>
          <w:szCs w:val="18"/>
          <w:color w:val="auto"/>
        </w:rPr>
        <w:t>As part of our credit risk management activities for our credit card loans portfolio, we assess overall credit quality by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credit bureaus and other sources relating to our cardholders’ broader credit performance. We utilize VantageScore (Vantage) credit scores to assist in our assessment of credit quality. Vantage credit scores are obtained at origination of the account and are refreshed monthly thereafter to assist in predicting customer behavior. We categorize these Vantage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customer accounts for which a Vantage score is not available and we use alternative sources to assess credit risk and predict behavior. The table below excludes less than 0.1% of the total credit card loans balance as of both March 31, 2025 and December 31, 2024, representing those customer accounts for which a Vantage credit score is not available. The following table reflects the distribution of credit card loans by Vantage score as of the dates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Vantage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tcBorders>
              <w:bottom w:val="single" w:sz="8" w:color="auto"/>
            </w:tcBorders>
          </w:tcPr>
          <w:p>
            <w:pPr>
              <w:spacing w:after="0"/>
              <w:rPr>
                <w:sz w:val="16"/>
                <w:szCs w:val="16"/>
                <w:color w:val="auto"/>
              </w:rPr>
            </w:pPr>
          </w:p>
        </w:tc>
      </w:tr>
      <w:tr>
        <w:trPr>
          <w:trHeight w:val="137"/>
        </w:trPr>
        <w:tc>
          <w:tcPr>
            <w:tcW w:w="2380" w:type="dxa"/>
            <w:vAlign w:val="bottom"/>
          </w:tcPr>
          <w:p>
            <w:pPr>
              <w:spacing w:after="0"/>
              <w:rPr>
                <w:sz w:val="11"/>
                <w:szCs w:val="11"/>
                <w:color w:val="auto"/>
              </w:rPr>
            </w:pPr>
          </w:p>
        </w:tc>
        <w:tc>
          <w:tcPr>
            <w:tcW w:w="96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601 to</w:t>
            </w:r>
          </w:p>
        </w:tc>
        <w:tc>
          <w:tcPr>
            <w:tcW w:w="140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14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601 to</w:t>
            </w:r>
          </w:p>
        </w:tc>
        <w:tc>
          <w:tcPr>
            <w:tcW w:w="1420" w:type="dxa"/>
            <w:vAlign w:val="bottom"/>
          </w:tcPr>
          <w:p>
            <w:pPr>
              <w:ind w:left="520"/>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r>
      <w:tr>
        <w:trPr>
          <w:trHeight w:val="195"/>
        </w:trPr>
        <w:tc>
          <w:tcPr>
            <w:tcW w:w="238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100" w:type="dxa"/>
            <w:vAlign w:val="bottom"/>
          </w:tcPr>
          <w:p>
            <w:pPr>
              <w:spacing w:after="0"/>
              <w:rPr>
                <w:sz w:val="16"/>
                <w:szCs w:val="16"/>
                <w:color w:val="auto"/>
              </w:rPr>
            </w:pPr>
          </w:p>
        </w:tc>
        <w:tc>
          <w:tcPr>
            <w:tcW w:w="18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100" w:type="dxa"/>
            <w:vAlign w:val="bottom"/>
          </w:tcPr>
          <w:p>
            <w:pPr>
              <w:spacing w:after="0"/>
              <w:rPr>
                <w:sz w:val="16"/>
                <w:szCs w:val="16"/>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Lower</w:t>
            </w: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credit risk management activities for our Other loans portfolio, we also assess overall credit quality by reviewing information from credit bureaus. We have historically utilized Fair Isaac Corporation (FICO) credit scores to assist in our assessment of the credit quality for our Other loans portfolio, but in early 2024 we completed a transition to Vantage scoring. The scoring scale produced by both FICO and Vantage is similar in that scores of 600 or less are considered weaker scores and as per our categorization method would have the highest credit risk. The amortized cost basis of Other loans totaled $283 million and $298 million as of March 31, 2025 and December 31, 2024, respectively. As of March 31, 2025, approximately 85% of these loans were originated with customers with scores of 661 or above, and correspondingly approximately 15% of these loans were originated with customers with scores below 661. Similarly, as of December 31, 2024, approximately 84% and 16% of these loans were originated with customers with FICO scores of 661 or above, and below 661,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Credit Card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Relief Programs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Federal Emergency Management Agency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 - Modifications for Borrowers Experiencing Financial Difficulty (Loan Modifications)</w:t>
      </w:r>
    </w:p>
    <w:p>
      <w:pPr>
        <w:spacing w:after="0" w:line="2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modifications the concessions remain in place through the payoff of the credit card loans if the cardholder complies with the terms of the program.</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520" w:type="dxa"/>
            <w:vAlign w:val="bottom"/>
          </w:tcPr>
          <w:p>
            <w:pPr>
              <w:spacing w:after="0"/>
              <w:rPr>
                <w:sz w:val="16"/>
                <w:szCs w:val="16"/>
                <w:color w:val="auto"/>
              </w:rPr>
            </w:pPr>
          </w:p>
        </w:tc>
        <w:tc>
          <w:tcPr>
            <w:tcW w:w="3820" w:type="dxa"/>
            <w:vAlign w:val="bottom"/>
            <w:gridSpan w:val="5"/>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3"/>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380" w:type="dxa"/>
            <w:vAlign w:val="bottom"/>
            <w:gridSpan w:val="3"/>
            <w:vMerge w:val="continue"/>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1380" w:type="dxa"/>
            <w:vAlign w:val="bottom"/>
            <w:gridSpan w:val="3"/>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0" w:type="dxa"/>
            <w:vAlign w:val="bottom"/>
          </w:tcPr>
          <w:p>
            <w:pPr>
              <w:spacing w:after="0"/>
              <w:rPr>
                <w:sz w:val="1"/>
                <w:szCs w:val="1"/>
                <w:color w:val="auto"/>
              </w:rPr>
            </w:pPr>
          </w:p>
        </w:tc>
      </w:tr>
      <w:tr>
        <w:trPr>
          <w:trHeight w:val="159"/>
        </w:trPr>
        <w:tc>
          <w:tcPr>
            <w:tcW w:w="2480" w:type="dxa"/>
            <w:vAlign w:val="bottom"/>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00" w:hanging="332"/>
        <w:spacing w:after="0" w:line="224"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outstanding balances as of March 31, 2025 and 2024, of all Loan Modifications undertaken in the past three months, for credit card loans that remain in modification programs as of March 31, 2025 and 2024, respectively. The outstanding balances include principal, accrued interest and fees.</w:t>
      </w:r>
    </w:p>
    <w:p>
      <w:pPr>
        <w:spacing w:after="0" w:line="21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performance of our credit card loans that were modified within the 12 months prior to the dates presented and remain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Modification program as of the dates presented:</w:t>
      </w:r>
    </w:p>
    <w:p>
      <w:pPr>
        <w:spacing w:after="0" w:line="2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 Modifications - Credit Card Loans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credit card Loan Modifications that have subsequently defaulted within 12 months of their modification dates, for the periods presented; the probability of default is factored into the Allowance for credit losses: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6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4"/>
        </w:trPr>
        <w:tc>
          <w:tcPr>
            <w:tcW w:w="5020" w:type="dxa"/>
            <w:vAlign w:val="bottom"/>
            <w:vMerge w:val="continue"/>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Modifications that subsequently defaulted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Lending Commitments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$101 billion and $103 billion as of March 31, 2025 and December 31, 2024, respectively. While this amount represented the total available unused credit card lines, we have not experienced and do not anticipate that all cardholders will access their entire available line at any given point in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there were no credit card loans held for sale.</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late April 2024 we sold a credit card loan portfolio for cash consideration of $102 million. We recognized a gain on sale in April 2024 that was subsequently adjusted during the second half of 2024 to recognize an incremental amount due under the purchase and sale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we acquired a credit card loan portfolio for cash consideration of approximately $378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unpaid interest and fees. Principal losses, net of recoveries are deducted from the Allowance for credit losses. Losses of unpaid interest and fees as well as any adjustments to the Allowance for credit losses associated with unpaid interest and fees are recorded as a reduction to Interest and fees on loans. The Allowance for credit losses is maintained through an adjustment to the Provision for credit losses and is evaluated for appropriateness on a quarterly basis.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Loans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March 31, 2025 and December 31, 2024, the Allowance for credit losses on Other loans was $29 million and $30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Rollforward</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Allowance for credit losses for our Credit card and other loans. The amount of the related Allowance for credit losses on other loans is insignificant and therefore has been included in the table below for the periods presented:</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19" w:lineRule="auto"/>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Provision for credit losses includes a build/release for the Allowance, as well as replenishment of Net principal losses.</w:t>
      </w:r>
    </w:p>
    <w:p>
      <w:pPr>
        <w:ind w:left="320" w:hanging="312"/>
        <w:spacing w:after="0" w:line="182" w:lineRule="auto"/>
        <w:tabs>
          <w:tab w:leader="none" w:pos="32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Net principal losses are presented net of recoveries of $96 million and $100 million for the three months ended March 31, 2025 and 2024, respectively.</w:t>
      </w:r>
    </w:p>
    <w:p>
      <w:pPr>
        <w:spacing w:after="0" w:line="2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balance of the Allowance for credit losses decreased, due primarily to the decrease in Credit card and other loans as seasonally higher transactor balances from the fourth quarter of 2024 were paid down in the first quarter of 2025. Our reserve rate was 12.2% as of March 31, 2025, reflecting appropriately prudent weightings on the economic scenarios in our credit reserve modeling to ensure the adequacy of our Allowance for credit losses given the wide range of potential macroeconomic outcomes.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SECURITIZATIONS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21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Under the Indentures of each Trust and their Indenture Supplements, we are required to maintain minimum interests in our Trusts ranging from 4% to 10%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months ended March 31, 2025 and 2024, no such triggering events occurred.</w:t>
      </w:r>
    </w:p>
    <w:p>
      <w:pPr>
        <w:spacing w:after="0" w:line="20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total securitized credit card loans and related delinquencies, and net principal losses of securitized credit card loans for the periods presented: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9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card loans – available to settle obligations of consolidated VIEs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which: principal amount of credit card loans 91 days or more past due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539"/>
        </w:trPr>
        <w:tc>
          <w:tcPr>
            <w:tcW w:w="8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of securitized credit card loans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 an insignificant tax credit investment where we elected to apply the proportional amortization method of accounting, for which the impacts of both the amortization of the investment and income tax benefits are fully recognized in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Investments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March 31, 2025 and December 31, 2024, and did not recognize any credit losses for the periods presented. Any unrealized gains, or any portion of an AFS debt security’s non-credit-related unrealized losses are recorded in the Consolidated Statements of Comprehensive Income, net of tax.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unrealized gains and losses on AFS debt securities as of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AFS debt securities in a gross unrealized loss position and the length of time that individual securities have been in a continuous unrealized loss position,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March 31, 2025, our AFS debt securities included mortgage-backed securities, which do not have a single maturity date, with an amortized cost and estimated fair value of $167 million and $147 million, respectively, and municipal bonds, all of which have a maturity date greater than ten years, with an amortized cost and estimated fair value of $27 million and $25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realized gains or losses from the sale of any investment securities for the three months ended March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DEPOSITS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were categorized as interest-bearing or non-interest-bearing as follows, as of the dates presented: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9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Non-interest-bearing (including cardholder credit balances)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Deposits by deposit type were as follows as of the dates presented: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Cardholder credit balances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scheduled maturities of certificates of deposit were as follows as of March 31, 2025: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22" w:lineRule="auto"/>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2025 balance includes $3 million in unamortized debt issuance costs, which are associated with the entire portfolio of certificates of deposit.</w:t>
      </w:r>
    </w:p>
    <w:p>
      <w:pPr>
        <w:spacing w:after="0" w:line="2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deposits that exceeded applicable FDIC insurance limits, which are generally $250,000 per depositor, per insured bank, per ownership category, were estimated to be $592 million (4% of Total deposits) and $574 million (4% of Total deposits), respectively. The measurement of estimated uninsured deposits aligns with regulatory guidelines.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 OF LONG-TERM AND OTHER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and other debt consisted of the following as of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Contractual Maturities</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Long-term and other debt: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2028</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75"/>
        </w:trPr>
        <w:tc>
          <w:tcPr>
            <w:tcW w:w="3660" w:type="dxa"/>
            <w:vAlign w:val="bottom"/>
            <w:tcBorders>
              <w:bottom w:val="single" w:sz="8" w:color="CCEEFF"/>
            </w:tcBorders>
            <w:gridSpan w:val="2"/>
            <w:vMerge w:val="continue"/>
            <w:shd w:val="clear" w:color="auto" w:fill="CCEEFF"/>
          </w:tcPr>
          <w:p>
            <w:pPr>
              <w:spacing w:after="0"/>
              <w:rPr>
                <w:sz w:val="6"/>
                <w:szCs w:val="6"/>
                <w:color w:val="auto"/>
              </w:rPr>
            </w:pPr>
          </w:p>
        </w:tc>
        <w:tc>
          <w:tcPr>
            <w:tcW w:w="220" w:type="dxa"/>
            <w:vAlign w:val="bottom"/>
            <w:tcBorders>
              <w:bottom w:val="single" w:sz="8" w:color="CCEEFF"/>
            </w:tcBorders>
            <w:vMerge w:val="continue"/>
            <w:shd w:val="clear" w:color="auto" w:fill="CCEEFF"/>
          </w:tcPr>
          <w:p>
            <w:pPr>
              <w:spacing w:after="0"/>
              <w:rPr>
                <w:sz w:val="6"/>
                <w:szCs w:val="6"/>
                <w:color w:val="auto"/>
              </w:rPr>
            </w:pPr>
          </w:p>
        </w:tc>
        <w:tc>
          <w:tcPr>
            <w:tcW w:w="150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1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gridSpan w:val="2"/>
            <w:vMerge w:val="continue"/>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2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2026</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 due 2028</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2028</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2029</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 due 2035</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2035</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86"/>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long-term and other debt</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Debt issued by consolidated VIEs: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asset-backed term note securities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 – May 2026 to Jul. 2027</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4.62% to 5.47%</w:t>
            </w:r>
          </w:p>
        </w:tc>
        <w:tc>
          <w:tcPr>
            <w:tcW w:w="0" w:type="dxa"/>
            <w:vAlign w:val="bottom"/>
          </w:tcPr>
          <w:p>
            <w:pPr>
              <w:spacing w:after="0"/>
              <w:rPr>
                <w:sz w:val="1"/>
                <w:szCs w:val="1"/>
                <w:color w:val="auto"/>
              </w:rPr>
            </w:pPr>
          </w:p>
        </w:tc>
      </w:tr>
      <w:tr>
        <w:trPr>
          <w:trHeight w:val="121"/>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Conduit asset-backed securities</w:t>
            </w:r>
          </w:p>
        </w:tc>
        <w:tc>
          <w:tcPr>
            <w:tcW w:w="22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tcPr>
          <w:p>
            <w:pPr>
              <w:spacing w:after="0"/>
              <w:rPr>
                <w:sz w:val="10"/>
                <w:szCs w:val="10"/>
                <w:color w:val="auto"/>
              </w:rPr>
            </w:pPr>
          </w:p>
        </w:tc>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Various – Sep. 2025 to Feb. 2026</w:t>
            </w:r>
          </w:p>
        </w:tc>
        <w:tc>
          <w:tcPr>
            <w:tcW w:w="144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71"/>
        </w:trPr>
        <w:tc>
          <w:tcPr>
            <w:tcW w:w="36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7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debt issued by consolidated VIEs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 of long-term and other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5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the Secured Overnight Financing Rate (SOFR) plus an applicable margin.</w:t>
      </w:r>
    </w:p>
    <w:p>
      <w:pPr>
        <w:ind w:left="340" w:right="60" w:hanging="332"/>
        <w:spacing w:after="0" w:line="221"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interest rate is based upon SOFR, or the asset-backed commercial paper costs of each individual conduit provider plus an applicable margin. As of March 31, 2025 the interest rates ranged from 5.27% to 5.44% with a weighted average rate of 5.38%. As of December 31, 2024 the interest rates ranged from 5.48% to 5.60% with a weighted average rate of 5.54%.</w:t>
      </w:r>
    </w:p>
    <w:p>
      <w:pPr>
        <w:spacing w:after="0" w:line="2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March 31, 2025, we were in compliance with all such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and Other Debt</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we engaged in a number of financing-related transactions, including the repurchase of another portion of our 4.25% Convertible Senior Notes due 2028, and redeeming the remaining $100 million in aggregate principal amount of our 7.000% Senior Notes due 2026, in each case with cash on hand. In addition, we closed on our offering of $400 million aggregate principal amount of 8.375% Fixed-Rate Reset Subordinated Notes due 2035. Each of these transactions, as well as other matters relating to our liquidity and capital resources during the first quarter, are described in more detail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25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March 31, 2025, our Revolving Credit Facility was undrawn and all $700 million remained available for future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2026, 2028 and 2029</w:t>
      </w:r>
    </w:p>
    <w:p>
      <w:pPr>
        <w:spacing w:after="0" w:line="25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Senior Notes set forth below are each governed by their respective indenture that includes usual and customary negative covenants and events of default. These Senior Notes are unsecured and are guaranteed on a senior unsecured basis by certain of our existing and future domestic restricted subsidiaries that incur or in any other manner become liable for any debt under our domestic credit facilities, including the Revolving Credit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September 2020, we issued and sold $500 million aggregate principal amount of 7.000% Senior Notes due January 15, 2026 (the Senior Notes due 2026). The Senior Notes due 2026 accrue interest on the outstanding principal amount at the rate of 7.000% per annum from September 22, 2020, payable semi-annually in arrears, on March 15 and September 15 of each year, beginning on March 15, 2021. The Senior Notes due 2026 will mature on January 15, 2026, subject to earlier repurchase or redemption. In January 2024, we redeemed $400 million in aggregate principal amount of the Senior Notes due 2026 and in January 2025, with cash on hand we redeemed the remaining $100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issuance of our Convertible Notes and our Capped Call transactions, see Note 10, “Borrowings of Long-Term and Other Debt” to our 2024 Form 10-K.</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a holder of Convertible Notes approached us to repurchase Convertible Notes, and we entered into a privately-negotiated repurchase agreement with the holder, repurchasing $7 million aggregate principal amount of outstanding Convertible Notes. The final purchase price, or settlement value, for the repurchase was $11 million, which was funded with cash on hand. In connection with the repurchase, we recognized a $2 million inducement expense in Other non-interest expenses representing the total settlement value, inclusive of transaction fees, in excess of the total conversion value (calculated in accordance with the indenture governing the Convertible Notes), as well as a $2 million reduction in Additional paid-in capital (APIC) related to the total conversion value paid in excess of the carrying value of the Convertible Notes repurchased and a deferred tax impact.</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Following the settlement of these repurchases, $3 million of Convertible Notes remained outstanding as of March 31, 2025.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March 2025 repurchase was negotiated and settled during the quarter, therefore, there were no embedded conversion features requiring bifurcation and derivative accounting as of March 31, 2025.</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repurchases of our Convertible Notes.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January 2024, we issued and sold an additional $300 million aggregate principal amount of </w:t>
      </w:r>
      <w:r>
        <w:rPr>
          <w:rFonts w:ascii="Times New Roman" w:cs="Times New Roman" w:eastAsia="Times New Roman" w:hAnsi="Times New Roman"/>
          <w:sz w:val="18"/>
          <w:szCs w:val="18"/>
          <w:i w:val="1"/>
          <w:iCs w:val="1"/>
          <w:color w:val="auto"/>
        </w:rPr>
        <w:t>9.750%</w:t>
      </w:r>
      <w:r>
        <w:rPr>
          <w:rFonts w:ascii="Times New Roman" w:cs="Times New Roman" w:eastAsia="Times New Roman" w:hAnsi="Times New Roman"/>
          <w:sz w:val="18"/>
          <w:szCs w:val="18"/>
          <w:color w:val="auto"/>
        </w:rPr>
        <w:t xml:space="preserve"> Senior Notes due 2029 (Senior Notes due 2029) at an issue price of 101.00% of principal plus accrued interest from December 22, 2023. The Senior Notes due 2029 issued in January 2024 were issued as additional notes under the same indenture pursuant to which the initial $600 million of Senior Notes due 2029 were issued in December 2023. The Senior Notes due 2029 that were issued in both December 2023 and January 2024 constitute a single series of notes and have the same terms, other than the issue date and issue price. The Senior Notes due 2029 accrue interest on the outstanding principal amount at the rate of </w:t>
      </w:r>
      <w:r>
        <w:rPr>
          <w:rFonts w:ascii="Times New Roman" w:cs="Times New Roman" w:eastAsia="Times New Roman" w:hAnsi="Times New Roman"/>
          <w:sz w:val="18"/>
          <w:szCs w:val="18"/>
          <w:i w:val="1"/>
          <w:iCs w:val="1"/>
          <w:color w:val="auto"/>
        </w:rPr>
        <w:t>9.750%</w:t>
      </w:r>
      <w:r>
        <w:rPr>
          <w:rFonts w:ascii="Times New Roman" w:cs="Times New Roman" w:eastAsia="Times New Roman" w:hAnsi="Times New Roman"/>
          <w:sz w:val="18"/>
          <w:szCs w:val="18"/>
          <w:color w:val="auto"/>
        </w:rPr>
        <w:t xml:space="preserve"> per annum from December 22, 2023, payable semi-annually in arrears, on March 15 and September 15 of each year, beginning on March 15, 2024. The Senior Notes due 2029 will mature on March 15, 2029, unless subject to earlier repurchase or redemption.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8.375% Subordinated Notes Due 2035</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2025, we issued and sold $400 million 8.375% Fixed-Rate Reset Subordinated Notes due June 2035 (the Subordinated Notes). The Subordinated Notes were issued pursuant to an indenture between the Company and U.S. Bank Trust Company, National Association, as trustee.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in June and December of each year, beginning in June 2025. The Subordinated Notes will mature in June 2035, unless earlier repurchased or redeemed.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Issued by Consolidated VIEs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asset-backed security is a security whose value and income payments are derived from and collateralized by a specified pool of underlying assets – in our case, our credit card loans. The sale of the pool of underlying assets to general investors is accomplished through a securitization process. We regularly sell our credit card loans to our Trusts, which are consolidated. The liabilities of these consolidated VIEs include asset-backed securities for which creditors, or beneficial interest holders, do not have recourse to our general credit.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Conduit Facilities</w:t>
      </w:r>
    </w:p>
    <w:p>
      <w:pPr>
        <w:spacing w:after="0" w:line="254"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maintained committed syndicated bank Conduit Facilities to support the funding of our credit card loans for our Trusts. Borrowings outstanding under each private Conduit Facility bear interest at a margin above SOFR, or the asset-backed commercial paper costs of each individual conduit provider.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0"/>
                <w:szCs w:val="20"/>
                <w:color w:val="auto"/>
              </w:rPr>
            </w:pPr>
          </w:p>
        </w:tc>
        <w:tc>
          <w:tcPr>
            <w:tcW w:w="22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3"/>
        </w:trPr>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Drawn </w:t>
            </w:r>
            <w:r>
              <w:rPr>
                <w:rFonts w:ascii="Times New Roman" w:cs="Times New Roman" w:eastAsia="Times New Roman" w:hAnsi="Times New Roman"/>
                <w:sz w:val="23"/>
                <w:szCs w:val="23"/>
                <w:b w:val="1"/>
                <w:bCs w:val="1"/>
                <w:color w:val="auto"/>
                <w:w w:val="95"/>
                <w:vertAlign w:val="superscript"/>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98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2026</w:t>
            </w: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11"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400" w:lineRule="exact"/>
        <w:rPr>
          <w:sz w:val="20"/>
          <w:szCs w:val="20"/>
          <w:color w:val="auto"/>
        </w:rPr>
      </w:pPr>
    </w:p>
    <w:p>
      <w:pPr>
        <w:ind w:left="340" w:right="40" w:hanging="332"/>
        <w:spacing w:after="0" w:line="235"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In October 2024, the revolving period of the 2009-VFC1 Conduit expired and the Conduit Facility entered controlled amortization, meaning the period in which principal collections are accumulated to pay down the outstanding principal amount of the notes issued under the Conduit Facility.</w:t>
      </w:r>
    </w:p>
    <w:p>
      <w:pPr>
        <w:spacing w:after="0" w:line="1" w:lineRule="exact"/>
        <w:rPr>
          <w:rFonts w:ascii="Times New Roman" w:cs="Times New Roman" w:eastAsia="Times New Roman" w:hAnsi="Times New Roman"/>
          <w:sz w:val="21"/>
          <w:szCs w:val="21"/>
          <w:color w:val="auto"/>
          <w:vertAlign w:val="superscript"/>
        </w:rPr>
      </w:pPr>
    </w:p>
    <w:p>
      <w:pPr>
        <w:ind w:left="340" w:right="380" w:hanging="332"/>
        <w:spacing w:after="0" w:line="220"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was reduced by $250 million to $2 billion, and the Maturity Date extended to February 2026.</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ind w:left="320" w:hanging="312"/>
        <w:spacing w:after="0" w:line="191" w:lineRule="auto"/>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was retired in February 2025 pursuant to the termination, consent and waiver agreement.</w:t>
      </w:r>
    </w:p>
    <w:p>
      <w:pPr>
        <w:spacing w:after="0" w:line="10" w:lineRule="exact"/>
        <w:rPr>
          <w:rFonts w:ascii="Times New Roman" w:cs="Times New Roman" w:eastAsia="Times New Roman" w:hAnsi="Times New Roman"/>
          <w:sz w:val="21"/>
          <w:szCs w:val="21"/>
          <w:color w:val="auto"/>
          <w:vertAlign w:val="superscript"/>
        </w:rPr>
      </w:pPr>
    </w:p>
    <w:p>
      <w:pPr>
        <w:ind w:left="340" w:right="260" w:hanging="332"/>
        <w:spacing w:after="0" w:line="215"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$0.6 billion and $1.1 billion of debt issued by the Trusts as of March 31, 2025 and December 31, 2024, respectively, which were not sold, but were retained by us as a credit enhancement and therefore have been eliminated from the Total.</w:t>
      </w:r>
    </w:p>
    <w:p>
      <w:pPr>
        <w:ind w:left="340" w:right="120" w:hanging="332"/>
        <w:spacing w:after="0" w:line="228"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manage our exposure to various financial risks; we do not trade or speculate in derivatives. Subject to the criteria set forth in GAAP, we will either designate our derivatives in qualifying hedging relationships, or as economic hedges should the criteria in GAAP not be met. All derivatives that we enter into are recognized at fair value in our Consolidated Balance Sheets, where our derivative receivables are included in Other assets and our derivative payables are included in Other liabilities. As permitted by GAAP, when a legally enforceable master netting agreement exists between us and the derivative counterparty, we present derivative receivables and derivative payables with the same counterparty on a net basis in the Consolidated Balance Sheets, including any related cash collateral receivables and payables.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 of Using Derivatives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enter into derivative transactions to support our overall risk management activities. Our primary risks stem from the impact on our earnings and economic value of equity due to changes in interest rates, and to a lesser extent, changes in foreign exchange rates. Beginning in October 2024, we manage our interest rate sensitivity in part by changing the duration and re-pricing characteristics of a portion of our variable rate credit card loan portfolio by using interest rate swaps. We also use foreign currency forwards to limit our earnings and capital exposures to foreign exchange risk by hedging our limited exposures denominated in foreign currencies, in particular, Canadian dollars. We designate our interest rate swaps as qualifying accounting cash flow hedges, and account for our foreign currency forwards as economic hedges (as the criteria under GAAP for hedge accounting designation have not been met).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additional information on our use of derivatives and how we account for them:</w:t>
      </w:r>
    </w:p>
    <w:p>
      <w:pPr>
        <w:spacing w:after="0" w:line="250" w:lineRule="exact"/>
        <w:rPr>
          <w:sz w:val="20"/>
          <w:szCs w:val="20"/>
          <w:color w:val="auto"/>
        </w:rPr>
      </w:pPr>
    </w:p>
    <w:p>
      <w:pPr>
        <w:ind w:left="660" w:right="740" w:hanging="328"/>
        <w:spacing w:after="0" w:line="28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We designate derivatives as cash flow hedges when they are used to manage our exposure to variability in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contractually specified interest rates on our variable-rate credit card loans.</w:t>
      </w:r>
    </w:p>
    <w:p>
      <w:pPr>
        <w:spacing w:after="0" w:line="187" w:lineRule="exact"/>
        <w:rPr>
          <w:rFonts w:ascii="Times New Roman" w:cs="Times New Roman" w:eastAsia="Times New Roman" w:hAnsi="Times New Roman"/>
          <w:sz w:val="18"/>
          <w:szCs w:val="18"/>
          <w:color w:val="auto"/>
        </w:rPr>
      </w:pPr>
    </w:p>
    <w:p>
      <w:pPr>
        <w:ind w:left="660" w:right="2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Changes in the fair value of derivatives designated as cash flow hedges are recorded as a component of Accumulated other comprehensive loss. Those amounts are reclassified into our Consolidated Statements of Income in the same period during which the hedged forecasted interest accruals impact earnings, and are presented in the same line item as the earnings effect of the hedged items (i.e., Interest and fees on loans).</w:t>
      </w:r>
    </w:p>
    <w:p>
      <w:pPr>
        <w:spacing w:after="0" w:line="184" w:lineRule="exact"/>
        <w:rPr>
          <w:rFonts w:ascii="Times New Roman" w:cs="Times New Roman" w:eastAsia="Times New Roman" w:hAnsi="Times New Roman"/>
          <w:sz w:val="18"/>
          <w:szCs w:val="18"/>
          <w:color w:val="auto"/>
        </w:rPr>
      </w:pPr>
    </w:p>
    <w:p>
      <w:pPr>
        <w:jc w:val="both"/>
        <w:ind w:left="660" w:right="36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Specifically, we entered into receive-fixed, pay-floating interest rate swaps to modify the interest rate characteristics of designated credit card loans from a floating rate to a fixed rate in order to reduce the impact of changes in forecasted future cash flows due to fluctuations in market interest rates. As of both March 31, 2025 and December 31, 2024, we had outstanding interest rate swaps with a total notional amount of</w:t>
      </w:r>
    </w:p>
    <w:p>
      <w:pPr>
        <w:spacing w:after="0" w:line="1"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The maximum period over which forecasted interest accruals were hedged with these interest rate swaps was approximately 1.5 years as of March 31, 2025. The impacts of our cash flow hedges were insignificant to the Consolidated Financial Statements for the periods presented on both a gross basis and, where applicable,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Additionally, within the next 12 months, we expect to reclassify an insignificant loss recognized in Accumulated other comprehensive loss as of March 31, 2025 into our Consolidated Statements of Income. The actual amount reclassified into earnings may vary due to market conditions and adjustments made as part of our ongoing risk management strategy.</w:t>
      </w:r>
    </w:p>
    <w:p>
      <w:pPr>
        <w:spacing w:after="0" w:line="201" w:lineRule="exact"/>
        <w:rPr>
          <w:sz w:val="20"/>
          <w:szCs w:val="20"/>
          <w:color w:val="auto"/>
        </w:rPr>
      </w:pPr>
    </w:p>
    <w:p>
      <w:pPr>
        <w:ind w:left="660" w:right="6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Economic hedges: </w:t>
      </w:r>
      <w:r>
        <w:rPr>
          <w:rFonts w:ascii="Times New Roman" w:cs="Times New Roman" w:eastAsia="Times New Roman" w:hAnsi="Times New Roman"/>
          <w:sz w:val="18"/>
          <w:szCs w:val="18"/>
          <w:color w:val="auto"/>
        </w:rPr>
        <w:t>Our economic hedges use derivatives to hedge the risk of changes in foreign currency exchange rates. Changes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derivatives used in economic hedges are recognized in Other non-interest expense in our Consolidated Statements of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both March 31, 2025 and December 31, 2024, we had outstanding foreign currency forwards with a total notional amount of $73 million.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impacts of our economic hedges were insignificant to the Consolidated Financial Statements for the periods presented.</w:t>
      </w:r>
    </w:p>
    <w:p>
      <w:pPr>
        <w:spacing w:after="0" w:line="2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notional amounts disclosed above are not exchanged on our derivatives. While these notional amounts provide an indication of the volume of our derivative activity, they significantly exceed, in our view, the possible losses that could arise from the associated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NON-INTEREST INCOME AND OTHER 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income for the periods presented:</w:t>
      </w:r>
    </w:p>
    <w:p>
      <w:pPr>
        <w:spacing w:after="0" w:line="28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8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protection products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03" w:lineRule="auto"/>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related to implemented pricing actions, including paper statement fees.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expenses for the periods presented:</w:t>
      </w:r>
    </w:p>
    <w:p>
      <w:pPr>
        <w:spacing w:after="0" w:line="28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8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regulatory fees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expense</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non-interest expenses</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03" w:lineRule="auto"/>
        <w:tabs>
          <w:tab w:leader="none" w:pos="3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related to costs associated with various other individually insignificant operating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VALUES OF FINANCIAL INSTRUMENTS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that are unadjusted quoted prices for identical assets or liabilities in active markets that the entity can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those included within Level 1, that are observable for the asset or liability, either directly or indirectly, for substantially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(e.g., internally derived assumptions) and reflect an entity’s assumptions about estimates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monitor the market conditions and evaluate the fair value hierarchy levels at least quarterly. For the three months ended March 31, 2025 and 2024, there were no transfers into or out of Level 3, and no transfers between Levels 1 and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and fair values of our financial assets and financial liabilities as of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3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1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4"/>
        </w:trPr>
        <w:tc>
          <w:tcPr>
            <w:tcW w:w="5060" w:type="dxa"/>
            <w:vAlign w:val="bottom"/>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Used in the Fair Value Measurement of Financial Assets and Financial Liabilities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card and other loans, net: </w:t>
      </w:r>
      <w:r>
        <w:rPr>
          <w:rFonts w:ascii="Times New Roman" w:cs="Times New Roman" w:eastAsia="Times New Roman" w:hAnsi="Times New Roman"/>
          <w:sz w:val="18"/>
          <w:szCs w:val="18"/>
          <w:color w:val="auto"/>
        </w:rPr>
        <w:t>Our Credit card and other loans are recorded at amortized cost, less the Allowance for credit losses,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write-offs. Economic value attributable to future loans generated by the cardholder accounts is not included in the fair values.</w:t>
      </w:r>
    </w:p>
    <w:p>
      <w:pPr>
        <w:spacing w:after="0" w:line="21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Investment securities consist of AFS debt securities, including both mortgage-backed securities and municipal bonds,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which are mutual funds, and are recorded at fair value on the Consolidated Balance Sheets. Quoted prices of identical or similar investment securities in active markets are used to estimate the fair values (i.e., Level 1 or Level 2 inputs).</w:t>
      </w:r>
    </w:p>
    <w:p>
      <w:pPr>
        <w:spacing w:after="0" w:line="2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Derivative assets and liabilities</w:t>
      </w:r>
      <w:r>
        <w:rPr>
          <w:rFonts w:ascii="Times New Roman" w:cs="Times New Roman" w:eastAsia="Times New Roman" w:hAnsi="Times New Roman"/>
          <w:sz w:val="18"/>
          <w:szCs w:val="18"/>
          <w:color w:val="auto"/>
        </w:rPr>
        <w:t>: We use derivatives to manage our interest rate and foreign currency risk exposures. When quoted market prices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model itself does not require significant judgment.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Money market and other non-maturity deposits carrying values approximate their fair values because they are short-term in duration and have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issued by consolidated VIEs: </w:t>
      </w:r>
      <w:r>
        <w:rPr>
          <w:rFonts w:ascii="Times New Roman" w:cs="Times New Roman" w:eastAsia="Times New Roman" w:hAnsi="Times New Roman"/>
          <w:sz w:val="18"/>
          <w:szCs w:val="18"/>
          <w:color w:val="auto"/>
        </w:rPr>
        <w:t>We record Debt issued by our consolidated VIEs at amortized cost (including unamortized fees,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and other debt: </w:t>
      </w:r>
      <w:r>
        <w:rPr>
          <w:rFonts w:ascii="Times New Roman" w:cs="Times New Roman" w:eastAsia="Times New Roman" w:hAnsi="Times New Roman"/>
          <w:sz w:val="18"/>
          <w:szCs w:val="18"/>
          <w:color w:val="auto"/>
        </w:rPr>
        <w:t>We record Long-term and other debt at amortized cost (including unamortized fees, issuance costs,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 on a Recurring Basis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instruments measured at fair value on a recurring basis, categorized by the fair value hierarchy described in the preceding paragraphs,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3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months ended March 31, 2025 or March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200" w:lineRule="exact"/>
        <w:rPr>
          <w:sz w:val="20"/>
          <w:szCs w:val="20"/>
          <w:color w:val="auto"/>
        </w:rPr>
      </w:pPr>
    </w:p>
    <w:p>
      <w:pPr>
        <w:spacing w:after="0" w:line="230"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33655</wp:posOffset>
            </wp:positionV>
            <wp:extent cx="39344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35" w:lineRule="exact"/>
        <w:rPr>
          <w:sz w:val="20"/>
          <w:szCs w:val="20"/>
          <w:color w:val="auto"/>
        </w:rPr>
      </w:pPr>
    </w:p>
    <w:p>
      <w:pPr>
        <w:jc w:val="right"/>
        <w:ind w:right="520"/>
        <w:spacing w:after="0"/>
        <w:tabs>
          <w:tab w:leader="none" w:pos="3580" w:val="left"/>
          <w:tab w:leader="none" w:pos="2000" w:val="left"/>
          <w:tab w:leader="none" w:pos="420" w:val="left"/>
        </w:tabs>
        <w:rPr>
          <w:sz w:val="20"/>
          <w:szCs w:val="20"/>
          <w:color w:val="auto"/>
        </w:rPr>
      </w:pP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-94615</wp:posOffset>
            </wp:positionV>
            <wp:extent cx="3934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Deposits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Debt issued by consolidated VIEs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and other debt</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91"/>
        </w:trPr>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37"/>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-1765300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-1448435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-1130935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-839470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320" w:space="720"/>
            <w:col w:w="6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REGULATORY MATTERS AND CAPITAL ADEQUACY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March 31, 2025 and 2024,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bank holding company as defined under the Bank Holding Company Act, we seek to maintain capital levels and ratios in excess of the minimums required for bank holding companies.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actual capital ratios and minimum ratios for the Company, as well as each Bank,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 Adequacy</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40" w:hanging="332"/>
        <w:spacing w:after="0" w:line="222"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20"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jc w:val="both"/>
        <w:ind w:left="340" w:right="480" w:hanging="332"/>
        <w:spacing w:after="0" w:line="228"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spacing w:after="0" w:line="10" w:lineRule="exact"/>
        <w:rPr>
          <w:rFonts w:ascii="Times New Roman" w:cs="Times New Roman" w:eastAsia="Times New Roman" w:hAnsi="Times New Roman"/>
          <w:sz w:val="21"/>
          <w:szCs w:val="21"/>
          <w:color w:val="auto"/>
          <w:vertAlign w:val="superscript"/>
        </w:rPr>
      </w:pPr>
    </w:p>
    <w:p>
      <w:pPr>
        <w:ind w:left="340" w:right="160" w:hanging="332"/>
        <w:spacing w:after="0" w:line="215"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3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denying any violations of law or regulation set forth in the order. The consent order does not contain any monetary penalties or fines.</w:t>
      </w:r>
    </w:p>
    <w:p>
      <w:pPr>
        <w:spacing w:after="0" w:line="25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Directors of each of the Banks continue to oversee the Servicer’s compliance with the requirements of the consent order and provide effective challenge to the Servicer’s management toward that end.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24-03027 (Bankr. S.D. Tex.), alleging actual and constructive fraudulent transfers, among other claims,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24-cv-00226-RGA (D. Del.), alleging certain breaches of fiduciary duties (and aiding and abetting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2024-0277-MTZ (Del. Ch.), against the same parties and asserting the same claims.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in each of the Texas and Delaware actions, the liquidating trustee seeks damages in the amount of approximately $750 million plus interest, fees and expenses.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8"/>
          <w:szCs w:val="18"/>
          <w:i w:val="1"/>
          <w:iCs w:val="1"/>
          <w:color w:val="auto"/>
        </w:rPr>
        <w:t>LoyaltyOne, Co. v. Bread Financial Holdings, Inc. et al</w:t>
      </w:r>
      <w:r>
        <w:rPr>
          <w:rFonts w:ascii="Times New Roman" w:cs="Times New Roman" w:eastAsia="Times New Roman" w:hAnsi="Times New Roman"/>
          <w:sz w:val="18"/>
          <w:szCs w:val="18"/>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8"/>
          <w:szCs w:val="18"/>
          <w:i w:val="1"/>
          <w:iCs w:val="1"/>
          <w:color w:val="auto"/>
        </w:rPr>
        <w:t xml:space="preserve">In re Matter of a Plan of Compromise or Arrangement of LoyaltyOne, Co., </w:t>
      </w:r>
      <w:r>
        <w:rPr>
          <w:rFonts w:ascii="Times New Roman" w:cs="Times New Roman" w:eastAsia="Times New Roman" w:hAnsi="Times New Roman"/>
          <w:sz w:val="18"/>
          <w:szCs w:val="18"/>
          <w:color w:val="auto"/>
        </w:rPr>
        <w:t>Case No. CV-23-00696017-00CL (the Tax Matters Dispute). In July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 w:cs="Times New Roman" w:eastAsia="Times New Roman" w:hAnsi="Times New Roman"/>
          <w:sz w:val="18"/>
          <w:szCs w:val="18"/>
          <w:i w:val="1"/>
          <w:iCs w:val="1"/>
          <w:color w:val="auto"/>
        </w:rPr>
        <w:t>Newtyn Partners, LP v. Alliance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 Systems n/k/a Bread Financial Holdings, Inc.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Case No. 23-cv-1451-EAS (S.D. Ohio), concerning disclosures made about LVI’s business prior to the spinoff. The lead plaintiff in this matter filed an amended complaint on March 21, 2024 and is seeking, among other things, a class action designation and an award of damages in an amount to be proven at trial, plus fees and expenses. In March 2025, the United States District Court for the Southern District of Ohio granted our and the other defendants’ motions to dismiss in full and with prejudice; the court entered judgment in favor of all defendants and terminated the case. The plaintiffs have filed a notice of appeal of the court’s ruling in this matter.</w:t>
      </w: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each component of Accumulated other comprehensive loss, net of tax effects, are as follows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3"/>
        </w:trPr>
        <w:tc>
          <w:tcPr>
            <w:tcW w:w="5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5th, 2025, our Board of Directors approved a stock repurchase program to acquire up to $150 million in shares of our outstanding common stock in the open market. There is no expiration date for the repurchase plan. The rationale for this repurchase program, and the amount thereof, was to further optimize our capital ratios, providing capital flexibility for future growth, and strengthening of our capital position over time.</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under the authorized stock repurchase program, we acquired a total of 2.1 million shares of our common stock for $102 million plus applicable excise tax on stock repurchases. Following their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repurchase, these 2.1 million shares ceased to be outstanding shares of common stock and are now treated as authorized but unissued shares of common stock. As of March 31, 2025, we had $48 million remaining for future repurchases under the authorized stock repurchase program. During April 2025, we repurchased an additional 1.1 million shares, completing the $150 million stock repurchase program. These shares are now also treated as authorized but unissued shares of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awarded 804,763 service-based restricted stock units (RSUs) with a weighted average grant date fair market value per share of $61.92 as determined on the date of grant. Service-based restricted stock units typically vest ratably over three years provided that the participant is employed by us on each such vesting date.</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we awarded 141,117 performance-based restricted stock units with a fair market value of approximately $61.95. Performance-based RSUs cliff vest at the end of three years, if specific performance measures tied to our financial performance are met. For the performance-based RSUs awarded in 2025, the predefined vesting criteria permit a range from 0% to 160% to be earned, subject to a market-based condition. Accruals of compensation cost for an award with a performance condition are based on the probable outcome of that performance condition. If the performance targets are met, the awards will vest with respect to the entire award on February 18, 2028, provided that the participant is employed by us on the vesting date (subject to certain limited exceptions, such as death, disability and qualifying retirements).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we recognized $13 million and $14 million in stock-based compensation expense,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paid $12 million in dividends to holders of our common stock. On April 24, 2025, our Board of Directors declared a quarterly cash dividend of $0.21 per share on our common stock, payable on June 13, 2025, to stockholders of record at the close of business on May 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Provision for income taxes increased for the three months ended March 31, 2025, compared with the three months ended March 31, 2024, primarily driven by an increase in Income from continuing operations before income taxes in the current year period relative to the prior year period. The effective tax rate was 28.1% for each of the three-month periods.</w:t>
      </w:r>
    </w:p>
    <w:p>
      <w:pPr>
        <w:spacing w:after="0" w:line="20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file income tax returns in U.S. federal, state and foreign jurisdictions, as applicable. U.S. federal income tax returns are no longer subject to examination for years before 2015, and with a few exceptions, state and local income tax returns are no longer subject to examination for years before 2015. Foreign income tax returns are no longer subject to examination for years before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Basic earnings (losses) per share (EPS) is based only on the weighted average number of common shares outstanding, excluding any dilutive effects of unvested restricted stock awards, or other dilutive securities. Diluted EPS is based on (i) the weighted average number of common and potentially dilutive common shares (unvested restricted stock awards outstanding during the year), pursuant to the Treasury Stock method, and (ii) the potential conversion of the Convertible Notes, pursuant to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attributable to common stockholders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Add: net effect of dilutive unvested restricted stock awards </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80" w:hanging="332"/>
        <w:spacing w:after="0" w:line="231"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ind w:left="340" w:right="260" w:hanging="332"/>
        <w:spacing w:after="0" w:line="209"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 the effect would have been anti-dilutive, for the three months ended March 31, 2025 and 2024, 0.8 million and approximately 2.1 million, respectively, restricted stock awards were excluded from each calculation of weighted average dilutive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Our principal market risk exposures arise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consequential impact on economic value, capitalization levels, and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from our 2024 Form 10-K related to our exposure to interest rate risk or other market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Refer to (i) Part II, Item 1A, “Risk Factors—</w:t>
      </w:r>
      <w:r>
        <w:rPr>
          <w:rFonts w:ascii="Times New Roman" w:cs="Times New Roman" w:eastAsia="Times New Roman" w:hAnsi="Times New Roman"/>
          <w:sz w:val="18"/>
          <w:szCs w:val="18"/>
          <w:i w:val="1"/>
          <w:iCs w:val="1"/>
          <w:color w:val="auto"/>
        </w:rPr>
        <w:t>The LoyaltyOne spinoff could result in substantial tax liability to us and our stockholders, and more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have been adversely affected by LVI’s performance, and we may continue to be adversely affected by LVI’s ongoing bankruptcy proceedings or litigation or other disputes involving or relating to LVI.</w:t>
      </w:r>
      <w:r>
        <w:rPr>
          <w:rFonts w:ascii="Times New Roman" w:cs="Times New Roman" w:eastAsia="Times New Roman" w:hAnsi="Times New Roman"/>
          <w:sz w:val="18"/>
          <w:szCs w:val="18"/>
          <w:color w:val="auto"/>
        </w:rPr>
        <w:t>” of our 2024 Form 10-K, (ii) Note 12, “Commitments and Contingencies” to our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(iii) “Risk Factors—Legal, Regulatory and Compliance Risks” of our 2024 Form 10-K, each of which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2024 Form 10-K.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37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800" w:type="dxa"/>
            <w:vAlign w:val="bottom"/>
          </w:tcPr>
          <w:p>
            <w:pPr>
              <w:jc w:val="right"/>
              <w:ind w:right="19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-1-28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2,107,038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2,113,295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300" w:hanging="332"/>
        <w:spacing w:after="0" w:line="231"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periods presented, (i) 15,354 shares of our common stock were purchased by the administrator of our Bread Financial 401(k) Plan for the benefit of the employees who participated in that portion of the 401(k) Plan and (ii) 2,097,941 shares of our common stock were repurchased by the Company, pursuant to a Rule 10b5-1 trading plan previously adopted by the Company, during an open trading window.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82" w:lineRule="auto"/>
        <w:tabs>
          <w:tab w:leader="none" w:pos="6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no Section 16 officer or director of the Parent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Exhibits: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19"/>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00" w:type="dxa"/>
            <w:vAlign w:val="bottom"/>
            <w:gridSpan w:val="19"/>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gridSpan w:val="19"/>
            <w:vMerge w:val="continue"/>
          </w:tcPr>
          <w:p>
            <w:pPr>
              <w:spacing w:after="0"/>
              <w:rPr>
                <w:sz w:val="16"/>
                <w:szCs w:val="16"/>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56"/>
        </w:trPr>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8"/>
                <w:szCs w:val="18"/>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Third Amended and Restated Certificate of Incorporation of the Registrant.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6/10/16</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Certificate of Amendment to Third Amended and Restated Certificate of Incorporation</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6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of the Registrant.</w:t>
              </w:r>
            </w:hyperlink>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Certificate of Designations of Series A Preferred Non-Voting Convertible Preferred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4/29/19</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2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Stock of the Registrant.</w:t>
              </w:r>
            </w:hyperlink>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8"/>
                <w:szCs w:val="18"/>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Sixth Amended and Restated Bylaws of the Registrant.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8"/>
                <w:szCs w:val="18"/>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Specimen Certificate for shares of Common Stock of the Registrant.</w:t>
              </w:r>
            </w:hyperlink>
          </w:p>
        </w:tc>
        <w:tc>
          <w:tcPr>
            <w:tcW w:w="620" w:type="dxa"/>
            <w:vAlign w:val="bottom"/>
            <w:shd w:val="clear" w:color="auto" w:fill="CCEEFF"/>
          </w:tcPr>
          <w:p>
            <w:pPr>
              <w:jc w:val="center"/>
              <w:ind w:left="112"/>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8/8/03</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Sixth Amended and Restated Service Agreement, dated as of January 1, 2025, by and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1/2/25</w:t>
            </w: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616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between Comenity Bank and Comenity Servicing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Indenture, dated as of March 10, 2025, among Bread Financial Holdings, Inc. and U.S.</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3/10/25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8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Bank Trust Company, National Association, as trustee (including the form of the</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Company’s 8.375% Fixed-Rate Reset Subordinated Notes due June 15, 2035).</w:t>
              </w:r>
            </w:hyperlink>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4"/>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First Addendum to Sixth Amended and Restated Service Agreement, dated as of April</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1, 2025, by and between Comenity Bank and Comenity Servicing LLC.</w:t>
              </w:r>
            </w:hyperlink>
          </w:p>
        </w:tc>
        <w:tc>
          <w:tcPr>
            <w:tcW w:w="16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Addendum to Sixth Amended and Restated Service Agreement, dated as of</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600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April 1, 2025, by and between Comenity Bank and Comenity Servicing LLC.</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5"/>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Service Agreement, dated as of April 1, 2025, by and between Comenity Bank and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4/3/25</w:t>
            </w: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Comenity Servicing LLC.</w:t>
              </w:r>
            </w:hyperlink>
          </w:p>
        </w:tc>
        <w:tc>
          <w:tcPr>
            <w:tcW w:w="1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5"/>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0000FF"/>
            </w:tcBorders>
            <w:gridSpan w:val="1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Rule 13a-14(a) promulgated under the Securities Exchange Act of 1934, as amended.</w:t>
            </w:r>
          </w:p>
        </w:tc>
        <w:tc>
          <w:tcPr>
            <w:tcW w:w="200" w:type="dxa"/>
            <w:vAlign w:val="bottom"/>
            <w:tcBorders>
              <w:top w:val="single" w:sz="8" w:color="CCEEFF"/>
            </w:tcBorders>
            <w:gridSpan w:val="5"/>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0000FF"/>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promulgated under the Securities Exchange Act of 1934, as amended.</w:t>
            </w:r>
          </w:p>
        </w:tc>
        <w:tc>
          <w:tcPr>
            <w:tcW w:w="240" w:type="dxa"/>
            <w:vAlign w:val="bottom"/>
            <w:tcBorders>
              <w:top w:val="single" w:sz="8" w:color="CCEEFF"/>
            </w:tcBorders>
            <w:gridSpan w:val="7"/>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20" w:type="dxa"/>
            <w:vAlign w:val="bottom"/>
          </w:tcPr>
          <w:p>
            <w:pPr>
              <w:spacing w:after="0"/>
              <w:rPr>
                <w:sz w:val="2"/>
                <w:szCs w:val="2"/>
                <w:color w:val="auto"/>
              </w:rPr>
            </w:pPr>
          </w:p>
        </w:tc>
        <w:tc>
          <w:tcPr>
            <w:tcW w:w="6400" w:type="dxa"/>
            <w:vAlign w:val="bottom"/>
            <w:gridSpan w:val="6"/>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gridSpan w:val="6"/>
            <w:vMerge w:val="continue"/>
          </w:tcPr>
          <w:p>
            <w:pPr>
              <w:spacing w:after="0"/>
              <w:rPr>
                <w:sz w:val="16"/>
                <w:szCs w:val="16"/>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300" w:type="dxa"/>
            <w:vAlign w:val="bottom"/>
            <w:tcBorders>
              <w:top w:val="single" w:sz="8" w:color="auto"/>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0000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Section 1350 of Chapter 63 of Title 18 of the United States Code.</w:t>
            </w:r>
          </w:p>
        </w:tc>
        <w:tc>
          <w:tcPr>
            <w:tcW w:w="240" w:type="dxa"/>
            <w:vAlign w:val="bottom"/>
            <w:tcBorders>
              <w:top w:val="single" w:sz="8" w:color="CCEEFF"/>
            </w:tcBorders>
            <w:gridSpan w:val="3"/>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60" w:type="dxa"/>
            <w:vAlign w:val="bottom"/>
            <w:tcBorders>
              <w:top w:val="single" w:sz="8" w:color="CCEEFF"/>
            </w:tcBorders>
            <w:gridSpan w:val="4"/>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Section 1350 of Chapter 63 of Title 18 of the United States Code.</w:t>
            </w:r>
          </w:p>
        </w:tc>
        <w:tc>
          <w:tcPr>
            <w:tcW w:w="240" w:type="dxa"/>
            <w:vAlign w:val="bottom"/>
            <w:tcBorders>
              <w:top w:val="single" w:sz="8" w:color="CCEEFF"/>
            </w:tcBorders>
            <w:gridSpan w:val="3"/>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information from Bread Financial Holdings, Inc.’s Quarterly</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Report on Form 10-Q for the quarter ended March 31, 2025, formatted in Inline</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XBRL: (i) Consolidated Statements of Income, (ii) Consolidated Statements of</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Comprehensive Income, (iii) Consolidated Balance Sheets, (iv) Consolidated</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Statements of Stockholders’ Equity, (v) Consolidated Statements of Cash Flows and</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(vi) Notes to Consolidated Financial Statements.</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Holdings, Inc.</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Trust</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Note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Bread Financial Holdings, Inc. has duly caused this quarterly report on Form 10-Q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20" w:type="dxa"/>
            <w:vAlign w:val="bottom"/>
            <w:gridSpan w:val="2"/>
          </w:tcPr>
          <w:p>
            <w:pPr>
              <w:ind w:left="538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r>
      <w:tr>
        <w:trPr>
          <w:trHeight w:val="28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5400" w:type="dxa"/>
            <w:vAlign w:val="bottom"/>
          </w:tcPr>
          <w:p>
            <w:pPr>
              <w:spacing w:after="0"/>
              <w:rPr>
                <w:sz w:val="24"/>
                <w:szCs w:val="24"/>
                <w:color w:val="auto"/>
              </w:rPr>
            </w:pPr>
          </w:p>
        </w:tc>
      </w:tr>
      <w:tr>
        <w:trPr>
          <w:trHeight w:val="283"/>
        </w:trPr>
        <w:tc>
          <w:tcPr>
            <w:tcW w:w="5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RALPH J. ANDRETTA</w:t>
            </w:r>
          </w:p>
        </w:tc>
      </w:tr>
      <w:tr>
        <w:trPr>
          <w:trHeight w:val="214"/>
        </w:trPr>
        <w:tc>
          <w:tcPr>
            <w:tcW w:w="58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Ralph J. Andretta</w:t>
            </w:r>
          </w:p>
        </w:tc>
      </w:tr>
      <w:tr>
        <w:trPr>
          <w:trHeight w:val="238"/>
        </w:trPr>
        <w:tc>
          <w:tcPr>
            <w:tcW w:w="58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5400" w:type="dxa"/>
            <w:vAlign w:val="bottom"/>
          </w:tcPr>
          <w:p>
            <w:pPr>
              <w:spacing w:after="0"/>
              <w:rPr>
                <w:sz w:val="24"/>
                <w:szCs w:val="24"/>
                <w:color w:val="auto"/>
              </w:rPr>
            </w:pPr>
          </w:p>
        </w:tc>
      </w:tr>
      <w:tr>
        <w:trPr>
          <w:trHeight w:val="283"/>
        </w:trPr>
        <w:tc>
          <w:tcPr>
            <w:tcW w:w="5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PERRY S. BEBERMAN</w:t>
            </w:r>
          </w:p>
        </w:tc>
      </w:tr>
      <w:tr>
        <w:trPr>
          <w:trHeight w:val="232"/>
        </w:trPr>
        <w:tc>
          <w:tcPr>
            <w:tcW w:w="58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Perry S. Beberman</w:t>
            </w:r>
          </w:p>
        </w:tc>
      </w:tr>
    </w:tbl>
    <w:p>
      <w:pPr>
        <w:ind w:left="65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J. Andretta, certify that:</w:t>
      </w:r>
    </w:p>
    <w:p>
      <w:pPr>
        <w:spacing w:after="0" w:line="225" w:lineRule="exact"/>
        <w:rPr>
          <w:sz w:val="20"/>
          <w:szCs w:val="20"/>
          <w:color w:val="auto"/>
        </w:rPr>
      </w:pPr>
    </w:p>
    <w:p>
      <w:pPr>
        <w:ind w:left="260" w:hanging="225"/>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Perry S. Beberman, certify that:</w:t>
      </w:r>
    </w:p>
    <w:p>
      <w:pPr>
        <w:spacing w:after="0" w:line="225" w:lineRule="exact"/>
        <w:rPr>
          <w:sz w:val="20"/>
          <w:szCs w:val="20"/>
          <w:color w:val="auto"/>
        </w:rPr>
      </w:pPr>
    </w:p>
    <w:p>
      <w:pPr>
        <w:ind w:left="260" w:hanging="225"/>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Perry S. Beberman</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March 31, 2025,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29, 2025</w:t>
      </w: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March 31, 2025,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29, 2025</w:t>
      </w: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3"/>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94" Type="http://schemas.openxmlformats.org/officeDocument/2006/relationships/hyperlink" Target="https://www.sec.gov/Archives/edgar/data/1101215/000110121516000364/exhibit_3-2.htm" TargetMode="External"/><Relationship Id="rId95" Type="http://schemas.openxmlformats.org/officeDocument/2006/relationships/hyperlink" Target="https://www.sec.gov/Archives/edgar/data/1101215/000110121522000058/exhibit_3-1.htm" TargetMode="External"/><Relationship Id="rId96" Type="http://schemas.openxmlformats.org/officeDocument/2006/relationships/hyperlink" Target="https://www.sec.gov/Archives/edgar/data/1101215/000110121519000085/exhibit_3-1.htm" TargetMode="External"/><Relationship Id="rId97" Type="http://schemas.openxmlformats.org/officeDocument/2006/relationships/hyperlink" Target="https://www.sec.gov/Archives/edgar/data/1101215/000110121522000058/exhibit_3-2.htm" TargetMode="External"/><Relationship Id="rId98" Type="http://schemas.openxmlformats.org/officeDocument/2006/relationships/hyperlink" Target="https://www.sec.gov/Archives/edgar/data/1101215/000104746903026831/a2114800zex-4.htm" TargetMode="External"/><Relationship Id="rId99" Type="http://schemas.openxmlformats.org/officeDocument/2006/relationships/hyperlink" Target="https://www.sec.gov/Archives/edgar/data/1139552/000110121525000002/exhibit991to1-1x25wfnform8.htm" TargetMode="External"/><Relationship Id="rId100" Type="http://schemas.openxmlformats.org/officeDocument/2006/relationships/hyperlink" Target="https://www.sec.gov/Archives/edgar/data/1101215/000110121525000054/exhibit41closing3-10x25.htm" TargetMode="External"/><Relationship Id="rId101" Type="http://schemas.openxmlformats.org/officeDocument/2006/relationships/hyperlink" Target="https://www.sec.gov/Archives/edgar/data/1139552/000110121525000068/exhibit991to4-1x25form8xk.htm" TargetMode="External"/><Relationship Id="rId102" Type="http://schemas.openxmlformats.org/officeDocument/2006/relationships/hyperlink" Target="https://www.sec.gov/Archives/edgar/data/1139552/000110121525000068/exhibit992to4-1x25form8xk.htm" TargetMode="External"/><Relationship Id="rId103" Type="http://schemas.openxmlformats.org/officeDocument/2006/relationships/hyperlink" Target="https://www.sec.gov/Archives/edgar/data/1139552/000110121525000068/exhibit993to4-1x25form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2025-04-29T05:13:30Z</dcterms:created>
  <dcterms:modified xsi:type="dcterms:W3CDTF">2025-04-29T05:13:30Z</dcterms:modified>
</cp:coreProperties>
</file>