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577"/>
        <w:gridCol w:w="1375"/>
        <w:gridCol w:w="1375"/>
        <w:gridCol w:w="915"/>
        <w:gridCol w:w="915"/>
        <w:gridCol w:w="915"/>
        <w:gridCol w:w="926"/>
        <w:gridCol w:w="912"/>
        <w:gridCol w:w="1295"/>
      </w:tblGrid>
      <w:tr>
        <w:trPr/>
        <w:tc>
          <w:tcPr>
            <w:tcW w:w="157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 8-K</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Report Pursuant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 Section 13 or 15(d) of the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1, 2025</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36"/>
              </w:rPr>
              <w:t>World Financial Network Credit Card Master Note Trust</w:t>
            </w:r>
            <w:r>
              <w:rPr>
                <w:rFonts w:ascii="Times New Roman;serif" w:hAnsi="Times New Roman;serif"/>
                <w:b w:val="false"/>
                <w:color w:val="000000"/>
                <w:sz w:val="24"/>
              </w:rPr>
              <w:br/>
            </w:r>
            <w:r>
              <w:rPr>
                <w:rFonts w:ascii="Times New Roman;serif" w:hAnsi="Times New Roman;serif"/>
                <w:b w:val="false"/>
                <w:i/>
                <w:color w:val="000000"/>
                <w:sz w:val="20"/>
              </w:rPr>
              <w:t>(Exact Name of Issuing Entity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Issuing Entity: 333-113669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Issuing Entity: 0001282663</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6"/>
              </w:rPr>
              <w:t>World Financial Network Credit Card Master Trust</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Issuer of Collateral Certificate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Issuer of the Collateral Certificate: 333-60418-01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Issuer of the Collateral Certificate: 0001140096</w:t>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color w:val="000000"/>
                <w:sz w:val="36"/>
              </w:rPr>
              <w:t>WFN Credit Company, LLC</w:t>
            </w:r>
            <w:r>
              <w:rPr>
                <w:rFonts w:ascii="Times New Roman;serif" w:hAnsi="Times New Roman;serif"/>
                <w:b w:val="false"/>
                <w:color w:val="000000"/>
                <w:sz w:val="24"/>
              </w:rPr>
              <w:br/>
            </w:r>
            <w:r>
              <w:rPr>
                <w:rFonts w:ascii="Times New Roman;serif" w:hAnsi="Times New Roman;serif"/>
                <w:b w:val="false"/>
                <w:i/>
                <w:color w:val="000000"/>
                <w:sz w:val="20"/>
              </w:rPr>
              <w:t>(Exact Name of Depositor/Registrant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of Depositor: 333-60418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Depositor: 0001139552</w:t>
            </w:r>
          </w:p>
          <w:p>
            <w:pPr>
              <w:pStyle w:val="TableContents"/>
              <w:bidi w:val="0"/>
              <w:spacing w:lineRule="auto" w:line="288" w:before="0" w:after="0"/>
              <w:jc w:val="center"/>
              <w:rPr/>
            </w:pPr>
            <w:r>
              <w:rPr>
                <w:rFonts w:ascii="Times New Roman;serif" w:hAnsi="Times New Roman;serif"/>
                <w:b w:val="false"/>
                <w:color w:val="000000"/>
                <w:sz w:val="24"/>
              </w:rPr>
              <w:br/>
            </w:r>
            <w:r>
              <w:rPr>
                <w:rFonts w:ascii="Times New Roman;serif" w:hAnsi="Times New Roman;serif"/>
                <w:b/>
                <w:color w:val="000000"/>
                <w:sz w:val="36"/>
              </w:rPr>
              <w:t>Comenity Bank</w:t>
            </w:r>
            <w:r>
              <w:rPr>
                <w:rFonts w:ascii="Times New Roman;serif" w:hAnsi="Times New Roman;serif"/>
                <w:b w:val="false"/>
                <w:color w:val="000000"/>
                <w:sz w:val="24"/>
              </w:rPr>
              <w:br/>
            </w:r>
            <w:r>
              <w:rPr>
                <w:rFonts w:ascii="Times New Roman;serif" w:hAnsi="Times New Roman;serif"/>
                <w:b w:val="false"/>
                <w:i/>
                <w:color w:val="000000"/>
                <w:sz w:val="20"/>
              </w:rPr>
              <w:t>(Exact Name of Sponsor as Specified in its Charter)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Index Key Number of Sponsor: 0001007254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of Issuing Entity and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31-1772814</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 of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3095 Loyalty Circle, Columbus, Ohio</w:t>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43219</w:t>
            </w:r>
          </w:p>
        </w:tc>
      </w:tr>
      <w:tr>
        <w:trPr/>
        <w:tc>
          <w:tcPr>
            <w:tcW w:w="4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of Registrant)</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(614) 729-5044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5"/>
        <w:gridCol w:w="1038"/>
        <w:gridCol w:w="1038"/>
        <w:gridCol w:w="1038"/>
        <w:gridCol w:w="1038"/>
        <w:gridCol w:w="1038"/>
        <w:gridCol w:w="1038"/>
        <w:gridCol w:w="1038"/>
        <w:gridCol w:w="1474"/>
      </w:tblGrid>
      <w:tr>
        <w:trPr/>
        <w:tc>
          <w:tcPr>
            <w:tcW w:w="14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Written communications pursuant to Rule 425 under the Securities Act (17 CFR 230.425)</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Soliciting material pursuant to Rule 14a-12 under the Exchange Act (17 CFR 240.14a-12)</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14d-2(b) under the Exchange Act (17 CFR 240.14d-2(b))</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p>
      <w:pPr>
        <w:pStyle w:val="TextBody"/>
        <w:bidi w:val="0"/>
        <w:spacing w:before="0" w:after="0"/>
        <w:jc w:val="center"/>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On October 1, 2025, Comenity Bank (“Bank”) and Comenity Servicing LLC (“CSERV”) entered into the Fourth Addendum (“Fourth Addendum”) to that certain Sixth Amended and Restated Service Agreement, dated as of January 1, 2025, pursuant to which CSERV provides certain services to Bank (the “Sixth Amended and Restated Service Agreement”), by and between Bank and CSERV, which Sixth Amended and Restated Service Agreement was filed as Exhibit 99.1 of the report on Form 8-K on January 2, 2025. A copy of the Fourth Addendum is filed with this Form 8-K as 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Not applicable.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ind w:left="0" w:right="0" w:hanging="720"/>
        <w:jc w:val="left"/>
        <w:rPr/>
      </w:pPr>
      <w:r>
        <w:rPr/>
      </w:r>
    </w:p>
    <w:tbl>
      <w:tblPr>
        <w:tblW w:w="8456" w:type="dxa"/>
        <w:jc w:val="left"/>
        <w:tblInd w:w="0" w:type="dxa"/>
        <w:tblLayout w:type="fixed"/>
        <w:tblCellMar>
          <w:top w:w="28" w:type="dxa"/>
          <w:left w:w="28" w:type="dxa"/>
          <w:bottom w:w="28" w:type="dxa"/>
          <w:right w:w="28" w:type="dxa"/>
        </w:tblCellMar>
      </w:tblPr>
      <w:tblGrid>
        <w:gridCol w:w="466"/>
        <w:gridCol w:w="410"/>
        <w:gridCol w:w="413"/>
        <w:gridCol w:w="109"/>
        <w:gridCol w:w="109"/>
        <w:gridCol w:w="109"/>
        <w:gridCol w:w="2004"/>
        <w:gridCol w:w="2004"/>
        <w:gridCol w:w="2832"/>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Document Description</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10125form8-k.htm">
              <w:r>
                <w:rPr>
                  <w:rStyle w:val="InternetLink"/>
                  <w:rFonts w:ascii="Times New Roman;serif" w:hAnsi="Times New Roman;serif"/>
                  <w:b w:val="false"/>
                  <w:color w:val="000000"/>
                  <w:sz w:val="24"/>
                  <w:u w:val="single"/>
                </w:rPr>
                <w:t>Exhibit 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Fourth Addendum to Sixth Amended and Restated Service Agreement</w:t>
            </w:r>
          </w:p>
        </w:tc>
      </w:tr>
    </w:tbl>
    <w:p>
      <w:pPr>
        <w:pStyle w:val="TextBody"/>
        <w:bidi w:val="0"/>
        <w:spacing w:before="0" w:after="0"/>
        <w:ind w:left="0" w:right="0" w:hanging="1440"/>
        <w:jc w:val="center"/>
        <w:rPr/>
      </w:pPr>
      <w:r>
        <w:rPr/>
      </w:r>
    </w:p>
    <w:p>
      <w:pPr>
        <w:pStyle w:val="TextBody"/>
        <w:bidi w:val="0"/>
        <w:ind w:left="0" w:right="0" w:hanging="14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ind w:left="0" w:right="0" w:hanging="144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WFN CREDIT COMPANY, LLC as depositor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Wai Chung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Treasurer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Dated: October 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FOURTH ADDENDUM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SIXTH AMENDED AND RESTATED SERVICE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Fourth Addendum to that certain Sixth Amended and Restated Service Agreement (the “Addendum”) effective as of the 1st day of October, 2025 (the “Effective Date”), is entered into by and between Comenity Bank (“Bank”), a Delaware state bank, with its principal place of business at One Righter Parkway, Suite 100, Wilmington, Delaware 19803 and Comenity Servicing LLC (“Servicer”), a Texas limited liability company with its principal place of business at 3095 Loyalty Circle, Columbus, OH 43219.</w:t>
      </w:r>
      <w:r>
        <w:rPr>
          <w:color w:val="000000"/>
        </w:rPr>
        <w:t xml:space="preserve">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Bank and Servicer entered into that certain Sixth Amended and Restated Service Agreement as of January 1, 2025, (the “Agreement”) to outsource certain services to Servicer;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WHEREAS, Bank and Servicer desire to modify certain Services and Performance Standards set forth in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to the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hereinafter set forth, and for other good and valuable consideration, the receipt and adequacy of which is hereby acknowledged, Bank and Servicer agree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Services</w:t>
      </w:r>
      <w:r>
        <w:rPr>
          <w:rFonts w:ascii="Times New Roman;serif" w:hAnsi="Times New Roman;serif"/>
          <w:b/>
          <w:color w:val="000000"/>
          <w:sz w:val="22"/>
        </w:rPr>
        <w:t xml:space="preserve">. </w:t>
      </w:r>
      <w:r>
        <w:rPr>
          <w:rFonts w:ascii="Times New Roman;serif" w:hAnsi="Times New Roman;serif"/>
          <w:b w:val="false"/>
          <w:color w:val="000000"/>
          <w:sz w:val="22"/>
        </w:rPr>
        <w:t xml:space="preserve">Bank and Servicer agree to amend the Services set forth in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the Agreement, such that certain Services are hereby added or deleted as set forth in further detail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Performance Standards</w:t>
      </w:r>
      <w:r>
        <w:rPr>
          <w:rFonts w:ascii="Times New Roman;serif" w:hAnsi="Times New Roman;serif"/>
          <w:b/>
          <w:color w:val="000000"/>
          <w:sz w:val="22"/>
        </w:rPr>
        <w:t xml:space="preserve">. </w:t>
      </w:r>
      <w:r>
        <w:rPr>
          <w:rFonts w:ascii="Times New Roman;serif" w:hAnsi="Times New Roman;serif"/>
          <w:b w:val="false"/>
          <w:color w:val="000000"/>
          <w:sz w:val="22"/>
        </w:rPr>
        <w:t xml:space="preserve">Bank and Servicer agree to amend the Performance Standards set forth in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such that certain Performance Standards are hereby amended, added, or deleted as set forth in further detail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u w:val="single"/>
        </w:rPr>
        <w:t>Miscellaneous</w:t>
      </w:r>
      <w:r>
        <w:rPr>
          <w:rFonts w:ascii="Times New Roman;serif" w:hAnsi="Times New Roman;serif"/>
          <w:b w:val="false"/>
          <w:color w:val="000000"/>
          <w:sz w:val="22"/>
        </w:rPr>
        <w:t xml:space="preserve">. Capitalized terms not otherwise defined in this Addendum shall have the meanings assigned to them in the Agreement. Other than as set forth above and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the parties agree that the Agreement, as amended by this Addendum, shall continue in full force and effect. The parties may execute this Addendum in one or more counterparts, each of which shall be deemed an original, but all of which shall constitute but one and the same instrument. </w:t>
      </w:r>
    </w:p>
    <w:p>
      <w:pPr>
        <w:pStyle w:val="TextBody"/>
        <w:bidi w:val="0"/>
        <w:spacing w:before="0" w:after="0"/>
        <w:jc w:val="left"/>
        <w:rPr/>
      </w:pPr>
      <w:r>
        <w:rPr/>
      </w:r>
    </w:p>
    <w:p>
      <w:pPr>
        <w:pStyle w:val="TextBody"/>
        <w:bidi w:val="0"/>
        <w:spacing w:before="0" w:after="160"/>
        <w:jc w:val="center"/>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0260"/>
                <wp:effectExtent l="0" t="0" r="0" b="0"/>
                <wp:wrapNone/>
                <wp:docPr id="5" name="Frame5"/>
                <a:graphic xmlns:a="http://schemas.openxmlformats.org/drawingml/2006/main">
                  <a:graphicData uri="http://schemas.microsoft.com/office/word/2010/wordprocessingShape">
                    <wps:wsp>
                      <wps:cNvSpPr txBox="1"/>
                      <wps:spPr>
                        <a:xfrm>
                          <a:off x="0" y="0"/>
                          <a:ext cx="6480175" cy="810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Addendum to</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Addendum to</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300" w:before="0" w:after="160"/>
        <w:ind w:left="0" w:right="0" w:firstLine="72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Addendum to be executed by their authorized officers effective as of the date first written above.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BANK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Baron Schlachter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Baron Schlachter</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President, Comenity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COMENITY SERVICING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Tammy McConnaughey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Tammy McConnaughey</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0260"/>
                <wp:effectExtent l="0" t="0" r="0" b="0"/>
                <wp:wrapNone/>
                <wp:docPr id="6" name="Frame6"/>
                <a:graphic xmlns:a="http://schemas.openxmlformats.org/drawingml/2006/main">
                  <a:graphicData uri="http://schemas.microsoft.com/office/word/2010/wordprocessingShape">
                    <wps:wsp>
                      <wps:cNvSpPr txBox="1"/>
                      <wps:spPr>
                        <a:xfrm>
                          <a:off x="0" y="0"/>
                          <a:ext cx="6480175" cy="810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Addendum to</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Addendum to</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 / Comenity Bank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160"/>
        <w:jc w:val="center"/>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Additions</w:t>
      </w:r>
      <w:r>
        <w:rPr>
          <w:rFonts w:ascii="Times New Roman;serif" w:hAnsi="Times New Roman;serif"/>
          <w:b w:val="false"/>
          <w:color w:val="000000"/>
          <w:sz w:val="22"/>
        </w:rPr>
        <w:t xml:space="preserve">. Set forth below are additional Services, all of which shall be incorporated into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color w:val="000000"/>
          <w:sz w:val="22"/>
          <w:u w:val="single"/>
        </w:rPr>
      </w:pPr>
      <w:r>
        <w:rPr>
          <w:rFonts w:ascii="Times New Roman;serif" w:hAnsi="Times New Roman;serif"/>
          <w:b/>
          <w:color w:val="000000"/>
          <w:sz w:val="22"/>
          <w:u w:val="single"/>
        </w:rPr>
        <w:t>SECTION I: SERVICES APPLICABLE TO ALL COMENITY BANK PRODUCTS</w:t>
      </w:r>
    </w:p>
    <w:tbl>
      <w:tblPr>
        <w:tblW w:w="10205" w:type="dxa"/>
        <w:jc w:val="left"/>
        <w:tblInd w:w="0" w:type="dxa"/>
        <w:tblLayout w:type="fixed"/>
        <w:tblCellMar>
          <w:top w:w="28" w:type="dxa"/>
          <w:left w:w="28" w:type="dxa"/>
          <w:bottom w:w="28" w:type="dxa"/>
          <w:right w:w="28" w:type="dxa"/>
        </w:tblCellMar>
      </w:tblPr>
      <w:tblGrid>
        <w:gridCol w:w="916"/>
        <w:gridCol w:w="608"/>
        <w:gridCol w:w="606"/>
        <w:gridCol w:w="2384"/>
        <w:gridCol w:w="2377"/>
        <w:gridCol w:w="2387"/>
        <w:gridCol w:w="270"/>
        <w:gridCol w:w="270"/>
        <w:gridCol w:w="387"/>
      </w:tblGrid>
      <w:tr>
        <w:trPr/>
        <w:tc>
          <w:tcPr>
            <w:tcW w:w="9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148"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27"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21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Analytic Data Platforms</w:t>
            </w:r>
          </w:p>
        </w:tc>
        <w:tc>
          <w:tcPr>
            <w:tcW w:w="71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Oversee and manage the process of data flow for Enterprise Data Hub (EDH) and Enterprise Data Warehouse (EDW).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availability of the Enterprise Data Warehouse (“EDW”) and Enterprise Data Hub ("EDH").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Management of EDW and EDH asset/system/data access reviews and respective records retention.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 incoming data transmission to analytic data platform, online reports and files from specified contractual sources within the specified timeframes.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Review and Remediation of Partial or Duplicate Data in EDW Loads.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File Reconciliation and Failure Management for analytic data platforms sourced between Bread Financial and Brand Partners.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File Transmission and Tokenization for PCI Data Protection.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Tracking and Incident Management for Daily and Monthly File Deliveries into and out of the analytic data platform.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Monitoring and Incident Management for Failed CDC Jobs.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BID process: file/data creation for brand partners.</w:t>
            </w:r>
          </w:p>
        </w:tc>
        <w:tc>
          <w:tcPr>
            <w:tcW w:w="927"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21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Operation Center</w:t>
            </w:r>
          </w:p>
        </w:tc>
        <w:tc>
          <w:tcPr>
            <w:tcW w:w="714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Identify, prioritize, analyze and document cyber incidents.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Detect and determine impacts of anomalous activity.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Mitigation of impact of cyber incidents.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Coordinate with internal and external stakeholders regarding cyber incident response and restoration.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Monitor information systems and networks to ensure confidentiality, integrity, and availability of corporate information systems.</w:t>
            </w:r>
          </w:p>
        </w:tc>
        <w:tc>
          <w:tcPr>
            <w:tcW w:w="927"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35000"/>
                <wp:effectExtent l="0" t="0" r="0" b="0"/>
                <wp:wrapNone/>
                <wp:docPr id="7" name="Frame7"/>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2"/>
        <w:gridCol w:w="639"/>
        <w:gridCol w:w="573"/>
        <w:gridCol w:w="2463"/>
        <w:gridCol w:w="2417"/>
        <w:gridCol w:w="2426"/>
        <w:gridCol w:w="267"/>
        <w:gridCol w:w="267"/>
        <w:gridCol w:w="381"/>
      </w:tblGrid>
      <w:tr>
        <w:trPr/>
        <w:tc>
          <w:tcPr>
            <w:tcW w:w="7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30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15"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19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Technology &amp; Controls</w:t>
            </w:r>
          </w:p>
        </w:tc>
        <w:tc>
          <w:tcPr>
            <w:tcW w:w="7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appropriate protection of technology assets including security planning, intrusion detection and response, remote access, etc.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Vulnerability management to support scanning, discovery, and reporting of vulnerabilities to enable timely patching of findings by remediation teams. Application security code scanning and penetration testing to discover security weaknesses and to provide reporting to remediation teams for fix action thereby protecting technology assets.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Oversight of technology design to ensure appropriate security controls &amp; platform integration to protect information and data integrity.</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Infrastructure &amp; Application security.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 Security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 strategy &amp; architecture.</w:t>
            </w:r>
          </w:p>
        </w:tc>
        <w:tc>
          <w:tcPr>
            <w:tcW w:w="9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9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Digital Engineering</w:t>
            </w:r>
          </w:p>
        </w:tc>
        <w:tc>
          <w:tcPr>
            <w:tcW w:w="7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Oversee &amp; manage digital engineering for Omnichannel Platform and customer-facing digital assets, including the Mobile App and Account Center, Apply &amp; Buy, Fraud, Credit Risk, Marketing, Capability Enablement, New Business and Brand Integration and Solutions value streams.</w:t>
            </w:r>
          </w:p>
        </w:tc>
        <w:tc>
          <w:tcPr>
            <w:tcW w:w="9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9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Enterprise Architecture</w:t>
            </w:r>
          </w:p>
        </w:tc>
        <w:tc>
          <w:tcPr>
            <w:tcW w:w="7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strategic oversight of the planning, design, and acquisition of technology solutions to ensure alignment with business objectives, architectural standards, and regulatory requirements.</w:t>
            </w:r>
          </w:p>
        </w:tc>
        <w:tc>
          <w:tcPr>
            <w:tcW w:w="9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9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Enterprise Reporting &amp; Professional Services</w:t>
            </w:r>
          </w:p>
        </w:tc>
        <w:tc>
          <w:tcPr>
            <w:tcW w:w="7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Self-Service Analytics (SSA) Platform.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Brand Interface Reporting.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Core Performance Metrics (CPM) Reporting.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Bounty Reporting.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Data Marts - Reporting/Semantic Data Layer.</w:t>
            </w:r>
          </w:p>
        </w:tc>
        <w:tc>
          <w:tcPr>
            <w:tcW w:w="9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9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Identity &amp; Access Management</w:t>
            </w:r>
          </w:p>
        </w:tc>
        <w:tc>
          <w:tcPr>
            <w:tcW w:w="7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User &amp; machine identity lifecycle management across associates, partners &amp; customers.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Authentication &amp; authorization enforcement.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Privileged access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Identity governance &amp; role-based access controls.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 reviews &amp; audit support.</w:t>
            </w:r>
          </w:p>
        </w:tc>
        <w:tc>
          <w:tcPr>
            <w:tcW w:w="91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35000"/>
                <wp:effectExtent l="0" t="0" r="0" b="0"/>
                <wp:wrapNone/>
                <wp:docPr id="8" name="Frame8"/>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8"/>
        <w:gridCol w:w="715"/>
        <w:gridCol w:w="635"/>
        <w:gridCol w:w="2447"/>
        <w:gridCol w:w="2369"/>
        <w:gridCol w:w="2270"/>
        <w:gridCol w:w="269"/>
        <w:gridCol w:w="269"/>
        <w:gridCol w:w="383"/>
      </w:tblGrid>
      <w:tr>
        <w:trPr/>
        <w:tc>
          <w:tcPr>
            <w:tcW w:w="84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08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21"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2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Operations Engineering</w:t>
            </w:r>
          </w:p>
        </w:tc>
        <w:tc>
          <w:tcPr>
            <w:tcW w:w="70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Technology services, platform, network, including telecommunications through a secure environment, which can be outsourced to third and fourth parties, including but not limited to: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Asset &amp; Configuration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 enablement.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Incident &amp; Problem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Network Infrastructure &amp; Services Operations.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 Premise Infrastructure &amp; Service Operations.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Management of end user technology.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a 24 X 7 control center/help desk facility to monitor and manage data processing operations on behalf of Bank.</w:t>
            </w:r>
          </w:p>
        </w:tc>
        <w:tc>
          <w:tcPr>
            <w:tcW w:w="9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2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Platform Engineering</w:t>
            </w:r>
          </w:p>
        </w:tc>
        <w:tc>
          <w:tcPr>
            <w:tcW w:w="70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Technology services, platform, network through a secure environment, which can be outsourced to third and fourth parties, including but not limited to: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Cloud migration and all cloud infrastructure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Software development lifecycle (SDLC) automation.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 of testing frameworks and tools.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Enabling standards and best practices through a developer experience solution.</w:t>
            </w:r>
          </w:p>
        </w:tc>
        <w:tc>
          <w:tcPr>
            <w:tcW w:w="9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21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Servicing and Core Processing Engineering</w:t>
            </w:r>
          </w:p>
        </w:tc>
        <w:tc>
          <w:tcPr>
            <w:tcW w:w="70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Technology services, platform, network, including telecommunications through a secure environment, which can be outsourced to third and fourth parties, including but not limited to: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Associate technologies in operations including but not limited to VCARS, IVR and Collections.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Core Processing Platform and Core Processing Engineering.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Financial Servicing Engineering including payments.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Servicing AI Assistant.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Telephone Infrastructure &amp; Services Operations.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Loyalty and Rewards.</w:t>
            </w:r>
          </w:p>
        </w:tc>
        <w:tc>
          <w:tcPr>
            <w:tcW w:w="92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35000"/>
                <wp:effectExtent l="0" t="0" r="0" b="0"/>
                <wp:wrapNone/>
                <wp:docPr id="9" name="Frame9"/>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31"/>
        <w:gridCol w:w="602"/>
        <w:gridCol w:w="518"/>
        <w:gridCol w:w="2782"/>
        <w:gridCol w:w="2124"/>
        <w:gridCol w:w="2132"/>
        <w:gridCol w:w="267"/>
        <w:gridCol w:w="267"/>
        <w:gridCol w:w="382"/>
      </w:tblGrid>
      <w:tr>
        <w:trPr/>
        <w:tc>
          <w:tcPr>
            <w:tcW w:w="113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03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16"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Technology &amp; Cyber Governance</w:t>
            </w:r>
          </w:p>
        </w:tc>
        <w:tc>
          <w:tcPr>
            <w:tcW w:w="70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Disaster Recovery.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Issue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Compliance, Audit Readiness, Control &amp; Regulatory Assessments &amp; Control Automation.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Maintain technology policies and standards.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Technology Third Party Risk Management.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Technology Risk Reporting.</w:t>
            </w:r>
          </w:p>
        </w:tc>
        <w:tc>
          <w:tcPr>
            <w:tcW w:w="91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22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Technology Innovation &amp; Transformation</w:t>
            </w:r>
          </w:p>
        </w:tc>
        <w:tc>
          <w:tcPr>
            <w:tcW w:w="70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Develop and maintain technology solutions through the following core processes: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 xml:space="preserve">Manage pipeline of key technology-based positions to support recruitment and staffing.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the capabilities of the current and future workforce meet strategic and technical requirements, ensure appropriate assignment of roles and responsibilities, maintain job descriptions, determine succession paths, oversee certifications requirements. </w:t>
            </w:r>
          </w:p>
          <w:p>
            <w:pPr>
              <w:pStyle w:val="TableContents"/>
              <w:bidi w:val="0"/>
              <w:spacing w:lineRule="auto" w:line="288" w:before="0" w:after="0"/>
              <w:ind w:left="0" w:right="0" w:firstLine="337"/>
              <w:jc w:val="left"/>
              <w:rPr/>
            </w:pPr>
            <w:r>
              <w:rPr>
                <w:color w:val="000000"/>
              </w:rPr>
              <w:t>•</w:t>
            </w:r>
            <w:r>
              <w:rPr>
                <w:rFonts w:ascii="Times New Roman;serif" w:hAnsi="Times New Roman;serif"/>
                <w:b w:val="false"/>
                <w:color w:val="000000"/>
                <w:sz w:val="20"/>
              </w:rPr>
              <w:t>Manage and maintain technology functional organization chart.</w:t>
            </w:r>
          </w:p>
        </w:tc>
        <w:tc>
          <w:tcPr>
            <w:tcW w:w="91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bl>
    <w:p>
      <w:pPr>
        <w:pStyle w:val="TextBody"/>
        <w:bidi w:val="0"/>
        <w:spacing w:before="0" w:after="160"/>
        <w:jc w:val="left"/>
        <w:rPr/>
      </w:pPr>
      <w:r>
        <w:rPr/>
      </w:r>
    </w:p>
    <w:p>
      <w:pPr>
        <w:pStyle w:val="TextBody"/>
        <w:bidi w:val="0"/>
        <w:spacing w:lineRule="auto" w:line="300"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Deletions</w:t>
      </w:r>
      <w:r>
        <w:rPr>
          <w:rFonts w:ascii="Times New Roman;serif" w:hAnsi="Times New Roman;serif"/>
          <w:b w:val="false"/>
          <w:color w:val="000000"/>
          <w:sz w:val="22"/>
        </w:rPr>
        <w:t xml:space="preserve">. Set forth below are Services which shall be deleted from </w:t>
      </w:r>
      <w:r>
        <w:rPr>
          <w:rFonts w:ascii="Times New Roman;serif" w:hAnsi="Times New Roman;serif"/>
          <w:b w:val="false"/>
          <w:color w:val="000000"/>
          <w:sz w:val="22"/>
          <w:u w:val="single"/>
        </w:rPr>
        <w:t>Appendix A</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both"/>
        <w:rPr/>
      </w:pPr>
      <w:r>
        <w:rPr/>
      </w:r>
    </w:p>
    <w:p>
      <w:pPr>
        <w:pStyle w:val="TextBody"/>
        <w:bidi w:val="0"/>
        <w:spacing w:lineRule="auto"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SECTION I: SERVICES APPLICABLE TO ALL COMENITY BANK PRODUCTS</w:t>
      </w:r>
    </w:p>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35000"/>
                <wp:effectExtent l="0" t="0" r="0" b="0"/>
                <wp:wrapNone/>
                <wp:docPr id="10" name="Frame10"/>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1"/>
        <w:gridCol w:w="670"/>
        <w:gridCol w:w="644"/>
        <w:gridCol w:w="2518"/>
        <w:gridCol w:w="2262"/>
        <w:gridCol w:w="2270"/>
        <w:gridCol w:w="268"/>
        <w:gridCol w:w="268"/>
        <w:gridCol w:w="384"/>
      </w:tblGrid>
      <w:tr>
        <w:trPr/>
        <w:tc>
          <w:tcPr>
            <w:tcW w:w="9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7050"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Description</w:t>
            </w:r>
          </w:p>
        </w:tc>
        <w:tc>
          <w:tcPr>
            <w:tcW w:w="920"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Added</w:t>
            </w:r>
          </w:p>
        </w:tc>
      </w:tr>
      <w:tr>
        <w:trPr/>
        <w:tc>
          <w:tcPr>
            <w:tcW w:w="22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Data Processing</w:t>
            </w:r>
          </w:p>
        </w:tc>
        <w:tc>
          <w:tcPr>
            <w:tcW w:w="70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Manage all aspects of processing platform(s), including day to day operation, backups and maintenance, and disaster recovery.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a 24 X 7 control center/help desk facility to monitor and manage data processing operations on behalf of Bank.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Ensure availability of the Enterprise Data Warehouse (“EDW”) and Enterprise Data Hub ("EDH"). The EDW and EDH are used to compile and store all data generated as part of operations of the bank.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 incoming data transmission, online reports and files from specified contractual sources within the specified timeframes.</w:t>
            </w:r>
          </w:p>
        </w:tc>
        <w:tc>
          <w:tcPr>
            <w:tcW w:w="9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r>
        <w:trPr/>
        <w:tc>
          <w:tcPr>
            <w:tcW w:w="22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End User Support</w:t>
            </w:r>
          </w:p>
        </w:tc>
        <w:tc>
          <w:tcPr>
            <w:tcW w:w="70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 of hardware, software and support to ensure continuous functioning of end user computing needs.</w:t>
            </w:r>
          </w:p>
        </w:tc>
        <w:tc>
          <w:tcPr>
            <w:tcW w:w="9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r>
        <w:trPr/>
        <w:tc>
          <w:tcPr>
            <w:tcW w:w="22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Security Support</w:t>
            </w:r>
          </w:p>
        </w:tc>
        <w:tc>
          <w:tcPr>
            <w:tcW w:w="70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technologies and manage network and application access to protect client/customer data while assuring privacy and regulatory compliance.</w:t>
            </w:r>
          </w:p>
        </w:tc>
        <w:tc>
          <w:tcPr>
            <w:tcW w:w="9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r>
        <w:trPr/>
        <w:tc>
          <w:tcPr>
            <w:tcW w:w="22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Technology Services/Outsourcing</w:t>
            </w:r>
          </w:p>
        </w:tc>
        <w:tc>
          <w:tcPr>
            <w:tcW w:w="70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Information Technology services, platform, network, including telecommunications through a secure environment, which can be outsourced to third and fourth parties, including but not limited to:</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Timely Incident Restoration.</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Unix/Linux Server Availability.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Windows Server Availability.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Mainframe Availability.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Critical Application Availability.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Data/Voice Connectivity Availability.</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Stability of Integration Hub API’s Supporting Critical Applications.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Implementation of Critical Security Updates/Patches.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Completion of Critical Batches.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Authorizations.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Account maintenance through self-service or Care Center Associate.</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Other IT services as needed.</w:t>
            </w:r>
          </w:p>
          <w:p>
            <w:pPr>
              <w:pStyle w:val="TableContents"/>
              <w:bidi w:val="0"/>
              <w:spacing w:before="0" w:after="0"/>
              <w:jc w:val="left"/>
              <w:rPr/>
            </w:pPr>
            <w:r>
              <w:rPr/>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IT Quality services as listed below:</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management of production defects.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Maintain tracking of Critical and High defects.</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Maintain listing of critical applications supporting the Bank.</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Maintain oversight of critical application performance.</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Provide monitoring of IT fixes implemented.</w:t>
            </w:r>
          </w:p>
          <w:p>
            <w:pPr>
              <w:pStyle w:val="TableContents"/>
              <w:bidi w:val="0"/>
              <w:spacing w:lineRule="atLeast" w:line="228" w:before="0" w:after="0"/>
              <w:ind w:left="0" w:right="0" w:hanging="360"/>
              <w:jc w:val="left"/>
              <w:rPr/>
            </w:pPr>
            <w:r>
              <w:rPr>
                <w:color w:val="000000"/>
              </w:rPr>
              <w:t>•</w:t>
            </w:r>
            <w:r>
              <w:rPr>
                <w:rFonts w:ascii="Times New Roman;serif" w:hAnsi="Times New Roman;serif"/>
                <w:b w:val="false"/>
                <w:color w:val="000000"/>
                <w:sz w:val="20"/>
              </w:rPr>
              <w:t>Other IT Quality Services, as requested.</w:t>
            </w:r>
          </w:p>
        </w:tc>
        <w:tc>
          <w:tcPr>
            <w:tcW w:w="92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35000"/>
                <wp:effectExtent l="0" t="0" r="0" b="0"/>
                <wp:wrapNone/>
                <wp:docPr id="11" name="Frame11"/>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30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and Additions</w:t>
      </w:r>
      <w:r>
        <w:rPr>
          <w:rFonts w:ascii="Times New Roman;serif" w:hAnsi="Times New Roman;serif"/>
          <w:b w:val="false"/>
          <w:color w:val="000000"/>
          <w:sz w:val="22"/>
        </w:rPr>
        <w:t xml:space="preserve">. Set forth below are additional Performance Standards or revisions to existing Performance Standards, all of which shall be incorporated into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left"/>
        <w:rPr/>
      </w:pPr>
      <w:r>
        <w:rPr/>
      </w:r>
    </w:p>
    <w:p>
      <w:pPr>
        <w:pStyle w:val="TextBody"/>
        <w:bidi w:val="0"/>
        <w:spacing w:lineRule="auto" w:line="300" w:before="0" w:after="0"/>
        <w:jc w:val="both"/>
        <w:rPr>
          <w:rFonts w:ascii="Times New Roman;serif" w:hAnsi="Times New Roman;serif"/>
          <w:b/>
          <w:color w:val="000000"/>
          <w:sz w:val="22"/>
          <w:u w:val="single"/>
        </w:rPr>
      </w:pPr>
      <w:r>
        <w:rPr>
          <w:rFonts w:ascii="Times New Roman;serif" w:hAnsi="Times New Roman;serif"/>
          <w:b/>
          <w:color w:val="000000"/>
          <w:sz w:val="22"/>
          <w:u w:val="single"/>
        </w:rPr>
        <w:t>SECTION I: PERFORMANCE STANDARDS APPLICABLE TO ALL COMENITY BANK PRODUCTS</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693"/>
        <w:gridCol w:w="411"/>
        <w:gridCol w:w="412"/>
        <w:gridCol w:w="2272"/>
        <w:gridCol w:w="2173"/>
        <w:gridCol w:w="2180"/>
        <w:gridCol w:w="371"/>
        <w:gridCol w:w="371"/>
        <w:gridCol w:w="372"/>
        <w:gridCol w:w="277"/>
        <w:gridCol w:w="277"/>
        <w:gridCol w:w="396"/>
      </w:tblGrid>
      <w:tr>
        <w:trPr/>
        <w:tc>
          <w:tcPr>
            <w:tcW w:w="6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6625"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11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50"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br/>
              <w:t>Added</w:t>
            </w:r>
          </w:p>
        </w:tc>
      </w:tr>
      <w:tr>
        <w:trPr/>
        <w:tc>
          <w:tcPr>
            <w:tcW w:w="151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Analytic Data Platforms</w:t>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 99% of daily EDW data transmissions from the Mainframe to be available for consumption on the required contractual source file frequency within 48 hours, outside of planned maintenance activities.</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Initiate transfer of 95% PLP Services Files by specified 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of Online files updated by 4:00AM (CTZ).</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 of Online files updated by 2:00AM (CTZ).</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Initiate transfer of 100% Monthly Outgoing transmissions by specified 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Initiate transfer of 95% Daily Outgoing transmissions by specified 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Month-End online reports generated by target 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 Daily online reports generated by target 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Digital Engineering</w:t>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Digital Self Service API.</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for New Account systems to process all applications (SNAP).</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Account Center (Web).</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Financial Support </w:t>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Management: 95% of Change Requests completed on-time.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Management: 88% of change records are successfully implemented into the production environment.</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Request Management: 88% of Service Requests completed on-time.</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Management: Maintain 99.9% availability of Cloud Device dependent applications.</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99.95% availability of Critical HIGH applications.</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99.95% availability of Critical MEDIUM applications.</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Availability: Maintain 99.85% availability of Critical Low Important applications.</w:t>
            </w:r>
          </w:p>
        </w:tc>
        <w:tc>
          <w:tcPr>
            <w:tcW w:w="11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51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6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 of Severity 1 Root Cause Analyses completed on-time.</w:t>
            </w:r>
          </w:p>
        </w:tc>
        <w:tc>
          <w:tcPr>
            <w:tcW w:w="111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35000"/>
                <wp:effectExtent l="0" t="0" r="0" b="0"/>
                <wp:wrapNone/>
                <wp:docPr id="12" name="Frame12"/>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9"/>
        <w:gridCol w:w="546"/>
        <w:gridCol w:w="482"/>
        <w:gridCol w:w="2190"/>
        <w:gridCol w:w="2088"/>
        <w:gridCol w:w="2094"/>
        <w:gridCol w:w="401"/>
        <w:gridCol w:w="401"/>
        <w:gridCol w:w="403"/>
        <w:gridCol w:w="277"/>
        <w:gridCol w:w="277"/>
        <w:gridCol w:w="397"/>
      </w:tblGrid>
      <w:tr>
        <w:trPr/>
        <w:tc>
          <w:tcPr>
            <w:tcW w:w="64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6372"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20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51"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br/>
              <w:t>Added</w:t>
            </w:r>
          </w:p>
        </w:tc>
      </w:tr>
      <w:tr>
        <w:trPr/>
        <w:tc>
          <w:tcPr>
            <w:tcW w:w="1677"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Operations Engineering</w:t>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95% of service requests within 15 business days.</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Help desk support is available 24/7 where at least 90% of monthly inbound calls are answered within 20 seconds or less.</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99.55% data connectivity availability (measured as the availability of Lan, Wan, Internet and Client Connectivity).</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99.5% of on-Premise Mainframe Batch Production Stream Completion jobs within 1 business day of required completion time.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1 Incidents Restored within Defined time.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 of Priority 2 Incidents Restored within Defined time.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96% of Priority 3 Incidents Restored within Defined time.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more than 1 Priority 1 incident in production for critical applications per release.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more than 1 Priority 2 incident in production for critical applications per release.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or greater Unix &amp; Linux Server availability.</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or greater Windows Server availability.</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or greater Mainframe availability.</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 availability of Storage System. </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SQL.</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95.5% Ticket Assignment Accuracy Rate.</w:t>
            </w:r>
          </w:p>
        </w:tc>
        <w:tc>
          <w:tcPr>
            <w:tcW w:w="12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167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7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Handle Time Less than Fifteen Minutes.</w:t>
            </w:r>
          </w:p>
        </w:tc>
        <w:tc>
          <w:tcPr>
            <w:tcW w:w="120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35000"/>
                <wp:effectExtent l="0" t="0" r="0" b="0"/>
                <wp:wrapNone/>
                <wp:docPr id="13" name="Frame13"/>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7"/>
        <w:gridCol w:w="761"/>
        <w:gridCol w:w="688"/>
        <w:gridCol w:w="2028"/>
        <w:gridCol w:w="1853"/>
        <w:gridCol w:w="1859"/>
        <w:gridCol w:w="389"/>
        <w:gridCol w:w="389"/>
        <w:gridCol w:w="391"/>
        <w:gridCol w:w="277"/>
        <w:gridCol w:w="277"/>
        <w:gridCol w:w="396"/>
      </w:tblGrid>
      <w:tr>
        <w:trPr/>
        <w:tc>
          <w:tcPr>
            <w:tcW w:w="89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574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1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5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Amended/</w:t>
              <w:br/>
              <w:t>Added</w:t>
            </w:r>
          </w:p>
        </w:tc>
      </w:tr>
      <w:tr>
        <w:trPr/>
        <w:tc>
          <w:tcPr>
            <w:tcW w:w="23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Platform Engineering</w:t>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of Code Modules Released into Production without Defect.</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Servicing and Core Processing Engineering</w:t>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 or greater of Critical Patches Applied Within 30 Days.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99.55% voice connectivity availability (measured as the uptime of all voice connectivity components – SIP, PRI, POTs, e911).</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transaction success of IVR APIs.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Customer Care APIs.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transaction success of Web Collections APIs.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Easy Pay.</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Interactive Voice Response (IVR).</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Alvaria.</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VCARS.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availability of Web Collections.</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99.99% of Authorization System Availability.</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 of Authorization System Responsiveness for Co-Brand and uPLCC in 1 Second.</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 of Authorization System Responsiveness for PLCC in 0.5 Second.</w:t>
            </w:r>
          </w:p>
        </w:tc>
        <w:tc>
          <w:tcPr>
            <w:tcW w:w="11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234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7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100% same day Fiserv Monetary Postings received by the designated cut-off time.</w:t>
            </w:r>
          </w:p>
        </w:tc>
        <w:tc>
          <w:tcPr>
            <w:tcW w:w="116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5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35000"/>
                <wp:effectExtent l="0" t="0" r="0" b="0"/>
                <wp:wrapNone/>
                <wp:docPr id="14" name="Frame14"/>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B-3</w:t>
                      </w:r>
                    </w:p>
                  </w:txbxContent>
                </v:textbox>
                <w10:wrap type="none"/>
              </v:rect>
            </w:pict>
          </mc:Fallback>
        </mc:AlternateContent>
      </w:r>
    </w:p>
    <w:tbl>
      <w:tblPr>
        <w:tblW w:w="10094" w:type="dxa"/>
        <w:jc w:val="left"/>
        <w:tblInd w:w="0" w:type="dxa"/>
        <w:tblLayout w:type="fixed"/>
        <w:tblCellMar>
          <w:top w:w="28" w:type="dxa"/>
          <w:left w:w="28" w:type="dxa"/>
          <w:bottom w:w="28" w:type="dxa"/>
          <w:right w:w="28" w:type="dxa"/>
        </w:tblCellMar>
      </w:tblPr>
      <w:tblGrid>
        <w:gridCol w:w="124"/>
        <w:gridCol w:w="109"/>
        <w:gridCol w:w="109"/>
        <w:gridCol w:w="2663"/>
        <w:gridCol w:w="2663"/>
        <w:gridCol w:w="2669"/>
        <w:gridCol w:w="275"/>
        <w:gridCol w:w="275"/>
        <w:gridCol w:w="276"/>
        <w:gridCol w:w="272"/>
        <w:gridCol w:w="272"/>
        <w:gridCol w:w="3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both"/>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100% same day Fiserv Non-Monetary Postings received by the designated cut-off time.</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FCRM – OFAC Response: 99% of GO response within 750ms.</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FCRM – SAR Reporting: 100% of reporting sent to FinCen within 1 day of receipt.</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98.5% availability of First Dispute.</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98.5% Availability of First Track.</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 Solution Builder (eCustomer Service)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 Fraud Detection Work Center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DDA.</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Defense Edge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Fiserv RESTful Web Services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99.95% Online System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PLP Services – Maintain 99.9% Agent Portal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PLP Services – Maintain 99.9% Partner API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PLP Services – Maintain 99.9% Rewards Website Fulfillment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1 – 98% within 250ms.</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2 – 97% within 500ms.</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Restful Web Services System Responsiveness: Tier 3 – 97% within 1000ms.</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 Nautilus availability.</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Financial Crime Risk Management (FCRM).</w:t>
            </w:r>
          </w:p>
        </w:tc>
        <w:tc>
          <w:tcPr>
            <w:tcW w:w="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r>
        <w:trPr/>
        <w:tc>
          <w:tcPr>
            <w:tcW w:w="342" w:type="dxa"/>
            <w:gridSpan w:val="3"/>
            <w:vMerge w:val="continue"/>
            <w:tcBorders>
              <w:top w:val="single" w:sz="4" w:space="0" w:color="000000"/>
              <w:left w:val="single" w:sz="4" w:space="0" w:color="000000"/>
              <w:bottom w:val="single" w:sz="4" w:space="0" w:color="000000"/>
            </w:tcBorders>
            <w:tcMar>
              <w:right w:w="0" w:type="dxa"/>
            </w:tcMar>
            <w:vAlign w:val="center"/>
          </w:tcPr>
          <w:p>
            <w:pPr>
              <w:pStyle w:val="Normal"/>
              <w:bidi w:val="0"/>
              <w:jc w:val="left"/>
              <w:rPr/>
            </w:pPr>
            <w:r>
              <w:rPr/>
            </w:r>
          </w:p>
        </w:tc>
        <w:tc>
          <w:tcPr>
            <w:tcW w:w="79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availability of PLP (Rewards).</w:t>
            </w:r>
          </w:p>
        </w:tc>
        <w:tc>
          <w:tcPr>
            <w:tcW w:w="82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35000"/>
                <wp:effectExtent l="0" t="0" r="0" b="0"/>
                <wp:wrapNone/>
                <wp:docPr id="15" name="Frame1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B-4</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SECTION II: PERFORMANCE STANDARDS APPLICABLE TO REVOLVING CREDIT CARDS</w:t>
      </w:r>
    </w:p>
    <w:p>
      <w:pPr>
        <w:pStyle w:val="TextBody"/>
        <w:bidi w:val="0"/>
        <w:spacing w:before="0" w:after="160"/>
        <w:jc w:val="center"/>
        <w:rPr/>
      </w:pPr>
      <w:r>
        <w:rPr/>
      </w:r>
    </w:p>
    <w:tbl>
      <w:tblPr>
        <w:tblW w:w="10205" w:type="dxa"/>
        <w:jc w:val="left"/>
        <w:tblInd w:w="0" w:type="dxa"/>
        <w:tblLayout w:type="fixed"/>
        <w:tblCellMar>
          <w:top w:w="28" w:type="dxa"/>
          <w:left w:w="28" w:type="dxa"/>
          <w:bottom w:w="28" w:type="dxa"/>
          <w:right w:w="28" w:type="dxa"/>
        </w:tblCellMar>
      </w:tblPr>
      <w:tblGrid>
        <w:gridCol w:w="601"/>
        <w:gridCol w:w="393"/>
        <w:gridCol w:w="383"/>
        <w:gridCol w:w="2411"/>
        <w:gridCol w:w="2226"/>
        <w:gridCol w:w="2214"/>
        <w:gridCol w:w="347"/>
        <w:gridCol w:w="347"/>
        <w:gridCol w:w="348"/>
        <w:gridCol w:w="272"/>
        <w:gridCol w:w="272"/>
        <w:gridCol w:w="391"/>
      </w:tblGrid>
      <w:tr>
        <w:trPr/>
        <w:tc>
          <w:tcPr>
            <w:tcW w:w="60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6851"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042"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935"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Deleted</w:t>
            </w:r>
          </w:p>
        </w:tc>
      </w:tr>
      <w:tr>
        <w:trPr/>
        <w:tc>
          <w:tcPr>
            <w:tcW w:w="1377"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Card Embossing &amp; Issuance</w:t>
            </w:r>
          </w:p>
        </w:tc>
        <w:tc>
          <w:tcPr>
            <w:tcW w:w="68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 cardholder personalization accuracy.</w:t>
            </w:r>
          </w:p>
        </w:tc>
        <w:tc>
          <w:tcPr>
            <w:tcW w:w="1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377"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8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 cardholder personalization timeliness of 2- day turnaround.</w:t>
            </w:r>
          </w:p>
        </w:tc>
        <w:tc>
          <w:tcPr>
            <w:tcW w:w="1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377"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68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99.5% cardholder personalization timeliness of 3- day turnaround.</w:t>
            </w:r>
          </w:p>
        </w:tc>
        <w:tc>
          <w:tcPr>
            <w:tcW w:w="1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Added</w:t>
            </w:r>
          </w:p>
        </w:tc>
      </w:tr>
      <w:tr>
        <w:trPr/>
        <w:tc>
          <w:tcPr>
            <w:tcW w:w="13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Lockbox Payment Processing</w:t>
            </w:r>
          </w:p>
        </w:tc>
        <w:tc>
          <w:tcPr>
            <w:tcW w:w="685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greater than 5 Encoding Errors per 100,000 payments made by DELUXE for a dollar or greater in which the intended amount on the check was clear (i.e. payment deposited to the wrong customer account when clearly identified or able to determine within parameters provided, providing duplicate images to the Financial Institution, etc.).</w:t>
            </w:r>
          </w:p>
        </w:tc>
        <w:tc>
          <w:tcPr>
            <w:tcW w:w="104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93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Amended</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Deletions</w:t>
      </w:r>
      <w:r>
        <w:rPr>
          <w:rFonts w:ascii="Times New Roman;serif" w:hAnsi="Times New Roman;serif"/>
          <w:b w:val="false"/>
          <w:color w:val="000000"/>
          <w:sz w:val="22"/>
        </w:rPr>
        <w:t xml:space="preserve">. Set forth below are Performance Standards which shall be deleted from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to the Agreement. </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color w:val="000000"/>
          <w:sz w:val="22"/>
          <w:u w:val="single"/>
        </w:rPr>
      </w:pPr>
      <w:r>
        <w:rPr>
          <w:rFonts w:ascii="Times New Roman;serif" w:hAnsi="Times New Roman;serif"/>
          <w:b/>
          <w:color w:val="000000"/>
          <w:sz w:val="22"/>
          <w:u w:val="single"/>
        </w:rPr>
        <w:t>SECTION I: PERFORMANCE STANDARDS APPLICABLE TO ALL COMENITY BANK PRODUCTS</w:t>
      </w:r>
    </w:p>
    <w:tbl>
      <w:tblPr>
        <w:tblW w:w="10205" w:type="dxa"/>
        <w:jc w:val="left"/>
        <w:tblInd w:w="0" w:type="dxa"/>
        <w:tblLayout w:type="fixed"/>
        <w:tblCellMar>
          <w:top w:w="28" w:type="dxa"/>
          <w:left w:w="28" w:type="dxa"/>
          <w:bottom w:w="28" w:type="dxa"/>
          <w:right w:w="28" w:type="dxa"/>
        </w:tblCellMar>
      </w:tblPr>
      <w:tblGrid>
        <w:gridCol w:w="1335"/>
        <w:gridCol w:w="1166"/>
        <w:gridCol w:w="1146"/>
        <w:gridCol w:w="1465"/>
        <w:gridCol w:w="1465"/>
        <w:gridCol w:w="1469"/>
        <w:gridCol w:w="457"/>
        <w:gridCol w:w="457"/>
        <w:gridCol w:w="459"/>
        <w:gridCol w:w="228"/>
        <w:gridCol w:w="228"/>
        <w:gridCol w:w="330"/>
      </w:tblGrid>
      <w:tr>
        <w:trPr/>
        <w:tc>
          <w:tcPr>
            <w:tcW w:w="133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647"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Service Category</w:t>
            </w:r>
          </w:p>
        </w:tc>
        <w:tc>
          <w:tcPr>
            <w:tcW w:w="4399"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Performance Standard</w:t>
            </w:r>
          </w:p>
        </w:tc>
        <w:tc>
          <w:tcPr>
            <w:tcW w:w="1373"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Measuring Period</w:t>
            </w:r>
          </w:p>
        </w:tc>
        <w:tc>
          <w:tcPr>
            <w:tcW w:w="786" w:type="dxa"/>
            <w:gridSpan w:val="3"/>
            <w:tcBorders>
              <w:top w:val="single" w:sz="4" w:space="0" w:color="000000"/>
              <w:left w:val="single" w:sz="4" w:space="0" w:color="000000"/>
              <w:bottom w:val="single" w:sz="4" w:space="0" w:color="000000"/>
              <w:right w:val="single" w:sz="4" w:space="0" w:color="000000"/>
            </w:tcBorders>
            <w:shd w:fill="BFBFB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Deleted</w:t>
            </w:r>
          </w:p>
        </w:tc>
      </w:tr>
      <w:tr>
        <w:trPr/>
        <w:tc>
          <w:tcPr>
            <w:tcW w:w="3647"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Technology Servicing/Outsourcing</w:t>
            </w:r>
          </w:p>
        </w:tc>
        <w:tc>
          <w:tcPr>
            <w:tcW w:w="43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Transaction Success of Account Center APIs.</w:t>
            </w:r>
          </w:p>
        </w:tc>
        <w:tc>
          <w:tcPr>
            <w:tcW w:w="137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78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r>
        <w:trPr/>
        <w:tc>
          <w:tcPr>
            <w:tcW w:w="3647"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39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99.9% transaction success of Mobile App APIs.</w:t>
            </w:r>
          </w:p>
        </w:tc>
        <w:tc>
          <w:tcPr>
            <w:tcW w:w="137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78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Deleted</w:t>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35000"/>
                <wp:effectExtent l="0" t="0" r="0" b="0"/>
                <wp:wrapNone/>
                <wp:docPr id="16" name="Frame16"/>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Fourth Addendum to </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Confidential Sixth Amended and Restated Service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Comenity Servicing LLC/Comenity Bank</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B-5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3222</Words>
  <Characters>20250</Characters>
  <CharactersWithSpaces>23016</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