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140335</wp:posOffset>
            </wp:positionV>
            <wp:extent cx="257175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BREAD FINANCIAL HOLDINGS,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25" w:lineRule="exact"/>
        <w:rPr>
          <w:sz w:val="24"/>
          <w:szCs w:val="24"/>
          <w:color w:val="auto"/>
        </w:rPr>
      </w:pPr>
    </w:p>
    <w:tbl>
      <w:tblPr>
        <w:tblLayout w:type="fixed"/>
        <w:tblInd w:w="700" w:type="dxa"/>
        <w:tblCellMar>
          <w:top w:w="0" w:type="dxa"/>
          <w:left w:w="0" w:type="dxa"/>
          <w:bottom w:w="0" w:type="dxa"/>
          <w:right w:w="0" w:type="dxa"/>
        </w:tblCellMar>
      </w:tblPr>
      <w:tr>
        <w:trPr>
          <w:trHeight w:val="286"/>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001-15749</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31-1429215</w:t>
            </w:r>
          </w:p>
        </w:tc>
      </w:tr>
      <w:tr>
        <w:trPr>
          <w:trHeight w:val="271"/>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9"/>
              </w:rPr>
              <w:t>(Commission</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File Number)</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564"/>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3095 LOYALTY CIRCLE</w:t>
            </w:r>
          </w:p>
        </w:tc>
        <w:tc>
          <w:tcPr>
            <w:tcW w:w="1880" w:type="dxa"/>
            <w:vAlign w:val="bottom"/>
          </w:tcPr>
          <w:p>
            <w:pPr>
              <w:spacing w:after="0"/>
              <w:rPr>
                <w:sz w:val="24"/>
                <w:szCs w:val="24"/>
                <w:color w:val="auto"/>
              </w:rPr>
            </w:pPr>
          </w:p>
        </w:tc>
      </w:tr>
      <w:tr>
        <w:trPr>
          <w:trHeight w:val="260"/>
        </w:trPr>
        <w:tc>
          <w:tcPr>
            <w:tcW w:w="2440" w:type="dxa"/>
            <w:vAlign w:val="bottom"/>
          </w:tcPr>
          <w:p>
            <w:pPr>
              <w:spacing w:after="0"/>
              <w:rPr>
                <w:sz w:val="22"/>
                <w:szCs w:val="22"/>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COLUMBUS, Ohio 43219</w:t>
            </w:r>
          </w:p>
        </w:tc>
        <w:tc>
          <w:tcPr>
            <w:tcW w:w="1880" w:type="dxa"/>
            <w:vAlign w:val="bottom"/>
          </w:tcPr>
          <w:p>
            <w:pPr>
              <w:spacing w:after="0"/>
              <w:rPr>
                <w:sz w:val="22"/>
                <w:szCs w:val="22"/>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(Address and Zip Code of Principal Executive Offices)</w:t>
            </w:r>
          </w:p>
        </w:tc>
        <w:tc>
          <w:tcPr>
            <w:tcW w:w="1880" w:type="dxa"/>
            <w:vAlign w:val="bottom"/>
          </w:tcPr>
          <w:p>
            <w:pPr>
              <w:spacing w:after="0"/>
              <w:rPr>
                <w:sz w:val="24"/>
                <w:szCs w:val="24"/>
                <w:color w:val="auto"/>
              </w:rPr>
            </w:pPr>
          </w:p>
        </w:tc>
      </w:tr>
      <w:tr>
        <w:trPr>
          <w:trHeight w:val="460"/>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(614) 729-4000</w:t>
            </w:r>
          </w:p>
        </w:tc>
        <w:tc>
          <w:tcPr>
            <w:tcW w:w="1880" w:type="dxa"/>
            <w:vAlign w:val="bottom"/>
          </w:tcPr>
          <w:p>
            <w:pPr>
              <w:spacing w:after="0"/>
              <w:rPr>
                <w:sz w:val="24"/>
                <w:szCs w:val="24"/>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7"/>
              </w:rPr>
              <w:t>(Registrant’s Telephone Number, including Area Code)</w:t>
            </w:r>
          </w:p>
        </w:tc>
        <w:tc>
          <w:tcPr>
            <w:tcW w:w="1880" w:type="dxa"/>
            <w:vAlign w:val="bottom"/>
          </w:tcPr>
          <w:p>
            <w:pPr>
              <w:spacing w:after="0"/>
              <w:rPr>
                <w:sz w:val="24"/>
                <w:szCs w:val="24"/>
                <w:color w:val="auto"/>
              </w:rPr>
            </w:pPr>
          </w:p>
        </w:tc>
      </w:tr>
    </w:tbl>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4" w:lineRule="exact"/>
        <w:rPr>
          <w:sz w:val="24"/>
          <w:szCs w:val="24"/>
          <w:color w:val="auto"/>
        </w:rPr>
      </w:pPr>
    </w:p>
    <w:p>
      <w:pPr>
        <w:jc w:val="center"/>
        <w:ind w:right="-39"/>
        <w:spacing w:after="0" w:line="253" w:lineRule="exact"/>
        <w:rPr>
          <w:sz w:val="20"/>
          <w:szCs w:val="20"/>
          <w:color w:val="auto"/>
        </w:rPr>
      </w:pPr>
      <w:r>
        <w:rPr>
          <w:rFonts w:ascii="Times New Roman" w:cs="Times New Roman" w:eastAsia="Times New Roman" w:hAnsi="Times New Roman"/>
          <w:sz w:val="22"/>
          <w:szCs w:val="22"/>
          <w:color w:val="auto"/>
        </w:rPr>
        <w:t>(Former name or former address, if changed since last report)</w:t>
      </w:r>
      <w:r>
        <w:rPr>
          <w:rFonts w:ascii="MS PGothic" w:cs="MS PGothic" w:eastAsia="MS PGothic" w:hAnsi="MS PGothic"/>
          <w:sz w:val="22"/>
          <w:szCs w:val="22"/>
          <w:color w:val="auto"/>
        </w:rPr>
        <w:t>☐</w:t>
      </w:r>
    </w:p>
    <w:p>
      <w:pPr>
        <w:spacing w:after="0" w:line="204" w:lineRule="exact"/>
        <w:rPr>
          <w:sz w:val="24"/>
          <w:szCs w:val="24"/>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212" w:lineRule="exact"/>
        <w:rPr>
          <w:sz w:val="24"/>
          <w:szCs w:val="24"/>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Name of each exchange on which</w:t>
            </w:r>
          </w:p>
        </w:tc>
      </w:tr>
      <w:tr>
        <w:trPr>
          <w:trHeight w:val="29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registered</w:t>
            </w:r>
          </w:p>
        </w:tc>
      </w:tr>
      <w:tr>
        <w:trPr>
          <w:trHeight w:val="27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7"/>
              </w:rPr>
              <w:t>Common Stock, par value $0.01 per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8"/>
              </w:rPr>
              <w:t>BFH</w:t>
            </w:r>
          </w:p>
        </w:tc>
        <w:tc>
          <w:tcPr>
            <w:tcW w:w="37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NYSE</w:t>
            </w:r>
          </w:p>
        </w:tc>
      </w:tr>
      <w:tr>
        <w:trPr>
          <w:trHeight w:val="28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8"/>
              </w:rPr>
              <w:t>share</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BFH PrA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Interest in a Share of 8.625% Non-Cumulative</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Perpetual Preferred Stock, Series A</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25"/>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BFH PrB</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Interest in a Share of 8.875% Fixed Rate Reset</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3"/>
        </w:trPr>
        <w:tc>
          <w:tcPr>
            <w:tcW w:w="37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rPr>
              <w:t>Non-Cumulative Perpetual Preferred Stock,</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B</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ectPr>
          <w:pgSz w:w="11900" w:h="16838" w:orient="portrait"/>
          <w:cols w:equalWidth="0" w:num="1">
            <w:col w:w="11220"/>
          </w:cols>
          <w:pgMar w:left="320" w:top="1440" w:right="359" w:bottom="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81"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3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On May 19, 2026, Bread Financial Holdings, Inc. (the “Company”) held its 2026 annual meeting of stockholders (the “Annual Meeting”) in a virtual-only format. A total of 37,841,186 shares of the Company’s common stock were present or represented by proxy at the Annual Meeting, representing approximately 91.35% of the Company’s shares outstanding as of March 25, 2026, the record date set for the Annual Meeting. The matters voted on at the Annual Meeting and the results for each matter were as follows:</w:t>
      </w:r>
    </w:p>
    <w:p>
      <w:pPr>
        <w:spacing w:after="0" w:line="202" w:lineRule="exact"/>
        <w:rPr>
          <w:sz w:val="20"/>
          <w:szCs w:val="20"/>
          <w:color w:val="auto"/>
        </w:rPr>
      </w:pPr>
    </w:p>
    <w:p>
      <w:pPr>
        <w:ind w:right="140" w:firstLine="8"/>
        <w:spacing w:after="0" w:line="246"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Proposal 1: </w:t>
      </w:r>
      <w:r>
        <w:rPr>
          <w:rFonts w:ascii="Times New Roman" w:cs="Times New Roman" w:eastAsia="Times New Roman" w:hAnsi="Times New Roman"/>
          <w:sz w:val="22"/>
          <w:szCs w:val="22"/>
          <w:color w:val="auto"/>
        </w:rPr>
        <w:t>Each of Ralph J. Andretta, John J. Fawcett, John C. Gerspach, Jr., Praniti Lakhwara, Rajesh Natarajan, Joyce 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Clair, Timothy J. Theriault, Laurie A. Tucker and Sharen J. Turney was elected as a director of the Company to serve until the 2027 annual meeting of stockholders.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Ralph J. Andretta</w:t>
      </w:r>
    </w:p>
    <w:p>
      <w:pPr>
        <w:spacing w:after="0" w:line="44"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22"/>
          <w:szCs w:val="22"/>
          <w:color w:val="auto"/>
        </w:rPr>
        <w:t>34,147,196</w:t>
      </w:r>
      <w:r>
        <w:rPr>
          <w:sz w:val="20"/>
          <w:szCs w:val="20"/>
          <w:color w:val="auto"/>
        </w:rPr>
        <w:tab/>
      </w:r>
      <w:r>
        <w:rPr>
          <w:rFonts w:ascii="Times New Roman" w:cs="Times New Roman" w:eastAsia="Times New Roman" w:hAnsi="Times New Roman"/>
          <w:sz w:val="22"/>
          <w:szCs w:val="22"/>
          <w:color w:val="auto"/>
        </w:rPr>
        <w:t>For</w:t>
      </w:r>
    </w:p>
    <w:p>
      <w:pPr>
        <w:spacing w:after="0" w:line="44"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133,556</w:t>
      </w:r>
      <w:r>
        <w:rPr>
          <w:sz w:val="20"/>
          <w:szCs w:val="20"/>
          <w:color w:val="auto"/>
        </w:rPr>
        <w:tab/>
      </w:r>
      <w:r>
        <w:rPr>
          <w:rFonts w:ascii="Times New Roman" w:cs="Times New Roman" w:eastAsia="Times New Roman" w:hAnsi="Times New Roman"/>
          <w:sz w:val="22"/>
          <w:szCs w:val="22"/>
          <w:color w:val="auto"/>
        </w:rPr>
        <w:t>Against</w:t>
      </w:r>
    </w:p>
    <w:p>
      <w:pPr>
        <w:spacing w:after="0" w:line="44" w:lineRule="exact"/>
        <w:rPr>
          <w:sz w:val="20"/>
          <w:szCs w:val="20"/>
          <w:color w:val="auto"/>
        </w:rPr>
      </w:pPr>
    </w:p>
    <w:p>
      <w:pPr>
        <w:ind w:left="860"/>
        <w:spacing w:after="0"/>
        <w:tabs>
          <w:tab w:leader="none" w:pos="1660" w:val="left"/>
        </w:tabs>
        <w:rPr>
          <w:sz w:val="20"/>
          <w:szCs w:val="20"/>
          <w:color w:val="auto"/>
        </w:rPr>
      </w:pPr>
      <w:r>
        <w:rPr>
          <w:rFonts w:ascii="Times New Roman" w:cs="Times New Roman" w:eastAsia="Times New Roman" w:hAnsi="Times New Roman"/>
          <w:sz w:val="22"/>
          <w:szCs w:val="22"/>
          <w:color w:val="auto"/>
        </w:rPr>
        <w:t>7,681</w:t>
      </w:r>
      <w:r>
        <w:rPr>
          <w:sz w:val="20"/>
          <w:szCs w:val="20"/>
          <w:color w:val="auto"/>
        </w:rPr>
        <w:tab/>
      </w:r>
      <w:r>
        <w:rPr>
          <w:rFonts w:ascii="Times New Roman" w:cs="Times New Roman" w:eastAsia="Times New Roman" w:hAnsi="Times New Roman"/>
          <w:sz w:val="22"/>
          <w:szCs w:val="22"/>
          <w:color w:val="auto"/>
        </w:rPr>
        <w:t>Abstain</w:t>
      </w:r>
    </w:p>
    <w:p>
      <w:pPr>
        <w:spacing w:after="0" w:line="4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22"/>
          <w:szCs w:val="22"/>
          <w:color w:val="auto"/>
        </w:rPr>
        <w:t>3,552,752</w:t>
      </w:r>
      <w:r>
        <w:rPr>
          <w:sz w:val="20"/>
          <w:szCs w:val="20"/>
          <w:color w:val="auto"/>
        </w:rPr>
        <w:tab/>
      </w:r>
      <w:r>
        <w:rPr>
          <w:rFonts w:ascii="Times New Roman" w:cs="Times New Roman" w:eastAsia="Times New Roman" w:hAnsi="Times New Roman"/>
          <w:sz w:val="22"/>
          <w:szCs w:val="22"/>
          <w:color w:val="auto"/>
        </w:rPr>
        <w:t>Broker Non-Votes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J. Fawcett</w:t>
      </w:r>
    </w:p>
    <w:p>
      <w:pPr>
        <w:spacing w:after="0" w:line="44"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22"/>
          <w:szCs w:val="22"/>
          <w:color w:val="auto"/>
        </w:rPr>
        <w:t>34,218,396</w:t>
      </w:r>
      <w:r>
        <w:rPr>
          <w:sz w:val="20"/>
          <w:szCs w:val="20"/>
          <w:color w:val="auto"/>
        </w:rPr>
        <w:tab/>
      </w:r>
      <w:r>
        <w:rPr>
          <w:rFonts w:ascii="Times New Roman" w:cs="Times New Roman" w:eastAsia="Times New Roman" w:hAnsi="Times New Roman"/>
          <w:sz w:val="22"/>
          <w:szCs w:val="22"/>
          <w:color w:val="auto"/>
        </w:rPr>
        <w:t>For</w:t>
      </w:r>
    </w:p>
    <w:p>
      <w:pPr>
        <w:spacing w:after="0" w:line="44" w:lineRule="exact"/>
        <w:rPr>
          <w:sz w:val="20"/>
          <w:szCs w:val="20"/>
          <w:color w:val="auto"/>
        </w:rPr>
      </w:pPr>
    </w:p>
    <w:p>
      <w:pPr>
        <w:ind w:left="740"/>
        <w:spacing w:after="0"/>
        <w:tabs>
          <w:tab w:leader="none" w:pos="1660" w:val="left"/>
        </w:tabs>
        <w:rPr>
          <w:sz w:val="20"/>
          <w:szCs w:val="20"/>
          <w:color w:val="auto"/>
        </w:rPr>
      </w:pPr>
      <w:r>
        <w:rPr>
          <w:rFonts w:ascii="Times New Roman" w:cs="Times New Roman" w:eastAsia="Times New Roman" w:hAnsi="Times New Roman"/>
          <w:sz w:val="22"/>
          <w:szCs w:val="22"/>
          <w:color w:val="auto"/>
        </w:rPr>
        <w:t>62,228</w:t>
      </w:r>
      <w:r>
        <w:rPr>
          <w:sz w:val="20"/>
          <w:szCs w:val="20"/>
          <w:color w:val="auto"/>
        </w:rPr>
        <w:tab/>
      </w:r>
      <w:r>
        <w:rPr>
          <w:rFonts w:ascii="Times New Roman" w:cs="Times New Roman" w:eastAsia="Times New Roman" w:hAnsi="Times New Roman"/>
          <w:sz w:val="22"/>
          <w:szCs w:val="22"/>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7,809</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851"/>
        </w:trPr>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C. Gerspach, Jr.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34,024,883</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255,432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Against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8,118</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837"/>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Praniti Lakhwara</w:t>
            </w:r>
          </w:p>
        </w:tc>
        <w:tc>
          <w:tcPr>
            <w:tcW w:w="1660" w:type="dxa"/>
            <w:vAlign w:val="bottom"/>
          </w:tcPr>
          <w:p>
            <w:pPr>
              <w:spacing w:after="0"/>
              <w:rPr>
                <w:sz w:val="24"/>
                <w:szCs w:val="24"/>
                <w:color w:val="auto"/>
              </w:rPr>
            </w:pP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34,241,651</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32,194</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Against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14,588</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851"/>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Rajesh Natarajan</w:t>
            </w:r>
          </w:p>
        </w:tc>
        <w:tc>
          <w:tcPr>
            <w:tcW w:w="1660" w:type="dxa"/>
            <w:vAlign w:val="bottom"/>
          </w:tcPr>
          <w:p>
            <w:pPr>
              <w:spacing w:after="0"/>
              <w:rPr>
                <w:sz w:val="24"/>
                <w:szCs w:val="24"/>
                <w:color w:val="auto"/>
              </w:rPr>
            </w:pP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33,998,473</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281,302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Against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8,658</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837"/>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Joyce St. Clair</w:t>
            </w:r>
          </w:p>
        </w:tc>
        <w:tc>
          <w:tcPr>
            <w:tcW w:w="1660" w:type="dxa"/>
            <w:vAlign w:val="bottom"/>
          </w:tcPr>
          <w:p>
            <w:pPr>
              <w:spacing w:after="0"/>
              <w:rPr>
                <w:sz w:val="24"/>
                <w:szCs w:val="24"/>
                <w:color w:val="auto"/>
              </w:rPr>
            </w:pP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34,261,613</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19,165</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Against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7,655</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608"/>
        </w:trPr>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Timothy J. Theriault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34,141,303</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139,063</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Against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8,067</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837"/>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Laurie A. Tucker</w:t>
            </w:r>
          </w:p>
        </w:tc>
        <w:tc>
          <w:tcPr>
            <w:tcW w:w="1660" w:type="dxa"/>
            <w:vAlign w:val="bottom"/>
          </w:tcPr>
          <w:p>
            <w:pPr>
              <w:spacing w:after="0"/>
              <w:rPr>
                <w:sz w:val="24"/>
                <w:szCs w:val="24"/>
                <w:color w:val="auto"/>
              </w:rPr>
            </w:pP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33,855,221</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425,581</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Against</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7,631</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Abstain</w:t>
            </w:r>
          </w:p>
        </w:tc>
      </w:tr>
      <w:tr>
        <w:trPr>
          <w:trHeight w:val="297"/>
        </w:trPr>
        <w:tc>
          <w:tcPr>
            <w:tcW w:w="1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3,552,752</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5"/>
              </w:rPr>
              <w:t>Broker Non-Votes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1102360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Sharen J. Turney</w:t>
      </w:r>
    </w:p>
    <w:p>
      <w:pPr>
        <w:spacing w:after="0" w:line="44"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22"/>
          <w:szCs w:val="22"/>
          <w:color w:val="auto"/>
        </w:rPr>
        <w:t>33,874,190</w:t>
      </w:r>
      <w:r>
        <w:rPr>
          <w:sz w:val="20"/>
          <w:szCs w:val="20"/>
          <w:color w:val="auto"/>
        </w:rPr>
        <w:tab/>
      </w:r>
      <w:r>
        <w:rPr>
          <w:rFonts w:ascii="Times New Roman" w:cs="Times New Roman" w:eastAsia="Times New Roman" w:hAnsi="Times New Roman"/>
          <w:sz w:val="22"/>
          <w:szCs w:val="22"/>
          <w:color w:val="auto"/>
        </w:rPr>
        <w:t>For</w:t>
      </w:r>
    </w:p>
    <w:p>
      <w:pPr>
        <w:spacing w:after="0" w:line="44"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406,562</w:t>
      </w:r>
      <w:r>
        <w:rPr>
          <w:sz w:val="20"/>
          <w:szCs w:val="20"/>
          <w:color w:val="auto"/>
        </w:rPr>
        <w:tab/>
      </w:r>
      <w:r>
        <w:rPr>
          <w:rFonts w:ascii="Times New Roman" w:cs="Times New Roman" w:eastAsia="Times New Roman" w:hAnsi="Times New Roman"/>
          <w:sz w:val="22"/>
          <w:szCs w:val="22"/>
          <w:color w:val="auto"/>
        </w:rPr>
        <w:t>Against</w:t>
      </w:r>
    </w:p>
    <w:p>
      <w:pPr>
        <w:spacing w:after="0" w:line="44" w:lineRule="exact"/>
        <w:rPr>
          <w:sz w:val="20"/>
          <w:szCs w:val="20"/>
          <w:color w:val="auto"/>
        </w:rPr>
      </w:pPr>
    </w:p>
    <w:p>
      <w:pPr>
        <w:ind w:left="860"/>
        <w:spacing w:after="0"/>
        <w:tabs>
          <w:tab w:leader="none" w:pos="1660" w:val="left"/>
        </w:tabs>
        <w:rPr>
          <w:sz w:val="20"/>
          <w:szCs w:val="20"/>
          <w:color w:val="auto"/>
        </w:rPr>
      </w:pPr>
      <w:r>
        <w:rPr>
          <w:rFonts w:ascii="Times New Roman" w:cs="Times New Roman" w:eastAsia="Times New Roman" w:hAnsi="Times New Roman"/>
          <w:sz w:val="22"/>
          <w:szCs w:val="22"/>
          <w:color w:val="auto"/>
        </w:rPr>
        <w:t>7,681</w:t>
      </w:r>
      <w:r>
        <w:rPr>
          <w:sz w:val="20"/>
          <w:szCs w:val="20"/>
          <w:color w:val="auto"/>
        </w:rPr>
        <w:tab/>
      </w:r>
      <w:r>
        <w:rPr>
          <w:rFonts w:ascii="Times New Roman" w:cs="Times New Roman" w:eastAsia="Times New Roman" w:hAnsi="Times New Roman"/>
          <w:sz w:val="22"/>
          <w:szCs w:val="22"/>
          <w:color w:val="auto"/>
        </w:rPr>
        <w:t>Abstain</w:t>
      </w:r>
    </w:p>
    <w:p>
      <w:pPr>
        <w:spacing w:after="0" w:line="4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22"/>
          <w:szCs w:val="22"/>
          <w:color w:val="auto"/>
        </w:rPr>
        <w:t>3,552,752</w:t>
      </w:r>
      <w:r>
        <w:rPr>
          <w:sz w:val="20"/>
          <w:szCs w:val="20"/>
          <w:color w:val="auto"/>
        </w:rPr>
        <w:tab/>
      </w:r>
      <w:r>
        <w:rPr>
          <w:rFonts w:ascii="Times New Roman" w:cs="Times New Roman" w:eastAsia="Times New Roman" w:hAnsi="Times New Roman"/>
          <w:sz w:val="22"/>
          <w:szCs w:val="22"/>
          <w:color w:val="auto"/>
        </w:rPr>
        <w:t>Broker Non-Votes</w:t>
      </w:r>
    </w:p>
    <w:p>
      <w:pPr>
        <w:spacing w:after="0" w:line="3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Roger H. Ballou, who has been a director of the Company since 2001, did not stand for re-election and retired from our Board of Directors effective May 19, 2026.</w:t>
      </w:r>
    </w:p>
    <w:p>
      <w:pPr>
        <w:spacing w:after="0" w:line="195"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Proposal 2: </w:t>
      </w:r>
      <w:r>
        <w:rPr>
          <w:rFonts w:ascii="Times New Roman" w:cs="Times New Roman" w:eastAsia="Times New Roman" w:hAnsi="Times New Roman"/>
          <w:sz w:val="22"/>
          <w:szCs w:val="22"/>
          <w:color w:val="auto"/>
        </w:rPr>
        <w:t>Executive compensation was approved, on an advisory basis, by the Company’s stockholders.</w:t>
      </w:r>
    </w:p>
    <w:p>
      <w:pPr>
        <w:spacing w:after="0" w:line="48" w:lineRule="exact"/>
        <w:rPr>
          <w:rFonts w:ascii="Times New Roman" w:cs="Times New Roman" w:eastAsia="Times New Roman" w:hAnsi="Times New Roman"/>
          <w:sz w:val="22"/>
          <w:szCs w:val="22"/>
          <w:color w:val="auto"/>
        </w:rPr>
      </w:pPr>
    </w:p>
    <w:p>
      <w:pPr>
        <w:ind w:left="3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31,508,096   For</w:t>
      </w:r>
    </w:p>
    <w:p>
      <w:pPr>
        <w:spacing w:after="0" w:line="44" w:lineRule="exact"/>
        <w:rPr>
          <w:rFonts w:ascii="Times New Roman" w:cs="Times New Roman" w:eastAsia="Times New Roman" w:hAnsi="Times New Roman"/>
          <w:sz w:val="22"/>
          <w:szCs w:val="22"/>
          <w:color w:val="auto"/>
        </w:rPr>
      </w:pPr>
    </w:p>
    <w:p>
      <w:pPr>
        <w:ind w:left="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2,754,478   Against</w:t>
      </w:r>
    </w:p>
    <w:p>
      <w:pPr>
        <w:spacing w:after="0" w:line="4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25,859   Abstain</w:t>
      </w:r>
    </w:p>
    <w:p>
      <w:pPr>
        <w:spacing w:after="0" w:line="44" w:lineRule="exact"/>
        <w:rPr>
          <w:rFonts w:ascii="Times New Roman" w:cs="Times New Roman" w:eastAsia="Times New Roman" w:hAnsi="Times New Roman"/>
          <w:sz w:val="22"/>
          <w:szCs w:val="22"/>
          <w:color w:val="auto"/>
        </w:rPr>
      </w:pPr>
    </w:p>
    <w:p>
      <w:pPr>
        <w:ind w:left="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3,552,752   Broker Non-Votes</w:t>
      </w:r>
    </w:p>
    <w:p>
      <w:pPr>
        <w:spacing w:after="0" w:line="350" w:lineRule="exact"/>
        <w:rPr>
          <w:rFonts w:ascii="Times New Roman" w:cs="Times New Roman" w:eastAsia="Times New Roman" w:hAnsi="Times New Roman"/>
          <w:sz w:val="22"/>
          <w:szCs w:val="22"/>
          <w:color w:val="auto"/>
        </w:rPr>
      </w:pPr>
    </w:p>
    <w:p>
      <w:pPr>
        <w:ind w:left="360" w:right="2040" w:hanging="352"/>
        <w:spacing w:after="0" w:line="283" w:lineRule="auto"/>
        <w:tabs>
          <w:tab w:leader="none" w:pos="2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Proposal 3: </w:t>
      </w:r>
      <w:r>
        <w:rPr>
          <w:rFonts w:ascii="Times New Roman" w:cs="Times New Roman" w:eastAsia="Times New Roman" w:hAnsi="Times New Roman"/>
          <w:sz w:val="22"/>
          <w:szCs w:val="22"/>
          <w:color w:val="auto"/>
        </w:rPr>
        <w:t>The 2026 Employee Stock Purchase Plan, was approved by the Company’s stockholders.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34,219,041 For</w:t>
      </w:r>
    </w:p>
    <w:p>
      <w:pPr>
        <w:spacing w:after="0" w:line="1"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55,969   Against</w:t>
      </w:r>
    </w:p>
    <w:p>
      <w:pPr>
        <w:spacing w:after="0" w:line="4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13,423   Abstain</w:t>
      </w:r>
    </w:p>
    <w:p>
      <w:pPr>
        <w:spacing w:after="0" w:line="44" w:lineRule="exact"/>
        <w:rPr>
          <w:rFonts w:ascii="Times New Roman" w:cs="Times New Roman" w:eastAsia="Times New Roman" w:hAnsi="Times New Roman"/>
          <w:sz w:val="22"/>
          <w:szCs w:val="22"/>
          <w:color w:val="auto"/>
        </w:rPr>
      </w:pPr>
    </w:p>
    <w:p>
      <w:pPr>
        <w:ind w:left="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3,552,752   Broker Non-Votes</w:t>
      </w:r>
    </w:p>
    <w:p>
      <w:pPr>
        <w:spacing w:after="0" w:line="350" w:lineRule="exact"/>
        <w:rPr>
          <w:rFonts w:ascii="Times New Roman" w:cs="Times New Roman" w:eastAsia="Times New Roman" w:hAnsi="Times New Roman"/>
          <w:sz w:val="22"/>
          <w:szCs w:val="22"/>
          <w:color w:val="auto"/>
        </w:rPr>
      </w:pPr>
    </w:p>
    <w:p>
      <w:pPr>
        <w:ind w:right="300" w:firstLine="8"/>
        <w:spacing w:after="0" w:line="249"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Proposal 4: </w:t>
      </w:r>
      <w:r>
        <w:rPr>
          <w:rFonts w:ascii="Times New Roman" w:cs="Times New Roman" w:eastAsia="Times New Roman" w:hAnsi="Times New Roman"/>
          <w:sz w:val="22"/>
          <w:szCs w:val="22"/>
          <w:color w:val="auto"/>
        </w:rPr>
        <w:t>The selection of Deloitte &amp; Touche LLP as the Company’s independent registered public accounting firm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was ratified by the Company’s stockholders.</w:t>
      </w:r>
    </w:p>
    <w:p>
      <w:pPr>
        <w:spacing w:after="0" w:line="6"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22"/>
          <w:szCs w:val="22"/>
          <w:color w:val="auto"/>
        </w:rPr>
        <w:t>36,998,194</w:t>
      </w:r>
      <w:r>
        <w:rPr>
          <w:sz w:val="20"/>
          <w:szCs w:val="20"/>
          <w:color w:val="auto"/>
        </w:rPr>
        <w:tab/>
      </w:r>
      <w:r>
        <w:rPr>
          <w:rFonts w:ascii="Times New Roman" w:cs="Times New Roman" w:eastAsia="Times New Roman" w:hAnsi="Times New Roman"/>
          <w:sz w:val="22"/>
          <w:szCs w:val="22"/>
          <w:color w:val="auto"/>
        </w:rPr>
        <w:t>For</w:t>
      </w:r>
    </w:p>
    <w:p>
      <w:pPr>
        <w:spacing w:after="0" w:line="44"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822,956</w:t>
      </w:r>
      <w:r>
        <w:rPr>
          <w:sz w:val="20"/>
          <w:szCs w:val="20"/>
          <w:color w:val="auto"/>
        </w:rPr>
        <w:tab/>
      </w:r>
      <w:r>
        <w:rPr>
          <w:rFonts w:ascii="Times New Roman" w:cs="Times New Roman" w:eastAsia="Times New Roman" w:hAnsi="Times New Roman"/>
          <w:sz w:val="22"/>
          <w:szCs w:val="22"/>
          <w:color w:val="auto"/>
        </w:rPr>
        <w:t>Against</w:t>
      </w:r>
    </w:p>
    <w:p>
      <w:pPr>
        <w:spacing w:after="0" w:line="44" w:lineRule="exact"/>
        <w:rPr>
          <w:sz w:val="20"/>
          <w:szCs w:val="20"/>
          <w:color w:val="auto"/>
        </w:rPr>
      </w:pPr>
    </w:p>
    <w:p>
      <w:pPr>
        <w:ind w:left="740"/>
        <w:spacing w:after="0"/>
        <w:tabs>
          <w:tab w:leader="none" w:pos="1660" w:val="left"/>
        </w:tabs>
        <w:rPr>
          <w:sz w:val="20"/>
          <w:szCs w:val="20"/>
          <w:color w:val="auto"/>
        </w:rPr>
      </w:pPr>
      <w:r>
        <w:rPr>
          <w:rFonts w:ascii="Times New Roman" w:cs="Times New Roman" w:eastAsia="Times New Roman" w:hAnsi="Times New Roman"/>
          <w:sz w:val="22"/>
          <w:szCs w:val="22"/>
          <w:color w:val="auto"/>
        </w:rPr>
        <w:t>20,035</w:t>
      </w:r>
      <w:r>
        <w:rPr>
          <w:sz w:val="20"/>
          <w:szCs w:val="20"/>
          <w:color w:val="auto"/>
        </w:rPr>
        <w:tab/>
      </w:r>
      <w:r>
        <w:rPr>
          <w:rFonts w:ascii="Times New Roman" w:cs="Times New Roman" w:eastAsia="Times New Roman" w:hAnsi="Times New Roman"/>
          <w:sz w:val="22"/>
          <w:szCs w:val="22"/>
          <w:color w:val="auto"/>
        </w:rPr>
        <w:t>Abstain</w:t>
      </w:r>
    </w:p>
    <w:p>
      <w:pPr>
        <w:spacing w:after="0" w:line="44" w:lineRule="exact"/>
        <w:rPr>
          <w:sz w:val="20"/>
          <w:szCs w:val="20"/>
          <w:color w:val="auto"/>
        </w:rPr>
      </w:pPr>
    </w:p>
    <w:p>
      <w:pPr>
        <w:ind w:left="1680" w:hanging="448"/>
        <w:spacing w:after="0"/>
        <w:tabs>
          <w:tab w:leader="none" w:pos="16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2" w:right="439" w:bottom="1440" w:gutter="0" w:footer="0" w:header="0"/>
        </w:sectPr>
      </w:pPr>
    </w:p>
    <w:bookmarkStart w:id="4" w:name="page5"/>
    <w:bookmarkEnd w:id="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Document Description</w:t>
            </w: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034"/>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2"/>
          <w:szCs w:val="22"/>
          <w:color w:val="auto"/>
        </w:rPr>
        <w:t>SIGNATURES</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233" w:lineRule="exact"/>
        <w:rPr>
          <w:sz w:val="20"/>
          <w:szCs w:val="20"/>
          <w:color w:val="auto"/>
        </w:rPr>
      </w:pPr>
    </w:p>
    <w:p>
      <w:pPr>
        <w:ind w:left="20"/>
        <w:spacing w:after="0"/>
        <w:tabs>
          <w:tab w:leader="none" w:pos="6180" w:val="left"/>
          <w:tab w:leader="none" w:pos="6740" w:val="left"/>
        </w:tabs>
        <w:rPr>
          <w:sz w:val="20"/>
          <w:szCs w:val="20"/>
          <w:color w:val="auto"/>
        </w:rPr>
      </w:pPr>
      <w:r>
        <w:rPr>
          <w:rFonts w:ascii="Times New Roman" w:cs="Times New Roman" w:eastAsia="Times New Roman" w:hAnsi="Times New Roman"/>
          <w:sz w:val="22"/>
          <w:szCs w:val="22"/>
          <w:color w:val="auto"/>
        </w:rPr>
        <w:t>Date: May 22,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19685</wp:posOffset>
            </wp:positionV>
            <wp:extent cx="2854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Joseph L. Motes III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Executive Vice President, Chief</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Administrative Officer, General</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Counsel and Secretary</w:t>
      </w:r>
    </w:p>
    <w:sectPr>
      <w:pgSz w:w="11900" w:h="16838" w:orient="portrait"/>
      <w:cols w:equalWidth="0" w:num="1">
        <w:col w:w="11200"/>
      </w:cols>
      <w:pgMar w:left="320" w:top="11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0"/>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2026-05-22T05:08:47Z</dcterms:created>
  <dcterms:modified xsi:type="dcterms:W3CDTF">2026-05-22T05:08:47Z</dcterms:modified>
</cp:coreProperties>
</file>