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333-291573</w:t>
      </w:r>
    </w:p>
    <w:p>
      <w:pPr>
        <w:spacing w:after="0" w:line="135" w:lineRule="exact"/>
        <w:rPr>
          <w:sz w:val="24"/>
          <w:szCs w:val="24"/>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FF4338"/>
        </w:rPr>
        <w:t>SUBJECT TO COMPLETION, DATED OCTOBER 27, 2026</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THE PROSPECTUS DATED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58420</wp:posOffset>
            </wp:positionV>
            <wp:extent cx="216027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19"/>
        <w:spacing w:after="0"/>
        <w:tabs>
          <w:tab w:leader="none" w:pos="120" w:val="left"/>
        </w:tabs>
        <w:rPr>
          <w:sz w:val="20"/>
          <w:szCs w:val="20"/>
          <w:color w:val="auto"/>
        </w:rPr>
      </w:pPr>
      <w:r>
        <w:rPr>
          <w:rFonts w:ascii="Times New Roman" w:cs="Times New Roman" w:eastAsia="Times New Roman" w:hAnsi="Times New Roman"/>
          <w:sz w:val="14"/>
          <w:szCs w:val="14"/>
          <w:b w:val="1"/>
          <w:bCs w:val="1"/>
          <w:color w:val="auto"/>
        </w:rPr>
        <w:t xml:space="preserve">       </w:t>
        <w:tab/>
        <w:t>Depositary Shares</w:t>
      </w:r>
    </w:p>
    <w:p>
      <w:pPr>
        <w:spacing w:after="0" w:line="6" w:lineRule="exact"/>
        <w:rPr>
          <w:sz w:val="24"/>
          <w:szCs w:val="24"/>
          <w:color w:val="auto"/>
        </w:rPr>
      </w:pPr>
    </w:p>
    <w:p>
      <w:pPr>
        <w:jc w:val="center"/>
        <w:ind w:right="-99"/>
        <w:spacing w:after="0"/>
        <w:tabs>
          <w:tab w:leader="none" w:pos="120" w:val="left"/>
        </w:tabs>
        <w:rPr>
          <w:sz w:val="20"/>
          <w:szCs w:val="20"/>
          <w:color w:val="auto"/>
        </w:rPr>
      </w:pPr>
      <w:r>
        <w:rPr>
          <w:rFonts w:ascii="Times New Roman" w:cs="Times New Roman" w:eastAsia="Times New Roman" w:hAnsi="Times New Roman"/>
          <w:sz w:val="14"/>
          <w:szCs w:val="14"/>
          <w:b w:val="1"/>
          <w:bCs w:val="1"/>
          <w:color w:val="auto"/>
        </w:rPr>
        <w:t xml:space="preserve">Each Representing a 1/40th Interest in a Share of     </w:t>
        <w:tab/>
        <w:t>% Fixed Rate Reset Non-Cumulative Perpetual Preferred Stock, Series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64770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7" w:lineRule="exact"/>
        <w:rPr>
          <w:sz w:val="24"/>
          <w:szCs w:val="24"/>
          <w:color w:val="auto"/>
        </w:rPr>
      </w:pPr>
    </w:p>
    <w:p>
      <w:pPr>
        <w:jc w:val="both"/>
        <w:ind w:left="120" w:right="180" w:firstLine="440"/>
        <w:spacing w:after="0" w:line="236" w:lineRule="auto"/>
        <w:rPr>
          <w:sz w:val="20"/>
          <w:szCs w:val="20"/>
          <w:color w:val="auto"/>
        </w:rPr>
      </w:pPr>
      <w:r>
        <w:rPr>
          <w:rFonts w:ascii="Times New Roman" w:cs="Times New Roman" w:eastAsia="Times New Roman" w:hAnsi="Times New Roman"/>
          <w:sz w:val="14"/>
          <w:szCs w:val="14"/>
          <w:color w:val="auto"/>
        </w:rPr>
        <w:t>We are offering depositary shares, each representing a 1/40th ownership interest in a share of our     % Fixed Rate Reset Non-Cumulative Perpetual Preferred Stock, Series C, par value $0.01 per share (the “Series C Preferred Stock”), with a liquidation preference of $25 per depositary share (equivalent to $1,000 per share of Series C Preferred Stock). As a holder of depositary shares, you will be entitled to all proportional rights and preferences of the Series C Preferred Stock represented thereby (including dividend, voting, redemption and liquidation rights). You must exercise any such rights through the depositary.</w:t>
      </w:r>
    </w:p>
    <w:p>
      <w:pPr>
        <w:spacing w:after="0" w:line="15" w:lineRule="exact"/>
        <w:rPr>
          <w:sz w:val="24"/>
          <w:szCs w:val="24"/>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4"/>
          <w:szCs w:val="14"/>
          <w:color w:val="auto"/>
        </w:rPr>
        <w:t>We will pay dividends on the Series C Preferred Stock, when, as, and if declared by our Board of Directors (or a duly authorized committee thereof), to the extent that we have lawfully available funds to pay dividends, quarterly in arrears on March 15, June 15, September 15, and December 15 of each year, beginning on March 15, 2027.</w:t>
      </w:r>
    </w:p>
    <w:p>
      <w:pPr>
        <w:spacing w:after="0" w:line="1" w:lineRule="exact"/>
        <w:rPr>
          <w:sz w:val="24"/>
          <w:szCs w:val="24"/>
          <w:color w:val="auto"/>
        </w:rPr>
      </w:pPr>
    </w:p>
    <w:p>
      <w:pPr>
        <w:ind w:left="120" w:right="60" w:firstLine="440"/>
        <w:spacing w:after="0" w:line="233" w:lineRule="auto"/>
        <w:rPr>
          <w:sz w:val="20"/>
          <w:szCs w:val="20"/>
          <w:color w:val="auto"/>
        </w:rPr>
      </w:pPr>
      <w:r>
        <w:rPr>
          <w:rFonts w:ascii="Times New Roman" w:cs="Times New Roman" w:eastAsia="Times New Roman" w:hAnsi="Times New Roman"/>
          <w:sz w:val="14"/>
          <w:szCs w:val="14"/>
          <w:color w:val="auto"/>
        </w:rPr>
        <w:t>When, as, and if declared by our Board of Directors (or a duly authorized committee thereof), (i) dividends payable from the date of issuance to but excluding December 15, 2031 (the “First Reset Date”) will be payable based on the liquidation preference of the Series C Preferred Stock at a rate of     % per annum, and (ii) dividends payable from and including the First Reset Date and each subsequent reset date (as defined below), as applicable, during each reset period, will be payable based on the liquidation preference of the Series C Preferred Stock at a rate per annum equal to the Five-Year U.S. Treasury Rate as of the most recent reset dividend determination date (as described elsewhere in this prospectus supplement) plus       percentage points. Upon payment of any dividends on the Series C Preferred Stock, holders of depositary shares are expected to receive a proportionate payment.</w:t>
      </w:r>
    </w:p>
    <w:p>
      <w:pPr>
        <w:spacing w:after="0" w:line="15" w:lineRule="exact"/>
        <w:rPr>
          <w:sz w:val="24"/>
          <w:szCs w:val="24"/>
          <w:color w:val="auto"/>
        </w:rPr>
      </w:pPr>
    </w:p>
    <w:p>
      <w:pPr>
        <w:ind w:left="120" w:right="60" w:firstLine="440"/>
        <w:spacing w:after="0" w:line="231" w:lineRule="auto"/>
        <w:rPr>
          <w:sz w:val="20"/>
          <w:szCs w:val="20"/>
          <w:color w:val="auto"/>
        </w:rPr>
      </w:pPr>
      <w:r>
        <w:rPr>
          <w:rFonts w:ascii="Times New Roman" w:cs="Times New Roman" w:eastAsia="Times New Roman" w:hAnsi="Times New Roman"/>
          <w:sz w:val="14"/>
          <w:szCs w:val="14"/>
          <w:color w:val="auto"/>
        </w:rPr>
        <w:t>Dividends on the Series C Preferred Stock will not be cumulative. If for any reason our Board of Directors (or a duly authorized committee thereof) does not declare a dividend on the Series C Preferred Stock for any dividend period, that dividend will not accrue or be payable and we will have no obligation to pay dividends for that dividend period, whether or not dividends on the Series C Preferred Stock are declared for any future dividend period. Dividends on the Series C Preferred Stock will not be declared, paid or set aside for payment to the extent such act would cause us to fail to comply with applicable laws and regulations. If Bread Financial ever becomes subject to regulation by the Board of Governors of the Federal Reserve System (the “Federal Reserve”) or otherwise becomes subject to regulatory capital requirements under federal banking laws (a “Regulated Institution”), the limitation in the prior sentence will include the capital adequacy regulations and guidelines established by the applicable federal banking agency.</w:t>
      </w:r>
    </w:p>
    <w:p>
      <w:pPr>
        <w:spacing w:after="0" w:line="15" w:lineRule="exact"/>
        <w:rPr>
          <w:sz w:val="24"/>
          <w:szCs w:val="24"/>
          <w:color w:val="auto"/>
        </w:rPr>
      </w:pPr>
    </w:p>
    <w:p>
      <w:pPr>
        <w:ind w:left="120" w:right="80" w:firstLine="440"/>
        <w:spacing w:after="0" w:line="228" w:lineRule="auto"/>
        <w:rPr>
          <w:sz w:val="20"/>
          <w:szCs w:val="20"/>
          <w:color w:val="auto"/>
        </w:rPr>
      </w:pPr>
      <w:r>
        <w:rPr>
          <w:rFonts w:ascii="Times New Roman" w:cs="Times New Roman" w:eastAsia="Times New Roman" w:hAnsi="Times New Roman"/>
          <w:sz w:val="14"/>
          <w:szCs w:val="14"/>
          <w:color w:val="auto"/>
        </w:rPr>
        <w:t>We may redeem the Series C Preferred Stock at our option, subject to any regulatory approval requirements as are in effect at such time, (1) in whole or in part, from time to time, on the First Reset Date or any dividend payment date thereafter, at a redemption price equal to $1,000 per share (equivalent to $25 per depositary share), plus any declared and unpaid dividends, or (2) if Bread Financial ever becomes a Regulated Institution, in whole but not in part, at any time within 90 days following a regulatory capital treatment event (as defined herein), at a redemption price equal to $1,000 per share (equivalent to $25 per depositary share), plus any declared and unpaid dividends. If Bread Financial ever becomes a Regulated Institution, any redemption of the Series C Preferred Stock will be subject to our receipt of any prior approval required by the applicable federal banking agency and to the satisfaction of any conditions set forth in applicable regulations and guidelines of such federal banking agency applicable to the redemption of the Series C Preferred Stock, including capital regulations and guidelines. See “Description of the Series C Preferred Stock—Redemption—Optional Redemption” beginning on page S-24 for additional information. If we redeem the Series C Preferred Stock, the depositary is expected to redeem a proportionate number of depositary shares.</w:t>
      </w:r>
    </w:p>
    <w:p>
      <w:pPr>
        <w:spacing w:after="0" w:line="19" w:lineRule="exact"/>
        <w:rPr>
          <w:sz w:val="24"/>
          <w:szCs w:val="24"/>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4"/>
          <w:szCs w:val="14"/>
          <w:color w:val="auto"/>
        </w:rPr>
        <w:t>We will apply to list the depositary shares on the New York Stock Exchange (the “NYSE”) under the symbol “BFH PrC.” Trading of the depositary shares is expected to commence within the 30-day period following the original issue date of the depositary shares. Our common stock is listed on the NYSE under the symbol “BFH.”</w:t>
      </w:r>
    </w:p>
    <w:p>
      <w:pPr>
        <w:spacing w:after="0" w:line="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The Series C Preferred Stock will not have any voting rights, except the limited ones set forth under “Description of the Series C Preferred Stock—Voting Rights” beginning on page</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S-26.</w:t>
      </w:r>
    </w:p>
    <w:p>
      <w:pPr>
        <w:spacing w:after="0" w:line="2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Investing in the depositary shares involves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S-12.</w:t>
      </w:r>
    </w:p>
    <w:p>
      <w:pPr>
        <w:spacing w:after="0" w:line="61" w:lineRule="exact"/>
        <w:rPr>
          <w:sz w:val="24"/>
          <w:szCs w:val="24"/>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other regulatory body has approved or disapproved of these securities or passed upon the adequacy or accuracy of this prospectus supplement or the accompanying prospectus. Any representation to the contrary is a criminal offense.</w:t>
      </w:r>
    </w:p>
    <w:p>
      <w:pPr>
        <w:spacing w:after="0" w:line="1" w:lineRule="exact"/>
        <w:rPr>
          <w:sz w:val="24"/>
          <w:szCs w:val="24"/>
          <w:color w:val="auto"/>
        </w:rPr>
      </w:pPr>
    </w:p>
    <w:p>
      <w:pPr>
        <w:ind w:left="120" w:right="30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depositary shares nor the Series C Preferred Stock are a savings account, deposit or other obligation of a bank and neither are insured or guaranteed by the Federal Deposit Insurance Corporation (the “FDIC”) or any other governmental agency or instrumentality.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4"/>
          <w:szCs w:val="24"/>
          <w:color w:val="auto"/>
        </w:rPr>
      </w:pPr>
    </w:p>
    <w:tbl>
      <w:tblPr>
        <w:tblLayout w:type="fixed"/>
        <w:tblInd w:w="100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20" w:type="dxa"/>
            <w:vAlign w:val="bottom"/>
            <w:gridSpan w:val="4"/>
          </w:tcPr>
          <w:p>
            <w:pPr>
              <w:ind w:left="920"/>
              <w:spacing w:after="0"/>
              <w:rPr>
                <w:sz w:val="20"/>
                <w:szCs w:val="20"/>
                <w:color w:val="auto"/>
              </w:rPr>
            </w:pPr>
            <w:r>
              <w:rPr>
                <w:rFonts w:ascii="Times New Roman" w:cs="Times New Roman" w:eastAsia="Times New Roman" w:hAnsi="Times New Roman"/>
                <w:sz w:val="13"/>
                <w:szCs w:val="13"/>
                <w:b w:val="1"/>
                <w:bCs w:val="1"/>
                <w:color w:val="auto"/>
              </w:rPr>
              <w:t>Proceeds to Bread</w:t>
            </w:r>
          </w:p>
        </w:tc>
      </w:tr>
      <w:tr>
        <w:trPr>
          <w:trHeight w:val="148"/>
        </w:trPr>
        <w:tc>
          <w:tcPr>
            <w:tcW w:w="2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20" w:type="dxa"/>
            <w:vAlign w:val="bottom"/>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Underwriting</w:t>
            </w:r>
          </w:p>
        </w:tc>
        <w:tc>
          <w:tcPr>
            <w:tcW w:w="920" w:type="dxa"/>
            <w:vAlign w:val="bottom"/>
          </w:tcPr>
          <w:p>
            <w:pPr>
              <w:spacing w:after="0"/>
              <w:rPr>
                <w:sz w:val="12"/>
                <w:szCs w:val="12"/>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Financial (Before</w:t>
            </w:r>
          </w:p>
        </w:tc>
      </w:tr>
      <w:tr>
        <w:trPr>
          <w:trHeight w:val="165"/>
        </w:trPr>
        <w:tc>
          <w:tcPr>
            <w:tcW w:w="2720" w:type="dxa"/>
            <w:vAlign w:val="bottom"/>
          </w:tcPr>
          <w:p>
            <w:pPr>
              <w:spacing w:after="0"/>
              <w:rPr>
                <w:sz w:val="14"/>
                <w:szCs w:val="14"/>
                <w:color w:val="auto"/>
              </w:rPr>
            </w:pPr>
          </w:p>
        </w:tc>
        <w:tc>
          <w:tcPr>
            <w:tcW w:w="2800" w:type="dxa"/>
            <w:vAlign w:val="bottom"/>
            <w:gridSpan w:val="3"/>
          </w:tcPr>
          <w:p>
            <w:pPr>
              <w:ind w:left="1560"/>
              <w:spacing w:after="0"/>
              <w:rPr>
                <w:sz w:val="20"/>
                <w:szCs w:val="20"/>
                <w:color w:val="auto"/>
              </w:rPr>
            </w:pPr>
            <w:r>
              <w:rPr>
                <w:rFonts w:ascii="Times New Roman" w:cs="Times New Roman" w:eastAsia="Times New Roman" w:hAnsi="Times New Roman"/>
                <w:sz w:val="13"/>
                <w:szCs w:val="13"/>
                <w:b w:val="1"/>
                <w:bCs w:val="1"/>
                <w:color w:val="auto"/>
              </w:rPr>
              <w:t>Public Offering Price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line="165" w:lineRule="exact"/>
              <w:rPr>
                <w:sz w:val="20"/>
                <w:szCs w:val="20"/>
                <w:color w:val="auto"/>
              </w:rPr>
            </w:pPr>
            <w:r>
              <w:rPr>
                <w:rFonts w:ascii="Times New Roman" w:cs="Times New Roman" w:eastAsia="Times New Roman" w:hAnsi="Times New Roman"/>
                <w:sz w:val="13"/>
                <w:szCs w:val="13"/>
                <w:b w:val="1"/>
                <w:bCs w:val="1"/>
                <w:color w:val="auto"/>
              </w:rPr>
              <w:t>Discount</w:t>
            </w:r>
            <w:r>
              <w:rPr>
                <w:rFonts w:ascii="Times New Roman" w:cs="Times New Roman" w:eastAsia="Times New Roman" w:hAnsi="Times New Roman"/>
                <w:sz w:val="19"/>
                <w:szCs w:val="19"/>
                <w:b w:val="1"/>
                <w:bCs w:val="1"/>
                <w:color w:val="auto"/>
                <w:vertAlign w:val="superscript"/>
              </w:rPr>
              <w:t>(2)</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Expenses)</w:t>
            </w:r>
          </w:p>
        </w:tc>
      </w:tr>
      <w:tr>
        <w:trPr>
          <w:trHeight w:val="142"/>
        </w:trPr>
        <w:tc>
          <w:tcPr>
            <w:tcW w:w="2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depositary share</w:t>
            </w:r>
          </w:p>
        </w:tc>
        <w:tc>
          <w:tcPr>
            <w:tcW w:w="15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9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9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 xml:space="preserve">       </w:t>
            </w:r>
          </w:p>
        </w:tc>
        <w:tc>
          <w:tcPr>
            <w:tcW w:w="40" w:type="dxa"/>
            <w:vAlign w:val="bottom"/>
            <w:tcBorders>
              <w:top w:val="single" w:sz="8" w:color="CCEEFF"/>
            </w:tcBorders>
            <w:shd w:val="clear" w:color="auto" w:fill="CCEEFF"/>
          </w:tcPr>
          <w:p>
            <w:pPr>
              <w:spacing w:after="0"/>
              <w:rPr>
                <w:sz w:val="12"/>
                <w:szCs w:val="12"/>
                <w:color w:val="auto"/>
              </w:rPr>
            </w:pPr>
          </w:p>
        </w:tc>
      </w:tr>
      <w:tr>
        <w:trPr>
          <w:trHeight w:val="188"/>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10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spacing w:after="0"/>
              <w:rPr>
                <w:sz w:val="16"/>
                <w:szCs w:val="16"/>
                <w:color w:val="auto"/>
              </w:rPr>
            </w:pPr>
          </w:p>
        </w:tc>
        <w:tc>
          <w:tcPr>
            <w:tcW w:w="10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5"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no exercise of the underwriters’ option to purchase additional depositary shares as described below.</w:t>
      </w:r>
    </w:p>
    <w:p>
      <w:pPr>
        <w:spacing w:after="0" w:line="55" w:lineRule="exact"/>
        <w:rPr>
          <w:sz w:val="24"/>
          <w:szCs w:val="24"/>
          <w:color w:val="auto"/>
        </w:rPr>
      </w:pPr>
    </w:p>
    <w:p>
      <w:pPr>
        <w:ind w:left="120"/>
        <w:spacing w:after="0"/>
        <w:tabs>
          <w:tab w:leader="none" w:pos="520" w:val="left"/>
          <w:tab w:leader="none" w:pos="5500" w:val="left"/>
          <w:tab w:leader="none" w:pos="8140" w:val="left"/>
          <w:tab w:leader="none" w:pos="10000" w:val="left"/>
        </w:tabs>
        <w:rPr>
          <w:sz w:val="20"/>
          <w:szCs w:val="20"/>
          <w:color w:val="auto"/>
        </w:rPr>
      </w:pP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4"/>
          <w:szCs w:val="14"/>
          <w:color w:val="auto"/>
        </w:rPr>
        <w:t xml:space="preserve">The underwriting discount is calculated using a weighted average amount of $       </w:t>
        <w:tab/>
        <w:t xml:space="preserve">per depositary share for retail orders (       </w:t>
        <w:tab/>
        <w:t xml:space="preserve">depositary shares) and $       </w:t>
        <w:tab/>
        <w:t>per depositary</w:t>
      </w:r>
    </w:p>
    <w:p>
      <w:pPr>
        <w:ind w:left="540"/>
        <w:spacing w:after="0" w:line="226" w:lineRule="auto"/>
        <w:tabs>
          <w:tab w:leader="none" w:pos="2700" w:val="left"/>
        </w:tabs>
        <w:rPr>
          <w:sz w:val="20"/>
          <w:szCs w:val="20"/>
          <w:color w:val="auto"/>
        </w:rPr>
      </w:pPr>
      <w:r>
        <w:rPr>
          <w:rFonts w:ascii="Times New Roman" w:cs="Times New Roman" w:eastAsia="Times New Roman" w:hAnsi="Times New Roman"/>
          <w:sz w:val="14"/>
          <w:szCs w:val="14"/>
          <w:color w:val="auto"/>
        </w:rPr>
        <w:t xml:space="preserve">share for institutional orders (       </w:t>
        <w:tab/>
        <w:t>depositary shares). See “Underwriting” for additional disclosure regarding the underwriting discount and estimated offering expenses payable by</w:t>
      </w:r>
    </w:p>
    <w:p>
      <w:pPr>
        <w:ind w:left="540"/>
        <w:spacing w:after="0"/>
        <w:rPr>
          <w:sz w:val="20"/>
          <w:szCs w:val="20"/>
          <w:color w:val="auto"/>
        </w:rPr>
      </w:pPr>
      <w:r>
        <w:rPr>
          <w:rFonts w:ascii="Times New Roman" w:cs="Times New Roman" w:eastAsia="Times New Roman" w:hAnsi="Times New Roman"/>
          <w:sz w:val="14"/>
          <w:szCs w:val="14"/>
          <w:color w:val="auto"/>
        </w:rPr>
        <w:t>us.</w:t>
      </w:r>
    </w:p>
    <w:p>
      <w:pPr>
        <w:spacing w:after="0" w:line="26" w:lineRule="exact"/>
        <w:rPr>
          <w:sz w:val="24"/>
          <w:szCs w:val="24"/>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depositary shares, at the public offering price less the underwriting discount, for 30 days after the date of this prospectus supplement solely to cover over-allotments, if any.</w:t>
      </w:r>
    </w:p>
    <w:p>
      <w:pPr>
        <w:spacing w:after="0" w:line="1" w:lineRule="exact"/>
        <w:rPr>
          <w:sz w:val="24"/>
          <w:szCs w:val="24"/>
          <w:color w:val="auto"/>
        </w:rPr>
      </w:pPr>
    </w:p>
    <w:p>
      <w:pPr>
        <w:ind w:left="120" w:right="100" w:firstLine="440"/>
        <w:spacing w:after="0" w:line="233" w:lineRule="auto"/>
        <w:rPr>
          <w:sz w:val="20"/>
          <w:szCs w:val="20"/>
          <w:color w:val="auto"/>
        </w:rPr>
      </w:pPr>
      <w:r>
        <w:rPr>
          <w:rFonts w:ascii="Times New Roman" w:cs="Times New Roman" w:eastAsia="Times New Roman" w:hAnsi="Times New Roman"/>
          <w:sz w:val="14"/>
          <w:szCs w:val="14"/>
          <w:color w:val="auto"/>
        </w:rPr>
        <w:t>We expect to deliver the depositary shares against payment for the depositary shares on or about the date specified in the immediately following paragraph, which will be the business day following the date of the pricing of the depositary shares (“T+  ”). Under Rule 15c6-1 under the Securities Exchange Act of 1934, as amended (the “Exchange Act”), trades in the secondary market generally are required to settle in one business day, unless the parties to a trade expressly agree otherwise. Accordingly, purchasers who wish to trade depositary shares on any date prior to the business day before the settlement date will be required, by virtue of the fact that the depositary shares initially will settle in T+  , to specify alternative settlement arrangements to prevent a failed settlement.</w:t>
      </w:r>
    </w:p>
    <w:p>
      <w:pPr>
        <w:spacing w:after="0" w:line="15" w:lineRule="exact"/>
        <w:rPr>
          <w:sz w:val="24"/>
          <w:szCs w:val="24"/>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4"/>
          <w:szCs w:val="14"/>
          <w:color w:val="auto"/>
        </w:rPr>
        <w:t>The underwriters expect to deliver the depositary shares to purchasers in book-entry form only through the facilities of The Depository Trust Company, or “DTC”, for the accounts of its participants, including Clearstream Banking S.A., or “Clearstream”, and Euroclear Bank S.A./N.V., or “Euroclear”, against payment in New York, New York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Joint Bookrunners</w:t>
      </w:r>
    </w:p>
    <w:p>
      <w:pPr>
        <w:spacing w:after="0" w:line="18" w:lineRule="exact"/>
        <w:rPr>
          <w:sz w:val="24"/>
          <w:szCs w:val="24"/>
          <w:color w:val="auto"/>
        </w:rPr>
      </w:pPr>
    </w:p>
    <w:p>
      <w:pPr>
        <w:ind w:left="120"/>
        <w:spacing w:after="0"/>
        <w:tabs>
          <w:tab w:leader="none" w:pos="1980" w:val="left"/>
          <w:tab w:leader="none" w:pos="4800" w:val="left"/>
          <w:tab w:leader="none" w:pos="7380" w:val="left"/>
          <w:tab w:leader="none" w:pos="9560" w:val="left"/>
        </w:tabs>
        <w:rPr>
          <w:sz w:val="20"/>
          <w:szCs w:val="20"/>
          <w:color w:val="auto"/>
        </w:rPr>
      </w:pPr>
      <w:r>
        <w:rPr>
          <w:rFonts w:ascii="Times New Roman" w:cs="Times New Roman" w:eastAsia="Times New Roman" w:hAnsi="Times New Roman"/>
          <w:sz w:val="16"/>
          <w:szCs w:val="16"/>
          <w:b w:val="1"/>
          <w:bCs w:val="1"/>
          <w:color w:val="auto"/>
        </w:rPr>
        <w:t>Morgan Stanley</w:t>
      </w:r>
      <w:r>
        <w:rPr>
          <w:sz w:val="20"/>
          <w:szCs w:val="20"/>
          <w:color w:val="auto"/>
        </w:rPr>
        <w:tab/>
      </w:r>
      <w:r>
        <w:rPr>
          <w:rFonts w:ascii="Times New Roman" w:cs="Times New Roman" w:eastAsia="Times New Roman" w:hAnsi="Times New Roman"/>
          <w:sz w:val="16"/>
          <w:szCs w:val="16"/>
          <w:b w:val="1"/>
          <w:bCs w:val="1"/>
          <w:color w:val="auto"/>
        </w:rPr>
        <w:t>Keefe, Bruyette &amp; Woods</w:t>
      </w:r>
      <w:r>
        <w:rPr>
          <w:sz w:val="20"/>
          <w:szCs w:val="20"/>
          <w:color w:val="auto"/>
        </w:rPr>
        <w:tab/>
      </w:r>
      <w:r>
        <w:rPr>
          <w:rFonts w:ascii="Times New Roman" w:cs="Times New Roman" w:eastAsia="Times New Roman" w:hAnsi="Times New Roman"/>
          <w:sz w:val="16"/>
          <w:szCs w:val="16"/>
          <w:b w:val="1"/>
          <w:bCs w:val="1"/>
          <w:color w:val="auto"/>
        </w:rPr>
        <w:t>RBC Capital Markets </w:t>
      </w:r>
      <w:r>
        <w:rPr>
          <w:sz w:val="20"/>
          <w:szCs w:val="20"/>
          <w:color w:val="auto"/>
        </w:rPr>
        <w:tab/>
      </w:r>
      <w:r>
        <w:rPr>
          <w:rFonts w:ascii="Times New Roman" w:cs="Times New Roman" w:eastAsia="Times New Roman" w:hAnsi="Times New Roman"/>
          <w:sz w:val="16"/>
          <w:szCs w:val="16"/>
          <w:b w:val="1"/>
          <w:bCs w:val="1"/>
          <w:color w:val="auto"/>
        </w:rPr>
        <w:t>UBS Investment Bank</w:t>
      </w:r>
      <w:r>
        <w:rPr>
          <w:sz w:val="20"/>
          <w:szCs w:val="20"/>
          <w:color w:val="auto"/>
        </w:rPr>
        <w:tab/>
      </w:r>
      <w:r>
        <w:rPr>
          <w:rFonts w:ascii="Times New Roman" w:cs="Times New Roman" w:eastAsia="Times New Roman" w:hAnsi="Times New Roman"/>
          <w:sz w:val="16"/>
          <w:szCs w:val="16"/>
          <w:b w:val="1"/>
          <w:bCs w:val="1"/>
          <w:color w:val="auto"/>
        </w:rPr>
        <w:t>Wells Fargo Securities</w:t>
      </w:r>
    </w:p>
    <w:p>
      <w:pPr>
        <w:spacing w:after="0" w:line="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6"/>
          <w:szCs w:val="16"/>
          <w:i w:val="1"/>
          <w:iCs w:val="1"/>
          <w:color w:val="auto"/>
        </w:rPr>
        <w:t>            A Stifel Company</w:t>
      </w:r>
    </w:p>
    <w:p>
      <w:pPr>
        <w:sectPr>
          <w:pgSz w:w="11900" w:h="16838" w:orient="portrait"/>
          <w:cols w:equalWidth="0" w:num="1">
            <w:col w:w="11140"/>
          </w:cols>
          <w:pgMar w:left="320" w:top="225" w:right="439" w:bottom="1440" w:gutter="0" w:footer="0" w:header="0"/>
        </w:sectPr>
      </w:pPr>
    </w:p>
    <w:p>
      <w:pPr>
        <w:spacing w:after="0" w:line="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         , 2026</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5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840" w:type="dxa"/>
            <w:vAlign w:val="bottom"/>
            <w:gridSpan w:val="5"/>
            <w:vMerge w:val="restart"/>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2540" w:type="dxa"/>
            <w:vAlign w:val="bottom"/>
            <w:tcBorders>
              <w:bottom w:val="single" w:sz="8" w:color="0000EE"/>
            </w:tcBorders>
            <w:gridSpan w:val="10"/>
            <w:vMerge w:val="continue"/>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368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Series C Preferred Stock</w:t>
            </w:r>
          </w:p>
        </w:tc>
        <w:tc>
          <w:tcPr>
            <w:tcW w:w="12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Book-Entry Procedures and Settlement</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ERISA Considerations</w:t>
            </w:r>
          </w:p>
        </w:tc>
        <w:tc>
          <w:tcPr>
            <w:tcW w:w="2000" w:type="dxa"/>
            <w:vAlign w:val="bottom"/>
            <w:tcBorders>
              <w:top w:val="single" w:sz="8" w:color="0000EE"/>
            </w:tcBorders>
            <w:gridSpan w:val="6"/>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S-39</w:t>
            </w:r>
          </w:p>
        </w:tc>
        <w:tc>
          <w:tcPr>
            <w:tcW w:w="0" w:type="dxa"/>
            <w:vAlign w:val="bottom"/>
          </w:tcPr>
          <w:p>
            <w:pPr>
              <w:spacing w:after="0"/>
              <w:rPr>
                <w:sz w:val="1"/>
                <w:szCs w:val="1"/>
                <w:color w:val="auto"/>
              </w:rPr>
            </w:pPr>
          </w:p>
        </w:tc>
      </w:tr>
      <w:tr>
        <w:trPr>
          <w:trHeight w:val="196"/>
        </w:trPr>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8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24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24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20" w:type="dxa"/>
            <w:vAlign w:val="bottom"/>
          </w:tcPr>
          <w:p>
            <w:pPr>
              <w:jc w:val="right"/>
              <w:ind w:right="495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18"/>
        </w:trPr>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3000" w:type="dxa"/>
            <w:vAlign w:val="bottom"/>
            <w:gridSpan w:val="7"/>
          </w:tcPr>
          <w:p>
            <w:pPr>
              <w:spacing w:after="0"/>
              <w:rPr>
                <w:sz w:val="24"/>
                <w:szCs w:val="24"/>
                <w:color w:val="auto"/>
              </w:rPr>
            </w:pP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7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80" w:type="dxa"/>
            <w:vAlign w:val="bottom"/>
            <w:tcBorders>
              <w:top w:val="single" w:sz="8" w:color="0000EE"/>
            </w:tcBorders>
          </w:tcPr>
          <w:p>
            <w:pPr>
              <w:spacing w:after="0"/>
              <w:rPr>
                <w:sz w:val="17"/>
                <w:szCs w:val="17"/>
                <w:color w:val="auto"/>
              </w:rPr>
            </w:pPr>
          </w:p>
        </w:tc>
        <w:tc>
          <w:tcPr>
            <w:tcW w:w="1780" w:type="dxa"/>
            <w:vAlign w:val="bottom"/>
            <w:gridSpan w:val="2"/>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0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620" w:type="dxa"/>
            <w:vAlign w:val="bottom"/>
            <w:gridSpan w:val="10"/>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Notes Regarding Forward-Looking Statements</w:t>
            </w:r>
          </w:p>
        </w:tc>
        <w:tc>
          <w:tcPr>
            <w:tcW w:w="420" w:type="dxa"/>
            <w:vAlign w:val="bottom"/>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Description of Securities</w:t>
            </w:r>
          </w:p>
        </w:tc>
        <w:tc>
          <w:tcPr>
            <w:tcW w:w="2240" w:type="dxa"/>
            <w:vAlign w:val="bottom"/>
            <w:gridSpan w:val="4"/>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96"/>
        </w:trPr>
        <w:tc>
          <w:tcPr>
            <w:tcW w:w="4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3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60" w:type="dxa"/>
            <w:vAlign w:val="bottom"/>
            <w:gridSpan w:val="5"/>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220" w:type="dxa"/>
            <w:vAlign w:val="bottom"/>
            <w:gridSpan w:val="8"/>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640" w:type="dxa"/>
            <w:vAlign w:val="bottom"/>
            <w:gridSpan w:val="11"/>
          </w:tcPr>
          <w:p>
            <w:pPr>
              <w:spacing w:after="0"/>
              <w:rPr>
                <w:sz w:val="17"/>
                <w:szCs w:val="17"/>
                <w:color w:val="auto"/>
              </w:rPr>
            </w:pPr>
          </w:p>
        </w:tc>
        <w:tc>
          <w:tcPr>
            <w:tcW w:w="6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contains the specific terms of this offering of depositary shares. The second part, the accompanying prospectus dated November 17, 2025, which is part of our Registration Statement on Form S-3, gives more general information, some of which may not apply to this offering.</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by reference in this prospectus supplement may add, update or change information contained in the accompanying prospectus. If there is any inconsistency between the information in this prospectus supplement and the information contained in the accompanying prospectus, the information in this prospectus supplement will apply and will supersede any such information in the accompanying prospectus.</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making your investment decision, it is important for you to read and consider all information contained or incorporated by reference in this prospectus supplement, the accompanying prospectus and any free writing prospectus relating to this offering prepared by us or on our behalf or to which we have referred you. You should also read and consider the information in the documents to which we have referred you in “Where You Can Find More Information” in the accompanying prospectus.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any information other than that contained in or incorporated by reference in this prospectus supplement, the accompanying prospectus and any free writing prospectus relating to this offering prepared by us or on our behalf or to which we have referred you. We and the underwriters take no responsibility for, and provide no assurance as to the reliability of, any other information that others may give you.</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is making an offer to sell or soliciting offers to buy these securities in any jurisdiction where or to any person to whom the offer or sale is not permitted. The information contained or incorporated by reference in this prospectus supplement, the accompanying prospectus or any free writing prospectus that we may provide you in connection with this offering or other offering material filed by us with the SEC is accurate only as of the date of those documents or information, regardless of the time of delivery of the documents or information or the time of any sale of the securities. Our business, financial condition, results of operations and future growth prospects may have changed since those dates.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has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the context may otherwise require in this prospectus supplement, references to:</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and the “Company” are to Bread Financial Holdings, Inc. and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 are to Bread Financial Holdings, Inc. only;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are to Comenity Capital Bank, a wholly-owned subsidiary of Bread Financial;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“Board” are to Bread Financial’s board of directors.</w:t>
      </w:r>
    </w:p>
    <w:p>
      <w:pPr>
        <w:spacing w:after="0" w:line="225" w:lineRule="exact"/>
        <w:rPr>
          <w:sz w:val="20"/>
          <w:szCs w:val="20"/>
          <w:color w:val="auto"/>
        </w:rPr>
      </w:pPr>
    </w:p>
    <w:p>
      <w:pPr>
        <w:ind w:left="120" w:right="220" w:firstLine="440"/>
        <w:spacing w:after="0" w:line="231" w:lineRule="auto"/>
        <w:rPr>
          <w:sz w:val="20"/>
          <w:szCs w:val="20"/>
          <w:color w:val="auto"/>
        </w:rPr>
      </w:pPr>
      <w:r>
        <w:rPr>
          <w:rFonts w:ascii="Times New Roman" w:cs="Times New Roman" w:eastAsia="Times New Roman" w:hAnsi="Times New Roman"/>
          <w:sz w:val="18"/>
          <w:szCs w:val="18"/>
          <w:color w:val="auto"/>
        </w:rPr>
        <w:t>“Bread Financial” and its logos and other trademarks referred to in this prospectus supplement, including Bread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Financial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Bread Pay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belong to us or our subsidiaries. Solely for convenience, we refer to</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24" w:lineRule="auto"/>
        <w:rPr>
          <w:sz w:val="20"/>
          <w:szCs w:val="20"/>
          <w:color w:val="auto"/>
        </w:rPr>
      </w:pPr>
      <w:r>
        <w:rPr>
          <w:rFonts w:ascii="Times New Roman" w:cs="Times New Roman" w:eastAsia="Times New Roman" w:hAnsi="Times New Roman"/>
          <w:sz w:val="18"/>
          <w:szCs w:val="18"/>
          <w:color w:val="auto"/>
        </w:rPr>
        <w:t xml:space="preserve">our trademarks in this prospectus supplement without the TM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that we will not assert, to the fullest extent under applicable law, our rights to our trademarks. Other service marks, trademarks and trade names referred to in this prospectus supplement are the property of their respective owners.</w:t>
      </w:r>
    </w:p>
    <w:p>
      <w:pPr>
        <w:spacing w:after="0" w:line="19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addition, in this prospectus supplement Bread Financial may refer to the retailers and other companies with whom Bread Financial does business as Bread Financial’s “partners”, “brand partners”, or “clients”, provided that the use of the term “partner”, “partnering” or any similar term does not mean or imply a formal legal partnership, and is not meant in any way to alter the terms of Bread Financial’s relationship with any third parties.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This summary is not complete and does not contain all the important information you should consider. Except as noted or where context suggests otherwise, references in this prospectus supplement to “we,” “our,” “us,” “Bread Financial” and “our company” are to Bread Financial Holdings, Inc. and its consolidated subsidiaries. We urge you to carefully read the entire prospectus and the documents incorporated by reference herein, including our consolidated financial statements and accompanying notes, to gain a fuller understanding of our business and the terms of the depositary shares, as well as some of the other considerations that may be important to you, before making your investment decision. You should pay special attention to the “Risk Factors” sections of this prospectus supplement and in our Annual Report on Form 10-K for the year ended December 31, 2025 and our Quarterly Reports on Form 10-Q for the quarters ended March 31, 2026, June 30, 2026 and September 30, 2026 to determine whether an investment in the depositary shares is appropriate for you.</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spacing w:after="0" w:line="183"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an expanding range of our Bread Pay products, which are our installment loans and “split-pay” offerings.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w:t>
      </w:r>
    </w:p>
    <w:p>
      <w:pPr>
        <w:spacing w:after="0" w:line="27" w:lineRule="exact"/>
        <w:rPr>
          <w:sz w:val="20"/>
          <w:szCs w:val="20"/>
          <w:color w:val="auto"/>
        </w:rPr>
      </w:pPr>
    </w:p>
    <w:p>
      <w:pPr>
        <w:ind w:left="300" w:hanging="2"/>
        <w:spacing w:after="0" w:line="251" w:lineRule="auto"/>
        <w:tabs>
          <w:tab w:leader="none" w:pos="4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Outdoors, Caesars, Dell Technologies, Hard Rock International, the NFL, Raymour &amp; Flanigan, Saks Fifth Avenue, Signet, Ulta and Victoria’s Secret, as well as small- and medium-sized businesses (SMBs). Our partner base is well diversified across a broad range of industries and retail verticals, including travel and entertainment, specialty apparel, health and beauty, jewelry, sporting goods, technology and electronics, as well as home and furniture.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193" w:lineRule="exact"/>
        <w:rPr>
          <w:sz w:val="20"/>
          <w:szCs w:val="20"/>
          <w:color w:val="auto"/>
        </w:rPr>
      </w:pPr>
    </w:p>
    <w:p>
      <w:pPr>
        <w:ind w:left="300" w:right="580" w:firstLine="426"/>
        <w:spacing w:after="0" w:line="289" w:lineRule="auto"/>
        <w:rPr>
          <w:sz w:val="20"/>
          <w:szCs w:val="20"/>
          <w:color w:val="auto"/>
        </w:rPr>
      </w:pPr>
      <w:r>
        <w:rPr>
          <w:rFonts w:ascii="Times New Roman" w:cs="Times New Roman" w:eastAsia="Times New Roman" w:hAnsi="Times New Roman"/>
          <w:sz w:val="17"/>
          <w:szCs w:val="17"/>
          <w:color w:val="auto"/>
        </w:rPr>
        <w:t>Our principal executive offices are located at 3095 Loyalty Circle, Columbus, Ohio 43219 (telephone: (614) 729-4000). Our principal website is www.breadfinancial.com. The information found on our website is not considered part of, or incorporated by reference in, this prospectus supplement. Bread Financial’s common stock is listed on The New York Stock Exchange, trading under the symbol “BFH.”</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27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11271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that contains reports, proxy statements and other information regarding issuers, including us, who file electronically with the SEC. The reports and other information filed by us with the SEC are also available on our website located at investor.breadfinancial.com. The web addresses of the SEC and Bread Financial have been included as inactive textual references only. The information contained on those websites is expressly not considered part of, or incorporated by reference into, this prospectus supplement.</w:t>
      </w:r>
    </w:p>
    <w:p>
      <w:pPr>
        <w:spacing w:after="0" w:line="30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720"/>
          </w:cols>
          <w:pgMar w:left="320" w:top="455"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64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section, references to “Bread Financial,” “the Issuer,” “we,” “us” and “our” mean Bread Financial Holdings, Inc., excluding its subsidiaries.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1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rPr>
              <w:t>Bread Financial Holdings, Inc.</w:t>
            </w:r>
          </w:p>
        </w:tc>
        <w:tc>
          <w:tcPr>
            <w:tcW w:w="3640" w:type="dxa"/>
            <w:vAlign w:val="bottom"/>
          </w:tcPr>
          <w:p>
            <w:pPr>
              <w:spacing w:after="0"/>
              <w:rPr>
                <w:sz w:val="20"/>
                <w:szCs w:val="20"/>
                <w:color w:val="auto"/>
              </w:rPr>
            </w:pPr>
          </w:p>
        </w:tc>
      </w:tr>
      <w:tr>
        <w:trPr>
          <w:trHeight w:val="45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6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depositary shares (or           </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depositary shares if the underwriters exercise in</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full their option to purchase additional depositary shares from us), each representing a</w:t>
            </w:r>
          </w:p>
        </w:tc>
      </w:tr>
      <w:tr>
        <w:trPr>
          <w:trHeight w:val="216"/>
        </w:trPr>
        <w:tc>
          <w:tcPr>
            <w:tcW w:w="2840" w:type="dxa"/>
            <w:vAlign w:val="bottom"/>
          </w:tcPr>
          <w:p>
            <w:pPr>
              <w:spacing w:after="0"/>
              <w:rPr>
                <w:sz w:val="18"/>
                <w:szCs w:val="18"/>
                <w:color w:val="auto"/>
              </w:rPr>
            </w:pPr>
          </w:p>
        </w:tc>
        <w:tc>
          <w:tcPr>
            <w:tcW w:w="4120" w:type="dxa"/>
            <w:vAlign w:val="bottom"/>
            <w:gridSpan w:val="4"/>
          </w:tcPr>
          <w:p>
            <w:pPr>
              <w:ind w:left="1200"/>
              <w:spacing w:after="0"/>
              <w:rPr>
                <w:sz w:val="20"/>
                <w:szCs w:val="20"/>
                <w:color w:val="auto"/>
              </w:rPr>
            </w:pPr>
            <w:r>
              <w:rPr>
                <w:rFonts w:ascii="Times New Roman" w:cs="Times New Roman" w:eastAsia="Times New Roman" w:hAnsi="Times New Roman"/>
                <w:sz w:val="18"/>
                <w:szCs w:val="18"/>
                <w:color w:val="auto"/>
                <w:w w:val="97"/>
              </w:rPr>
              <w:t>1/40th ownership interest in a share of  </w:t>
            </w: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Fixed Rate Reset Non-Cumulative</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Perpetual Preferred Stock, Series C, par value $0.01 per share (the “Series C Preferred</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w w:val="99"/>
              </w:rPr>
              <w:t>Stock”), with a liquidation preference of $25 per depositary share (equivalent to $1,000 per</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share of Series C Preferred Stock). Each holder of a depositary share will be entitled,</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through the depositary, in proportion to the applicable fraction of a share of Series C</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Preferred Stock represented by such depositary share, to all the rights and preferences of</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the Series C Preferred Stock represented thereby (including with respect to dividends,</w:t>
            </w:r>
          </w:p>
        </w:tc>
      </w:tr>
      <w:tr>
        <w:trPr>
          <w:trHeight w:val="234"/>
        </w:trPr>
        <w:tc>
          <w:tcPr>
            <w:tcW w:w="2840" w:type="dxa"/>
            <w:vAlign w:val="bottom"/>
          </w:tcPr>
          <w:p>
            <w:pPr>
              <w:spacing w:after="0"/>
              <w:rPr>
                <w:sz w:val="20"/>
                <w:szCs w:val="20"/>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voting, redemption and liquidation rights).</w:t>
            </w:r>
          </w:p>
        </w:tc>
      </w:tr>
      <w:tr>
        <w:trPr>
          <w:trHeight w:val="44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Over-allotment Option</w:t>
            </w: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 xml:space="preserve">We have granted the underwriters an option to purchase up to an additional           </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depositary shares within 30 days after the date of this prospectus supplement at the public</w:t>
            </w:r>
          </w:p>
        </w:tc>
      </w:tr>
      <w:tr>
        <w:trPr>
          <w:trHeight w:val="234"/>
        </w:trPr>
        <w:tc>
          <w:tcPr>
            <w:tcW w:w="2840" w:type="dxa"/>
            <w:vAlign w:val="bottom"/>
          </w:tcPr>
          <w:p>
            <w:pPr>
              <w:spacing w:after="0"/>
              <w:rPr>
                <w:sz w:val="20"/>
                <w:szCs w:val="20"/>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offering price, less underwriting discount, solely to cover over-allotments, if any.</w:t>
            </w:r>
          </w:p>
        </w:tc>
      </w:tr>
      <w:tr>
        <w:trPr>
          <w:trHeight w:val="44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We will pay dividends on the Series C Preferred Stock, when, as, and if declared by our</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Board of Directors or a duly authorized committee of our Board of Directors to the extent</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that we have lawfully available funds to pay dividends, quarterly in arrears on March 15,</w:t>
            </w:r>
          </w:p>
        </w:tc>
      </w:tr>
      <w:tr>
        <w:trPr>
          <w:trHeight w:val="234"/>
        </w:trPr>
        <w:tc>
          <w:tcPr>
            <w:tcW w:w="2840" w:type="dxa"/>
            <w:vAlign w:val="bottom"/>
          </w:tcPr>
          <w:p>
            <w:pPr>
              <w:spacing w:after="0"/>
              <w:rPr>
                <w:sz w:val="20"/>
                <w:szCs w:val="20"/>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June 15, September 15, and December 15 of each year, beginning on March 15, 2027.</w:t>
            </w:r>
          </w:p>
        </w:tc>
      </w:tr>
      <w:tr>
        <w:trPr>
          <w:trHeight w:val="414"/>
        </w:trPr>
        <w:tc>
          <w:tcPr>
            <w:tcW w:w="2840" w:type="dxa"/>
            <w:vAlign w:val="bottom"/>
          </w:tcPr>
          <w:p>
            <w:pPr>
              <w:spacing w:after="0"/>
              <w:rPr>
                <w:sz w:val="24"/>
                <w:szCs w:val="24"/>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When, as, and if declared by our Board of Directors (or a duly authorized committee</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thereof), (i) dividends payable from the date of issuance to but excluding the First Reset</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w w:val="99"/>
              </w:rPr>
              <w:t>Date, will be payable based on the liquidation preference of the Series C Preferred Stock at</w:t>
            </w:r>
          </w:p>
        </w:tc>
      </w:tr>
      <w:tr>
        <w:trPr>
          <w:trHeight w:val="216"/>
        </w:trPr>
        <w:tc>
          <w:tcPr>
            <w:tcW w:w="2840" w:type="dxa"/>
            <w:vAlign w:val="bottom"/>
          </w:tcPr>
          <w:p>
            <w:pPr>
              <w:spacing w:after="0"/>
              <w:rPr>
                <w:sz w:val="18"/>
                <w:szCs w:val="18"/>
                <w:color w:val="auto"/>
              </w:rPr>
            </w:pPr>
          </w:p>
        </w:tc>
        <w:tc>
          <w:tcPr>
            <w:tcW w:w="19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83"/>
              </w:rPr>
              <w:t>a rate of  </w:t>
            </w: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5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per annum, and (ii) dividends payable from and including the First</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Reset Date and each subsequent reset date (as defined below), as applicable, during each</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reset period, will be payable based on the liquidation preference of the Series C Preferred</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Stock at a rate per annum equal to the Five-Year U.S. Treasury Rate as of the most recent</w:t>
            </w:r>
          </w:p>
        </w:tc>
      </w:tr>
      <w:tr>
        <w:trPr>
          <w:trHeight w:val="216"/>
        </w:trPr>
        <w:tc>
          <w:tcPr>
            <w:tcW w:w="2840" w:type="dxa"/>
            <w:vAlign w:val="bottom"/>
          </w:tcPr>
          <w:p>
            <w:pPr>
              <w:spacing w:after="0"/>
              <w:rPr>
                <w:sz w:val="18"/>
                <w:szCs w:val="18"/>
                <w:color w:val="auto"/>
              </w:rPr>
            </w:pPr>
          </w:p>
        </w:tc>
        <w:tc>
          <w:tcPr>
            <w:tcW w:w="7760" w:type="dxa"/>
            <w:vAlign w:val="bottom"/>
            <w:gridSpan w:val="5"/>
          </w:tcPr>
          <w:p>
            <w:pPr>
              <w:ind w:left="1200"/>
              <w:spacing w:after="0"/>
              <w:rPr>
                <w:sz w:val="20"/>
                <w:szCs w:val="20"/>
                <w:color w:val="auto"/>
              </w:rPr>
            </w:pPr>
            <w:r>
              <w:rPr>
                <w:rFonts w:ascii="Times New Roman" w:cs="Times New Roman" w:eastAsia="Times New Roman" w:hAnsi="Times New Roman"/>
                <w:sz w:val="18"/>
                <w:szCs w:val="18"/>
                <w:color w:val="auto"/>
              </w:rPr>
              <w:t>reset dividend determination date (as described elsewhere in this prospectus supplement)</w:t>
            </w:r>
          </w:p>
        </w:tc>
      </w:tr>
      <w:tr>
        <w:trPr>
          <w:trHeight w:val="234"/>
        </w:trPr>
        <w:tc>
          <w:tcPr>
            <w:tcW w:w="2840" w:type="dxa"/>
            <w:vAlign w:val="bottom"/>
          </w:tcPr>
          <w:p>
            <w:pPr>
              <w:spacing w:after="0"/>
              <w:rPr>
                <w:sz w:val="20"/>
                <w:szCs w:val="20"/>
                <w:color w:val="auto"/>
              </w:rPr>
            </w:pPr>
          </w:p>
        </w:tc>
        <w:tc>
          <w:tcPr>
            <w:tcW w:w="166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83"/>
              </w:rPr>
              <w:t>plus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percentage points. A “reset date” means the First Reset Date and each date</w:t>
            </w:r>
          </w:p>
        </w:tc>
      </w:tr>
    </w:tbl>
    <w:p>
      <w:pPr>
        <w:ind w:left="4340" w:right="60"/>
        <w:spacing w:after="0" w:line="253" w:lineRule="auto"/>
        <w:rPr>
          <w:sz w:val="20"/>
          <w:szCs w:val="20"/>
          <w:color w:val="auto"/>
        </w:rPr>
      </w:pPr>
      <w:r>
        <w:rPr>
          <w:rFonts w:ascii="Times New Roman" w:cs="Times New Roman" w:eastAsia="Times New Roman" w:hAnsi="Times New Roman"/>
          <w:sz w:val="18"/>
          <w:szCs w:val="18"/>
          <w:color w:val="auto"/>
        </w:rPr>
        <w:t>falling on the fifth anniversary of the preceding reset date. A “reset period” means the period from, and including, the First Reset Date to, but excluding, the next following reset date and thereafter each period from, and including, each reset date to, but excluding, the next following reset date. See also “Description of the Series C Preferred Stock— Dividends” on page S-20. Upon payment of any dividends on</w:t>
      </w:r>
    </w:p>
    <w:p>
      <w:pPr>
        <w:spacing w:after="0" w:line="3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04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620"/>
        <w:spacing w:after="0" w:line="282" w:lineRule="auto"/>
        <w:rPr>
          <w:sz w:val="20"/>
          <w:szCs w:val="20"/>
          <w:color w:val="auto"/>
        </w:rPr>
      </w:pPr>
      <w:r>
        <w:rPr>
          <w:rFonts w:ascii="Times New Roman" w:cs="Times New Roman" w:eastAsia="Times New Roman" w:hAnsi="Times New Roman"/>
          <w:sz w:val="18"/>
          <w:szCs w:val="18"/>
          <w:color w:val="auto"/>
        </w:rPr>
        <w:t>the Series C Preferred Stock, holders of depositary shares are expected to receive a proportionate payment.</w:t>
      </w:r>
    </w:p>
    <w:p>
      <w:pPr>
        <w:spacing w:after="0" w:line="189"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Dividends on the Series C Preferred Stock will not be cumulative. If our Board of Directors or a duly authorized committee of our Board of Directors does not declare a dividend on the Series C Preferred Stock in respect of a dividend period, then no dividend shall be deemed to have accrued for such dividend period, be payable on the applicable dividend payment date, or be cumulative, and we will have no obligation to pay any dividend for that dividend period, whether or not our Board of Directors or a duly authorized committee of our Board of Directors declares a dividend on the Series C Preferred Stock for any future dividend period.</w:t>
      </w:r>
    </w:p>
    <w:p>
      <w:pPr>
        <w:spacing w:after="0" w:line="219" w:lineRule="exact"/>
        <w:rPr>
          <w:sz w:val="20"/>
          <w:szCs w:val="20"/>
          <w:color w:val="auto"/>
        </w:rPr>
      </w:pPr>
    </w:p>
    <w:p>
      <w:pPr>
        <w:jc w:val="both"/>
        <w:ind w:left="4340" w:right="100"/>
        <w:spacing w:after="0" w:line="266" w:lineRule="auto"/>
        <w:rPr>
          <w:sz w:val="20"/>
          <w:szCs w:val="20"/>
          <w:color w:val="auto"/>
        </w:rPr>
      </w:pPr>
      <w:r>
        <w:rPr>
          <w:rFonts w:ascii="Times New Roman" w:cs="Times New Roman" w:eastAsia="Times New Roman" w:hAnsi="Times New Roman"/>
          <w:sz w:val="18"/>
          <w:szCs w:val="18"/>
          <w:color w:val="auto"/>
        </w:rPr>
        <w:t>If Bread Financial ever becomes a Regulated Institution, our ability to pay dividends will be subject to bank regulatory requirements, including the capital adequacy regulations and guidelines established by the applicable federal banking agency.</w:t>
      </w:r>
    </w:p>
    <w:p>
      <w:pPr>
        <w:spacing w:after="0" w:line="203" w:lineRule="exact"/>
        <w:rPr>
          <w:sz w:val="20"/>
          <w:szCs w:val="20"/>
          <w:color w:val="auto"/>
        </w:rPr>
      </w:pPr>
    </w:p>
    <w:p>
      <w:pPr>
        <w:jc w:val="both"/>
        <w:ind w:left="4340" w:right="180"/>
        <w:spacing w:after="0" w:line="289" w:lineRule="auto"/>
        <w:rPr>
          <w:sz w:val="20"/>
          <w:szCs w:val="20"/>
          <w:color w:val="auto"/>
        </w:rPr>
      </w:pPr>
      <w:r>
        <w:rPr>
          <w:rFonts w:ascii="Times New Roman" w:cs="Times New Roman" w:eastAsia="Times New Roman" w:hAnsi="Times New Roman"/>
          <w:sz w:val="17"/>
          <w:szCs w:val="17"/>
          <w:color w:val="auto"/>
        </w:rPr>
        <w:t>While the Series C Preferred Stock is outstanding, unless, in each case, the full dividends for the preceding dividend period on all outstanding shares of preferred stock have been paid in full or declared and a sum sufficient for the payment thereof has been set aside:</w:t>
      </w:r>
    </w:p>
    <w:p>
      <w:pPr>
        <w:spacing w:after="0" w:line="63" w:lineRule="exact"/>
        <w:rPr>
          <w:sz w:val="20"/>
          <w:szCs w:val="20"/>
          <w:color w:val="auto"/>
        </w:rPr>
      </w:pPr>
    </w:p>
    <w:p>
      <w:pPr>
        <w:ind w:left="4520" w:right="100" w:hanging="185"/>
        <w:spacing w:after="0" w:line="282" w:lineRule="auto"/>
        <w:tabs>
          <w:tab w:leader="none" w:pos="4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will be declared or paid or set aside for payment and no distribution will be declared or made or set aside for payment on any junior stock, other than:</w:t>
      </w:r>
    </w:p>
    <w:p>
      <w:pPr>
        <w:spacing w:after="0" w:line="67"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payable solely in junior stock, or</w:t>
      </w:r>
    </w:p>
    <w:p>
      <w:pPr>
        <w:spacing w:after="0" w:line="130" w:lineRule="exact"/>
        <w:rPr>
          <w:rFonts w:ascii="Times New Roman" w:cs="Times New Roman" w:eastAsia="Times New Roman" w:hAnsi="Times New Roman"/>
          <w:sz w:val="18"/>
          <w:szCs w:val="18"/>
          <w:color w:val="auto"/>
        </w:rPr>
      </w:pPr>
    </w:p>
    <w:p>
      <w:pPr>
        <w:ind w:left="4840" w:right="200" w:hanging="289"/>
        <w:spacing w:after="0" w:line="282"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in connection with the implementation of a shareholders’ rights plan or the redemption or repurchase of any rights under any such plan;</w:t>
      </w:r>
    </w:p>
    <w:p>
      <w:pPr>
        <w:spacing w:after="0" w:line="67" w:lineRule="exact"/>
        <w:rPr>
          <w:rFonts w:ascii="Times New Roman" w:cs="Times New Roman" w:eastAsia="Times New Roman" w:hAnsi="Times New Roman"/>
          <w:sz w:val="18"/>
          <w:szCs w:val="18"/>
          <w:color w:val="auto"/>
        </w:rPr>
      </w:pPr>
    </w:p>
    <w:p>
      <w:pPr>
        <w:ind w:left="4520" w:right="140" w:hanging="185"/>
        <w:spacing w:after="0" w:line="266" w:lineRule="auto"/>
        <w:tabs>
          <w:tab w:leader="none" w:pos="4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stock shall be repurchased, redeemed or otherwise acquired for consideration by us, directly or indirectly (nor shall any monies be paid to or made available for a sinking fund for the redemption of any such securities by us) other than:</w:t>
      </w:r>
    </w:p>
    <w:p>
      <w:pPr>
        <w:spacing w:after="0" w:line="81"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junior stock for or into other junior stock;</w:t>
      </w:r>
    </w:p>
    <w:p>
      <w:pPr>
        <w:spacing w:after="0" w:line="130" w:lineRule="exact"/>
        <w:rPr>
          <w:rFonts w:ascii="Times New Roman" w:cs="Times New Roman" w:eastAsia="Times New Roman" w:hAnsi="Times New Roman"/>
          <w:sz w:val="18"/>
          <w:szCs w:val="18"/>
          <w:color w:val="auto"/>
        </w:rPr>
      </w:pPr>
    </w:p>
    <w:p>
      <w:pPr>
        <w:ind w:left="4840" w:right="120" w:hanging="289"/>
        <w:spacing w:after="0" w:line="282"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one share of junior stock for or into another share of junior stock;</w:t>
      </w:r>
    </w:p>
    <w:p>
      <w:pPr>
        <w:spacing w:after="0" w:line="67" w:lineRule="exact"/>
        <w:rPr>
          <w:rFonts w:ascii="Times New Roman" w:cs="Times New Roman" w:eastAsia="Times New Roman" w:hAnsi="Times New Roman"/>
          <w:sz w:val="18"/>
          <w:szCs w:val="18"/>
          <w:color w:val="auto"/>
        </w:rPr>
      </w:pPr>
    </w:p>
    <w:p>
      <w:pPr>
        <w:ind w:left="4840" w:right="320" w:hanging="289"/>
        <w:spacing w:after="0" w:line="282"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use of the proceeds of a substantially contemporaneous sale of other shares of junior stock;</w:t>
      </w:r>
    </w:p>
    <w:p>
      <w:pPr>
        <w:spacing w:after="0" w:line="67" w:lineRule="exact"/>
        <w:rPr>
          <w:rFonts w:ascii="Times New Roman" w:cs="Times New Roman" w:eastAsia="Times New Roman" w:hAnsi="Times New Roman"/>
          <w:sz w:val="18"/>
          <w:szCs w:val="18"/>
          <w:color w:val="auto"/>
        </w:rPr>
      </w:pPr>
    </w:p>
    <w:p>
      <w:pPr>
        <w:ind w:left="4840" w:right="20" w:hanging="289"/>
        <w:spacing w:after="0" w:line="266" w:lineRule="auto"/>
        <w:tabs>
          <w:tab w:leader="none" w:pos="4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redemptions, or other acquisitions of shares of the junior stock in connection with any employment contract, benefit plan or other similar arrangement with or for the benefit of employees, officers, directors or consultants;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840" w:right="12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junior stock pursuant to a contractually binding requirement to buy junior stock existing prior to the preceding dividend period, including under a contractually binding stock repurchase plan;</w:t>
      </w:r>
    </w:p>
    <w:p>
      <w:pPr>
        <w:spacing w:after="0" w:line="81" w:lineRule="exact"/>
        <w:rPr>
          <w:rFonts w:ascii="Times New Roman" w:cs="Times New Roman" w:eastAsia="Times New Roman" w:hAnsi="Times New Roman"/>
          <w:sz w:val="18"/>
          <w:szCs w:val="18"/>
          <w:color w:val="auto"/>
        </w:rPr>
      </w:pPr>
    </w:p>
    <w:p>
      <w:pPr>
        <w:ind w:left="4840" w:right="12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fractional interests in shares of junior stock pursuant to the conversion or exchange provisions of such stock or the security being converted or exchanged; or</w:t>
      </w:r>
    </w:p>
    <w:p>
      <w:pPr>
        <w:spacing w:after="0" w:line="81" w:lineRule="exact"/>
        <w:rPr>
          <w:rFonts w:ascii="Times New Roman" w:cs="Times New Roman" w:eastAsia="Times New Roman" w:hAnsi="Times New Roman"/>
          <w:sz w:val="18"/>
          <w:szCs w:val="18"/>
          <w:color w:val="auto"/>
        </w:rPr>
      </w:pPr>
    </w:p>
    <w:p>
      <w:pPr>
        <w:ind w:left="4840" w:right="6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us or any of our subsidiaries of record ownership in junior stock for the beneficial ownership of any other persons (other than for the beneficial ownership by us or any of our subsidiaries), including as trustees or custodians; and</w:t>
      </w:r>
    </w:p>
    <w:p>
      <w:pPr>
        <w:spacing w:after="0" w:line="81" w:lineRule="exact"/>
        <w:rPr>
          <w:rFonts w:ascii="Times New Roman" w:cs="Times New Roman" w:eastAsia="Times New Roman" w:hAnsi="Times New Roman"/>
          <w:sz w:val="18"/>
          <w:szCs w:val="18"/>
          <w:color w:val="auto"/>
        </w:rPr>
      </w:pPr>
    </w:p>
    <w:p>
      <w:pPr>
        <w:ind w:left="4520" w:right="140" w:hanging="185"/>
        <w:spacing w:after="0" w:line="255" w:lineRule="auto"/>
        <w:tabs>
          <w:tab w:leader="none" w:pos="4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stock, including our outstanding 8.625% Non-Cumulative Perpetual Preferred Stock, Series A (the “Series A Preferred Stock”) and our outstanding 8.875% Fixed Rate Reset Non-Cumulative Perpetual Preferred Stock, Series B (the “Series B Preferred Stock”), shall be repurchased, redeemed or otherwise acquired for consideration by us, directly or indirectly (nor shall any monies be paid to or made available for a sinking fund for the redemption of any such securities by us), during a dividend period, other than:</w:t>
      </w:r>
    </w:p>
    <w:p>
      <w:pPr>
        <w:spacing w:after="0" w:line="94" w:lineRule="exact"/>
        <w:rPr>
          <w:rFonts w:ascii="Times New Roman" w:cs="Times New Roman" w:eastAsia="Times New Roman" w:hAnsi="Times New Roman"/>
          <w:sz w:val="18"/>
          <w:szCs w:val="18"/>
          <w:color w:val="auto"/>
        </w:rPr>
      </w:pPr>
    </w:p>
    <w:p>
      <w:pPr>
        <w:ind w:left="4840" w:right="500" w:hanging="289"/>
        <w:spacing w:after="0" w:line="282"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pro rata offers to purchase all, or a pro rata portion of the Series C Preferred Stock and such parity stock;</w:t>
      </w:r>
    </w:p>
    <w:p>
      <w:pPr>
        <w:spacing w:after="0" w:line="67"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parity stock for or into other parity stock;</w:t>
      </w:r>
    </w:p>
    <w:p>
      <w:pPr>
        <w:spacing w:after="0" w:line="130" w:lineRule="exact"/>
        <w:rPr>
          <w:rFonts w:ascii="Times New Roman" w:cs="Times New Roman" w:eastAsia="Times New Roman" w:hAnsi="Times New Roman"/>
          <w:sz w:val="18"/>
          <w:szCs w:val="18"/>
          <w:color w:val="auto"/>
        </w:rPr>
      </w:pPr>
    </w:p>
    <w:p>
      <w:pPr>
        <w:ind w:left="4840" w:right="280" w:hanging="289"/>
        <w:spacing w:after="0" w:line="282"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parity stock for or into other parity stock or junior stock;</w:t>
      </w:r>
    </w:p>
    <w:p>
      <w:pPr>
        <w:spacing w:after="0" w:line="67" w:lineRule="exact"/>
        <w:rPr>
          <w:rFonts w:ascii="Times New Roman" w:cs="Times New Roman" w:eastAsia="Times New Roman" w:hAnsi="Times New Roman"/>
          <w:sz w:val="18"/>
          <w:szCs w:val="18"/>
          <w:color w:val="auto"/>
        </w:rPr>
      </w:pPr>
    </w:p>
    <w:p>
      <w:pPr>
        <w:ind w:left="4840" w:right="320" w:hanging="289"/>
        <w:spacing w:after="0" w:line="282"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use of the proceeds of a substantially contemporaneous sale of other shares of parity stock;</w:t>
      </w:r>
    </w:p>
    <w:p>
      <w:pPr>
        <w:spacing w:after="0" w:line="67" w:lineRule="exact"/>
        <w:rPr>
          <w:rFonts w:ascii="Times New Roman" w:cs="Times New Roman" w:eastAsia="Times New Roman" w:hAnsi="Times New Roman"/>
          <w:sz w:val="18"/>
          <w:szCs w:val="18"/>
          <w:color w:val="auto"/>
        </w:rPr>
      </w:pPr>
    </w:p>
    <w:p>
      <w:pPr>
        <w:ind w:left="484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parity stock pursuant to a contractually binding requirement to buy parity stock existing prior to the preceding dividend period, including under a contractually binding stock repurchase plan;</w:t>
      </w:r>
    </w:p>
    <w:p>
      <w:pPr>
        <w:spacing w:after="0" w:line="81" w:lineRule="exact"/>
        <w:rPr>
          <w:rFonts w:ascii="Times New Roman" w:cs="Times New Roman" w:eastAsia="Times New Roman" w:hAnsi="Times New Roman"/>
          <w:sz w:val="18"/>
          <w:szCs w:val="18"/>
          <w:color w:val="auto"/>
        </w:rPr>
      </w:pPr>
    </w:p>
    <w:p>
      <w:pPr>
        <w:ind w:left="4840" w:right="12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fractional interests in shares of parity stock pursuant to the conversion or exchange provisions of such stock or the security being converted or exchanged; or</w:t>
      </w:r>
    </w:p>
    <w:p>
      <w:pPr>
        <w:spacing w:after="0" w:line="81" w:lineRule="exact"/>
        <w:rPr>
          <w:rFonts w:ascii="Times New Roman" w:cs="Times New Roman" w:eastAsia="Times New Roman" w:hAnsi="Times New Roman"/>
          <w:sz w:val="18"/>
          <w:szCs w:val="18"/>
          <w:color w:val="auto"/>
        </w:rPr>
      </w:pPr>
    </w:p>
    <w:p>
      <w:pPr>
        <w:ind w:left="4840" w:right="160" w:hanging="289"/>
        <w:spacing w:after="0" w:line="266" w:lineRule="auto"/>
        <w:tabs>
          <w:tab w:leader="none" w:pos="4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us or any of our subsidiaries of record ownership in parity stock for the beneficial ownership of any other persons (other than for the beneficial ownership by us or any of our subsidiaries), including as trustees or custodians.</w:t>
      </w:r>
    </w:p>
    <w:p>
      <w:pPr>
        <w:spacing w:after="0" w:line="203" w:lineRule="exact"/>
        <w:rPr>
          <w:sz w:val="20"/>
          <w:szCs w:val="20"/>
          <w:color w:val="auto"/>
        </w:rPr>
      </w:pPr>
    </w:p>
    <w:p>
      <w:pPr>
        <w:ind w:left="4340" w:right="100"/>
        <w:spacing w:after="0" w:line="261" w:lineRule="auto"/>
        <w:rPr>
          <w:sz w:val="20"/>
          <w:szCs w:val="20"/>
          <w:color w:val="auto"/>
        </w:rPr>
      </w:pPr>
      <w:r>
        <w:rPr>
          <w:rFonts w:ascii="Times New Roman" w:cs="Times New Roman" w:eastAsia="Times New Roman" w:hAnsi="Times New Roman"/>
          <w:sz w:val="18"/>
          <w:szCs w:val="18"/>
          <w:color w:val="auto"/>
        </w:rPr>
        <w:t>While the Series C Preferred Stock is outstanding, unless the full dividends for the preceding dividend period on all outstanding shares of Series C Preferred Stock have been paid in full or declared and a sum sufficient for the payment thereof has been set aside, no dividend will be declared or paid or set aside for payment and no distribution</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00" w:type="dxa"/>
            <w:vAlign w:val="bottom"/>
            <w:tcBorders>
              <w:top w:val="single" w:sz="8" w:color="auto"/>
              <w:left w:val="single" w:sz="8" w:color="auto"/>
            </w:tcBorders>
          </w:tcPr>
          <w:p>
            <w:pPr>
              <w:spacing w:after="0"/>
              <w:rPr>
                <w:sz w:val="24"/>
                <w:szCs w:val="24"/>
                <w:color w:val="auto"/>
              </w:rPr>
            </w:pPr>
          </w:p>
        </w:tc>
        <w:tc>
          <w:tcPr>
            <w:tcW w:w="792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will be declared or made or set aside for payment on any securities that rank equally with</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Series C Preferred Stock. When dividends are not paid in full upon the shares of Series</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C Preferred Stock and any parity stock, including the Series A Preferred Stock and the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Series B Preferred Stock, all dividends declared upon shares of Series C Preferred Stock</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and parity stock will be declared on a proportional basis so that the amount of dividends</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declared per share will bear to each other the same ratio that dividends payable for the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then-current dividend period per share on Series C Preferred Stock, and dividends payable,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including any accumulations on parity stock, including the Series A Preferred Stock and</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Series B Preferred Stock, bear to each other.</w:t>
            </w:r>
          </w:p>
        </w:tc>
      </w:tr>
      <w:tr>
        <w:trPr>
          <w:trHeight w:val="454"/>
        </w:trPr>
        <w:tc>
          <w:tcPr>
            <w:tcW w:w="31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If Bread Financial ever becomes a Regulated Institution, dividends on the Series C</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Preferred Stock will not be declared, paid or set aside for payment to the extent such act</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would cause us to fail to comply with applicable laws and regulations, including applicable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capital adequacy regulations and guidelines of the applicable federal banking agency. See</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“Description of the Series C Preferred Stock—Dividends” beginning on page S-20.</w:t>
            </w:r>
          </w:p>
        </w:tc>
      </w:tr>
      <w:tr>
        <w:trPr>
          <w:trHeight w:val="441"/>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Payment Dates</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Dividends on the Series C Preferred Stock will be payable when, as, and if declared by our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Board of Directors or a duly authorized committee of our Board of Directors, quarterly in</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arrears on March 15, June 15, September 15, and December 15 of each year, beginning on</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March 15, 2027 (each a “dividend payment date”). If any date on which dividends would</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otherwise be payable is not a business day, then such dividends will be paid on the next</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business day without any adjustment to the amount of dividends paid.</w:t>
            </w:r>
          </w:p>
        </w:tc>
      </w:tr>
      <w:tr>
        <w:trPr>
          <w:trHeight w:val="441"/>
        </w:trPr>
        <w:tc>
          <w:tcPr>
            <w:tcW w:w="3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Series C Preferred Stock is perpetual and has no maturity date. Subject to any</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regulatory approval requirements as are in effect at such time, we may redeem the Series C</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Preferred Stock at our option, (i) in whole or in part, from time to time, on the First Reset</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Date or any dividend payment date thereafter, at a redemption price equal to $1,000 per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share (equivalent to $25 per depositary share), plus any declared and unpaid dividends, or</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(ii) if Bread Financial ever becomes a Regulated Institution, in whole but not in part, at any</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time within 90 days following a regulatory capital treatment event (as defined herein), at a</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redemption price equal to $1,000 per share (equivalent to $25 per depositary share), plus</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any declared and unpaid dividends. If we redeem the Series C Preferred Stock, the</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depositary will redeem a proportionate number of depositary shares.</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Neither the holders of Series C Preferred Stock nor holders of depositary shares will have</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right to require the redemption or repurchase of the Series C Preferred Stock.</w:t>
            </w:r>
          </w:p>
        </w:tc>
      </w:tr>
      <w:tr>
        <w:trPr>
          <w:trHeight w:val="441"/>
        </w:trPr>
        <w:tc>
          <w:tcPr>
            <w:tcW w:w="31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If Bread Financial ever becomes a Regulated Institution, any redemption of the Series C</w:t>
            </w:r>
          </w:p>
        </w:tc>
      </w:tr>
      <w:tr>
        <w:trPr>
          <w:trHeight w:val="216"/>
        </w:trPr>
        <w:tc>
          <w:tcPr>
            <w:tcW w:w="31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Preferred Stock will be subject to our receipt of prior approval by the applicable federal</w:t>
            </w:r>
          </w:p>
        </w:tc>
      </w:tr>
      <w:tr>
        <w:trPr>
          <w:trHeight w:val="234"/>
        </w:trPr>
        <w:tc>
          <w:tcPr>
            <w:tcW w:w="3100" w:type="dxa"/>
            <w:vAlign w:val="bottom"/>
            <w:tcBorders>
              <w:left w:val="single" w:sz="8" w:color="auto"/>
            </w:tcBorders>
          </w:tcPr>
          <w:p>
            <w:pPr>
              <w:spacing w:after="0"/>
              <w:rPr>
                <w:sz w:val="20"/>
                <w:szCs w:val="20"/>
                <w:color w:val="auto"/>
              </w:rPr>
            </w:pPr>
          </w:p>
        </w:tc>
        <w:tc>
          <w:tcPr>
            <w:tcW w:w="7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banking agency and</w:t>
            </w:r>
          </w:p>
        </w:tc>
      </w:tr>
      <w:tr>
        <w:trPr>
          <w:trHeight w:val="172"/>
        </w:trPr>
        <w:tc>
          <w:tcPr>
            <w:tcW w:w="3100" w:type="dxa"/>
            <w:vAlign w:val="bottom"/>
            <w:tcBorders>
              <w:left w:val="single" w:sz="8" w:color="auto"/>
              <w:bottom w:val="single" w:sz="8" w:color="auto"/>
            </w:tcBorders>
          </w:tcPr>
          <w:p>
            <w:pPr>
              <w:spacing w:after="0"/>
              <w:rPr>
                <w:sz w:val="14"/>
                <w:szCs w:val="14"/>
                <w:color w:val="auto"/>
              </w:rPr>
            </w:pPr>
          </w:p>
        </w:tc>
        <w:tc>
          <w:tcPr>
            <w:tcW w:w="7920" w:type="dxa"/>
            <w:vAlign w:val="bottom"/>
            <w:tcBorders>
              <w:bottom w:val="single" w:sz="8" w:color="auto"/>
              <w:right w:val="single" w:sz="8" w:color="auto"/>
            </w:tcBorders>
          </w:tcPr>
          <w:p>
            <w:pPr>
              <w:spacing w:after="0"/>
              <w:rPr>
                <w:sz w:val="14"/>
                <w:szCs w:val="14"/>
                <w:color w:val="auto"/>
              </w:rPr>
            </w:pPr>
          </w:p>
        </w:tc>
      </w:tr>
      <w:tr>
        <w:trPr>
          <w:trHeight w:val="361"/>
        </w:trPr>
        <w:tc>
          <w:tcPr>
            <w:tcW w:w="3100" w:type="dxa"/>
            <w:vAlign w:val="bottom"/>
          </w:tcPr>
          <w:p>
            <w:pPr>
              <w:spacing w:after="0"/>
              <w:rPr>
                <w:sz w:val="24"/>
                <w:szCs w:val="24"/>
                <w:color w:val="auto"/>
              </w:rPr>
            </w:pPr>
          </w:p>
        </w:tc>
        <w:tc>
          <w:tcPr>
            <w:tcW w:w="79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880" w:type="dxa"/>
            <w:vAlign w:val="bottom"/>
            <w:tcBorders>
              <w:top w:val="single" w:sz="8" w:color="auto"/>
              <w:left w:val="single" w:sz="8" w:color="auto"/>
            </w:tcBorders>
          </w:tcPr>
          <w:p>
            <w:pPr>
              <w:spacing w:after="0"/>
              <w:rPr>
                <w:sz w:val="24"/>
                <w:szCs w:val="24"/>
                <w:color w:val="auto"/>
              </w:rPr>
            </w:pPr>
          </w:p>
        </w:tc>
        <w:tc>
          <w:tcPr>
            <w:tcW w:w="8140" w:type="dxa"/>
            <w:vAlign w:val="bottom"/>
            <w:tcBorders>
              <w:top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to the satisfaction of any conditions set forth in the S-7 applicable capital adequacy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regulations and guidelines of such federal banking agency applicable to redemption of the</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Series C Preferred Stock.</w:t>
            </w:r>
          </w:p>
        </w:tc>
      </w:tr>
      <w:tr>
        <w:trPr>
          <w:trHeight w:val="454"/>
        </w:trPr>
        <w:tc>
          <w:tcPr>
            <w:tcW w:w="2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Liquidation Rights</w:t>
            </w: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In the event we liquidate, dissolve or wind-up our business and affairs, either voluntarily or</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involuntarily, holders of the Series C Preferred Stock are entitled to receive a liquidating</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distribution of $1,000 per share (equivalent to $25 per depositary share), plus any declared</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and unpaid dividends, without accumulation of any undeclared dividends before we make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any distribution of assets to the holders of our common stock or any other class or series of</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shares of junior stock.</w:t>
            </w:r>
          </w:p>
        </w:tc>
      </w:tr>
      <w:tr>
        <w:trPr>
          <w:trHeight w:val="441"/>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Distributions will be made only to the extent of our assets that are available after</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satisfaction of all liabilities to creditors and subject to the rights of holders of any securities</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ranking senior to the Series C Preferred Stock and pro rata as to the Series C Preferred</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Stock and any other shares of our stock ranking equally as to such distribution, including</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Series A Preferred Stock and the Series B Preferred Stock.</w:t>
            </w:r>
          </w:p>
        </w:tc>
      </w:tr>
      <w:tr>
        <w:trPr>
          <w:trHeight w:val="459"/>
        </w:trPr>
        <w:tc>
          <w:tcPr>
            <w:tcW w:w="2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Shares of the Series C Preferred Stock:</w:t>
            </w:r>
          </w:p>
        </w:tc>
      </w:tr>
      <w:tr>
        <w:trPr>
          <w:trHeight w:val="351"/>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   will rank senior to our common stock,</w:t>
            </w:r>
          </w:p>
        </w:tc>
      </w:tr>
      <w:tr>
        <w:trPr>
          <w:trHeight w:val="338"/>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   will rank junior to any of our existing and future indebtedness, and</w:t>
            </w:r>
          </w:p>
        </w:tc>
      </w:tr>
      <w:tr>
        <w:trPr>
          <w:trHeight w:val="319"/>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   will rank at least equally with each other series of our preferred stock, including the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Series A Preferred Stock and the Series B Preferred Stock, we have issued or may</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issue if provided for in the certificate of designations relating to such preferred</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stock or otherwise (except for any senior series that may be issued with the requisite</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consent of the holders of the Series C Preferred Stock and all other parity stock,</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including the Series A Preferred Stock and the Series B Preferred Stock), with</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respect to the payment of dividends and distributions upon liquidation, dissolution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or winding up. See “Description of the Series C Preferred Stock—Other Preferred</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Stock.”</w:t>
            </w:r>
          </w:p>
        </w:tc>
      </w:tr>
      <w:tr>
        <w:trPr>
          <w:trHeight w:val="441"/>
        </w:trPr>
        <w:tc>
          <w:tcPr>
            <w:tcW w:w="2880" w:type="dxa"/>
            <w:vAlign w:val="bottom"/>
            <w:tcBorders>
              <w:left w:val="single" w:sz="8" w:color="auto"/>
            </w:tcBorders>
          </w:tcPr>
          <w:p>
            <w:pPr>
              <w:spacing w:after="0"/>
              <w:rPr>
                <w:sz w:val="24"/>
                <w:szCs w:val="24"/>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We will generally be able to pay dividends and distributions upon liquidation, dissolution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or winding up only out of lawfully available assets for such payment after satisfaction of all</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claims for indebtedness and other non-equity claims.</w:t>
            </w:r>
          </w:p>
        </w:tc>
      </w:tr>
      <w:tr>
        <w:trPr>
          <w:trHeight w:val="657"/>
        </w:trPr>
        <w:tc>
          <w:tcPr>
            <w:tcW w:w="2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Maturity</w:t>
            </w: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Series C Preferred Stock does not have any maturity date, and we are not required to</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redeem the Series C Preferred Stock. Accordingly, the Series C Preferred Stock will remain</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outstanding indefinitely, unless and until we decide to redeem it. If Bread Financial ever</w:t>
            </w:r>
          </w:p>
        </w:tc>
      </w:tr>
      <w:tr>
        <w:trPr>
          <w:trHeight w:val="216"/>
        </w:trPr>
        <w:tc>
          <w:tcPr>
            <w:tcW w:w="288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becomes a Regulated Institution, any redemption of the Series C Preferred Stock will be</w:t>
            </w:r>
          </w:p>
        </w:tc>
      </w:tr>
      <w:tr>
        <w:trPr>
          <w:trHeight w:val="234"/>
        </w:trPr>
        <w:tc>
          <w:tcPr>
            <w:tcW w:w="2880" w:type="dxa"/>
            <w:vAlign w:val="bottom"/>
            <w:tcBorders>
              <w:left w:val="single" w:sz="8" w:color="auto"/>
            </w:tcBorders>
          </w:tcPr>
          <w:p>
            <w:pPr>
              <w:spacing w:after="0"/>
              <w:rPr>
                <w:sz w:val="20"/>
                <w:szCs w:val="20"/>
                <w:color w:val="auto"/>
              </w:rPr>
            </w:pPr>
          </w:p>
        </w:tc>
        <w:tc>
          <w:tcPr>
            <w:tcW w:w="81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subject to our receipt of prior approval by the</w:t>
            </w:r>
          </w:p>
        </w:tc>
      </w:tr>
      <w:tr>
        <w:trPr>
          <w:trHeight w:val="172"/>
        </w:trPr>
        <w:tc>
          <w:tcPr>
            <w:tcW w:w="2880" w:type="dxa"/>
            <w:vAlign w:val="bottom"/>
            <w:tcBorders>
              <w:left w:val="single" w:sz="8" w:color="auto"/>
              <w:bottom w:val="single" w:sz="8" w:color="auto"/>
            </w:tcBorders>
          </w:tcPr>
          <w:p>
            <w:pPr>
              <w:spacing w:after="0"/>
              <w:rPr>
                <w:sz w:val="14"/>
                <w:szCs w:val="14"/>
                <w:color w:val="auto"/>
              </w:rPr>
            </w:pPr>
          </w:p>
        </w:tc>
        <w:tc>
          <w:tcPr>
            <w:tcW w:w="8140" w:type="dxa"/>
            <w:vAlign w:val="bottom"/>
            <w:tcBorders>
              <w:bottom w:val="single" w:sz="8" w:color="auto"/>
              <w:right w:val="single" w:sz="8" w:color="auto"/>
            </w:tcBorders>
          </w:tcPr>
          <w:p>
            <w:pPr>
              <w:spacing w:after="0"/>
              <w:rPr>
                <w:sz w:val="14"/>
                <w:szCs w:val="14"/>
                <w:color w:val="auto"/>
              </w:rPr>
            </w:pPr>
          </w:p>
        </w:tc>
      </w:tr>
      <w:tr>
        <w:trPr>
          <w:trHeight w:val="361"/>
        </w:trPr>
        <w:tc>
          <w:tcPr>
            <w:tcW w:w="2880" w:type="dxa"/>
            <w:vAlign w:val="bottom"/>
          </w:tcPr>
          <w:p>
            <w:pPr>
              <w:spacing w:after="0"/>
              <w:rPr>
                <w:sz w:val="24"/>
                <w:szCs w:val="24"/>
                <w:color w:val="auto"/>
              </w:rPr>
            </w:pPr>
          </w:p>
        </w:tc>
        <w:tc>
          <w:tcPr>
            <w:tcW w:w="81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S-7</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86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applicable federal banking agency and to the satisfaction of any conditions set forth in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applicable capital adequacy regulations and guidelines of such federal banking agency</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applicable to redemption of the Series C Preferred Stock.</w:t>
            </w:r>
          </w:p>
        </w:tc>
      </w:tr>
      <w:tr>
        <w:trPr>
          <w:trHeight w:val="454"/>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Holders of the Series C Preferred Stock and the depositary shares will have limited voting</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rights. See “Description of the Series C Preferred Stock—Voting Rights.”</w:t>
            </w:r>
          </w:p>
        </w:tc>
      </w:tr>
      <w:tr>
        <w:trPr>
          <w:trHeight w:val="459"/>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Preemptive and Conversion Rights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Issues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 reserve the right to re-open this series of preferred stock and issue additional shares of</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the Series C Preferred Stock either through public or private sales at any time and from</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time to time. The additional shares would form a single series with the Series C Preferred</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Stock offered by this prospectus supplement. In addition, we may from time to time,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without notice to or consent of holders of the Series C Preferred Stock or the depositary</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shares, issue additional shares of preferred stock that rank equally with or junior to the</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Series C Preferred Stock.</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 will apply to list the depositary shares on the NYSE under the symbol “BFH PrC.”</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Trading of the depositary shares on the NYSE is expected to commence within the 30-day</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period following the original issue date of the depositary shares.</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Considerations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 a discussion of the material U.S. federal income tax considerations relating to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Series C Preferred Stock and the depositary shares, see the section entitled “Material</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United States Federal Income Tax Considerations” beginning on page S-34 in this</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depositary shares in this offering,</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after deducting underwriting discounts and estimated offering expenses payable by us, will</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 approximately $            million (or $            million if the underwriters exercise in</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full their option to purchase additional depositary shares). We intend to use the net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proceeds from our sale of the depositary shares in this offering for general corporate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purposes, which may include contributing or lending all or a portion of the proceeds to our</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Bank and share repurchases. See “Use of Proceeds.”</w:t>
            </w:r>
          </w:p>
        </w:tc>
      </w:tr>
      <w:tr>
        <w:trPr>
          <w:trHeight w:val="441"/>
        </w:trPr>
        <w:tc>
          <w:tcPr>
            <w:tcW w:w="3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Depositary Agent, Transfer Agent &amp; Registrar</w:t>
            </w: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Computershare Trust Company, N.A. and Computershare Inc. collectively will be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depositary and will be transfer agent and registrar for the Series C Preferred Stock, in their</w:t>
            </w:r>
          </w:p>
        </w:tc>
      </w:tr>
      <w:tr>
        <w:trPr>
          <w:trHeight w:val="234"/>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respective capacities.</w:t>
            </w:r>
          </w:p>
        </w:tc>
      </w:tr>
      <w:tr>
        <w:trPr>
          <w:trHeight w:val="172"/>
        </w:trPr>
        <w:tc>
          <w:tcPr>
            <w:tcW w:w="3860" w:type="dxa"/>
            <w:vAlign w:val="bottom"/>
            <w:tcBorders>
              <w:left w:val="single" w:sz="8" w:color="auto"/>
              <w:bottom w:val="single" w:sz="8" w:color="auto"/>
            </w:tcBorders>
          </w:tcPr>
          <w:p>
            <w:pPr>
              <w:spacing w:after="0"/>
              <w:rPr>
                <w:sz w:val="14"/>
                <w:szCs w:val="14"/>
                <w:color w:val="auto"/>
              </w:rPr>
            </w:pPr>
          </w:p>
        </w:tc>
        <w:tc>
          <w:tcPr>
            <w:tcW w:w="7160" w:type="dxa"/>
            <w:vAlign w:val="bottom"/>
            <w:tcBorders>
              <w:bottom w:val="single" w:sz="8" w:color="auto"/>
              <w:right w:val="single" w:sz="8" w:color="auto"/>
            </w:tcBorders>
          </w:tcPr>
          <w:p>
            <w:pPr>
              <w:spacing w:after="0"/>
              <w:rPr>
                <w:sz w:val="14"/>
                <w:szCs w:val="14"/>
                <w:color w:val="auto"/>
              </w:rPr>
            </w:pPr>
          </w:p>
        </w:tc>
      </w:tr>
      <w:tr>
        <w:trPr>
          <w:trHeight w:val="361"/>
        </w:trPr>
        <w:tc>
          <w:tcPr>
            <w:tcW w:w="3860" w:type="dxa"/>
            <w:vAlign w:val="bottom"/>
          </w:tcPr>
          <w:p>
            <w:pPr>
              <w:spacing w:after="0"/>
              <w:rPr>
                <w:sz w:val="24"/>
                <w:szCs w:val="24"/>
                <w:color w:val="auto"/>
              </w:rPr>
            </w:pPr>
          </w:p>
        </w:tc>
        <w:tc>
          <w:tcPr>
            <w:tcW w:w="7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8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Calculation Agent</w:t>
            </w:r>
          </w:p>
        </w:tc>
        <w:tc>
          <w:tcPr>
            <w:tcW w:w="8160" w:type="dxa"/>
            <w:vAlign w:val="bottom"/>
            <w:tcBorders>
              <w:top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We will appoint a calculation agent for the Series C Preferred Stock prior to the reset</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dividend determination date preceding the First Reset Date. We may appoint an affiliate of</w:t>
            </w:r>
          </w:p>
        </w:tc>
      </w:tr>
      <w:tr>
        <w:trPr>
          <w:trHeight w:val="234"/>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ours as calculation agent.</w:t>
            </w:r>
          </w:p>
        </w:tc>
      </w:tr>
      <w:tr>
        <w:trPr>
          <w:trHeight w:val="441"/>
        </w:trPr>
        <w:tc>
          <w:tcPr>
            <w:tcW w:w="28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See the sections entitled “Risk Factors” beginning on page S-12 and under the heading</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“Item 1A. Risk Factors” in our Annual Report on Form 10-K for the year ended</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December 31, 2025, as updated by our subsequent filings under the Exchange Act,</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including our Quarterly Reports on Form 10-Q and our Current Reports on Form 8-K and</w:t>
            </w:r>
          </w:p>
        </w:tc>
      </w:tr>
      <w:tr>
        <w:trPr>
          <w:trHeight w:val="216"/>
        </w:trPr>
        <w:tc>
          <w:tcPr>
            <w:tcW w:w="28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any amendments thereof, for a discussion of some of the factors you should consider before</w:t>
            </w:r>
          </w:p>
        </w:tc>
      </w:tr>
      <w:tr>
        <w:trPr>
          <w:trHeight w:val="234"/>
        </w:trPr>
        <w:tc>
          <w:tcPr>
            <w:tcW w:w="2860" w:type="dxa"/>
            <w:vAlign w:val="bottom"/>
            <w:tcBorders>
              <w:left w:val="single" w:sz="8" w:color="auto"/>
            </w:tcBorders>
          </w:tcPr>
          <w:p>
            <w:pPr>
              <w:spacing w:after="0"/>
              <w:rPr>
                <w:sz w:val="20"/>
                <w:szCs w:val="20"/>
                <w:color w:val="auto"/>
              </w:rPr>
            </w:pPr>
          </w:p>
        </w:tc>
        <w:tc>
          <w:tcPr>
            <w:tcW w:w="816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investing in the depositary shares.</w:t>
            </w:r>
          </w:p>
        </w:tc>
      </w:tr>
      <w:tr>
        <w:trPr>
          <w:trHeight w:val="172"/>
        </w:trPr>
        <w:tc>
          <w:tcPr>
            <w:tcW w:w="2860" w:type="dxa"/>
            <w:vAlign w:val="bottom"/>
            <w:tcBorders>
              <w:left w:val="single" w:sz="8" w:color="auto"/>
              <w:bottom w:val="single" w:sz="8" w:color="auto"/>
            </w:tcBorders>
          </w:tcPr>
          <w:p>
            <w:pPr>
              <w:spacing w:after="0"/>
              <w:rPr>
                <w:sz w:val="14"/>
                <w:szCs w:val="14"/>
                <w:color w:val="auto"/>
              </w:rPr>
            </w:pPr>
          </w:p>
        </w:tc>
        <w:tc>
          <w:tcPr>
            <w:tcW w:w="8160" w:type="dxa"/>
            <w:vAlign w:val="bottom"/>
            <w:tcBorders>
              <w:bottom w:val="single" w:sz="8" w:color="auto"/>
              <w:right w:val="single" w:sz="8" w:color="auto"/>
            </w:tcBorders>
          </w:tcPr>
          <w:p>
            <w:pPr>
              <w:spacing w:after="0"/>
              <w:rPr>
                <w:sz w:val="14"/>
                <w:szCs w:val="14"/>
                <w:color w:val="auto"/>
              </w:rPr>
            </w:pPr>
          </w:p>
        </w:tc>
      </w:tr>
      <w:tr>
        <w:trPr>
          <w:trHeight w:val="361"/>
        </w:trPr>
        <w:tc>
          <w:tcPr>
            <w:tcW w:w="2860" w:type="dxa"/>
            <w:vAlign w:val="bottom"/>
          </w:tcPr>
          <w:p>
            <w:pPr>
              <w:spacing w:after="0"/>
              <w:rPr>
                <w:sz w:val="24"/>
                <w:szCs w:val="24"/>
                <w:color w:val="auto"/>
              </w:rPr>
            </w:pPr>
          </w:p>
        </w:tc>
        <w:tc>
          <w:tcPr>
            <w:tcW w:w="81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Section 27A of the Securities Act of 1933, as amended, and Section 21E of the Securities Exchange Act of 1934, as amended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 In various places throughout this prospectus supplement, we refer to the laws, rules, regulations, requirements and guidelines that would apply to us if Bread Financial ever becomes a Regulated Institution in the future; any such references should be read and understood to refer to such laws, rules, regulations, requirements and guidelines of the applicable federal banking agency or agencies as are in effect at such time.</w:t>
      </w:r>
    </w:p>
    <w:p>
      <w:pPr>
        <w:spacing w:after="0" w:line="192"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prospectus supplement, and no assurances can be given that our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domestic and international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 local or global public health issues, climate-related events, impacts to the power grid, and natural disasters; future credit performance of our customers,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increases or volatility in the Allowance for credit losses that may result from the application of the current expected credit loss (CECL) model; inaccuracies in the models and estimates on which we rely, including our credit risk management models and the amount of our Allowance for credit losses;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our results are dependent upon our brand partners, including our brand partners’ financial performance and reputation, as well as the effective promotion and support of our products by brand partners; increases in the cost of doing business, including market interest rates; our level of indebtedness and inability to access financial or capital markets, including asset-backed securitization funding or deposits markets; restrictions that limit our ability to pay dividends and repurchase our stock, and restrictions that limit our Bank’s ability to pay dividends to us; pending and future litigation; pending and future federal, state, local and foreign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increases in regulatory capital requirements or other support for our Bank; failures, or breaches in our operational or security systems, including as a result of cyberattacks, unanticipated impacts from technology modernization projects, failure of our information security</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controls or otherwise; loss of consumer information or other data due to compromised physical or cyber security, including disruptive attacks from financially motivated bad actors and third-party supply chain issues; any liability or other adverse impacts arising out of or related to the spinoff of our former LoyaltyOne segment or the bankruptcy filings of Loyalty Ventures Inc. (LVI) and certain of its subsidiaries, including the pending litigation against us in connection with the spinoff; and those factors identified in our filings with the SEC, including in the “Risk Factors” and “Management’s Discussion and Analysis of Financial Condition and Results of Operations” sections of our Annual Report on Form 10-K for the year ended December 31, 2025 and our subsequent Quarterly Reports on Form 10-Q or Current Reports on Form 8-K for a further description of these and other factors. For the reasons described above, we caution you against relying on any forward-looking statements. You should not consider any list of such factors to be an exhaustive statement of all of the risks, uncertainties, or potentially inaccurate assumptions that could cause our current expectations or beliefs to change.</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prospectus supplement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Market and industry data and forecasts included or incorporated by reference in this prospectus supplement have been obtained from independent industry sources as well as from research reports prepared for other purposes. Although we believe these third-party sources to be reliable, neither we nor the underwriters have independently verified the data obtained from these sources and we cannot assure you of the accuracy or completeness of the data. Forecasts and other forward-looking information obtained from these sources are subject to the same qualifications and uncertainties as the other forward-looking statements included or incorporated by reference in this prospectus supplement.</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40"/>
          </w:cols>
          <w:pgMar w:left="320" w:top="455"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securities to which this prospectus supplement relates involves risks. You should carefully consider the following risks and those included under the heading “Item 1A. Risk Factors” in our Annual Report on Form 10-K for the year ended December 31, 2025 and our Quarterly Reports on Form 10-Q for the quarter ended March 31, 2026, June 30, 2026 and September 30, 2026 and the other information and data set forth in this prospectus supplement and the accompanying prospectus and the documents incorporated by reference herein and therein before investing in the Series C Preferred Stock. These risks could materially affect our business, results of operations or financial condition and cause the trading price of the depositary shares to decline. You could lose part or all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are making an investment decision about both the depositary shares and the Series C Preferred Stock.</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described in this prospectus supplement, Bread Financial is issuing depositary shares representing fractional interests in the Series C Preferred Stock. The depositary will rely solely on the payments it receives on the Series C Preferred Stock to fund all payments on the depositary shares. You should carefully review the information in this prospectus supplement and the accompanying prospectus regarding both of these securities.</w:t>
      </w:r>
    </w:p>
    <w:p>
      <w:pPr>
        <w:spacing w:after="0" w:line="280"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C Preferred Stock will be an equity security and will be subordinate to Bread Financial’s existing and future indebtedness, and Bread Financial’s ability to pay dividends on the Series C Preferred Stock may be limited by regulatory policies and requirements.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shares of Series C Preferred Stock will be equity interests in Bread Financial and will not constitute indebtedness. This means that the depositary shares, which represent fractional interests in the Series C Preferred Stock, will rank junior to all existing and future indebtedness and other non-equity claims on Bread Financial with respect to assets available to satisfy claims on Bread Financial, including claims in the event of Bread Financial’s liquidation. As of September 30, 2026, total liabilities of Bread Financial and its subsidiaries, including indebtedness and deposit liabilities (excluding, in each case, intercompany liabilities), were approximately $19.9 billion, and Bread Financial’s total liabilities, including indebtedness and deposit liabilities (excluding, in each case, intercompany liabilities), were approximately $0.8 billion. Bread Financial may incur additional liabilities (including indebtedness) in the future. Bread Financial’s existing and future indebtedness may restrict payment of dividends on the Series C Preferred Stock.</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unlike indebtedness, where principal and interest customarily are payable on specified due dates, in the case of preferred stock like the Series C Preferred Stock, (1) dividends will be payable only if declared by Bread Financial’s Board of Directors or a duly authorized committee of Bread Financial’s Board of Directors, (2) dividends will not accumulate if they are not declared and (3) as a Delaware corporation, Bread Financial may make dividend payments and redemption payments only out of funds legally available under Delaware law.</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Also, if Bread Financial ever becomes a Regulated Institution, our ability to declare and pay dividends and redeem the Series C Preferred Stock will be subject to various regulatory policies and requirements relating to capital actions. In particular, the federal banking agencies’ capital rules set forth criteria for qualifying additional Tier 1 capital instruments, including that any dividends on such instruments only be paid out of a banking organization’s net income, retained earnings and surplus related to other additional Tier 1 capital instruments. In addition, restrictions may be applied to Bread Financial’s dividends based on the applicable federal banking regulator’s review of its capital plan. Such criteria and restrictions could adversely affect Bread Financial’s ability to pay dividends or may result in additional limitations on its ability to pay dividends or redeem shares of the Series C Preferred Stock.</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evaluating the appropriateness of a proposed redemption or repurchase of stock if Bread Financial were to become a Regulated Institution, the applicable federal banking regulator would consider, among other things,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60"/>
          </w:cols>
          <w:pgMar w:left="320" w:top="455"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potential loss that Bread Financial may suffer from the prospective need to increase reserves and write down assets as a result of continued asset deterioration, and its ability to raise additional capital to replace the stock that will be redeemed or repurchased. The applicable federal banking regulator also would consider the potential negative effects on Bread Financial’s capital structure of replacing capital instruments with any lower-tier form of regulatory capital issued. Moreover, regulatory review of any capital plan that Bread Financial may be required to submit could result in restrictions on its ability to pay dividends or make other capital distributions.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Series C Preferred Stock places no restrictions on Bread Financial’s business or operations or on Bread Financial’s ability to incur indebtedness or engage in any transactions, subject only to the limited voting rights referred to below under “Description of the Series C Preferred Stock —Voting Rights” beginning on page S-26 of this prospectus supplement.</w:t>
      </w:r>
    </w:p>
    <w:p>
      <w:pPr>
        <w:spacing w:after="0" w:line="280"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C Preferred Stock may be junior in rights and preferences to Bread Financial’s future preferred stock, including senior stock authorized and issued without your consent.</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Series C Preferred Stock may rank junior to preferred stock issued in the future that by its terms is expressly senior in rights and preferences to the Series C Preferred Stock. It is possible that Bread Financial may authorize and issue such shares without your vote or consent, although the affirmative vote or consent of the holders of at least two-thirds of all outstanding shares of the Series C Preferred Stock is required to authorize or issue any shares of senior stock as described under “Description of the Series C Preferred Stock—Voting Rights.” In addition, the terms of any of Bread Financial’s future preferred stock expressly senior to the Series C Preferred Stock may restrict dividend payments on the Series C Preferred Stock, except for dividends payable solely in shares of the Series C Preferred Stock. Unless full dividends for all of Bread Financial’s outstanding preferred stock senior to the Series C Preferred Stock have been paid in full or declared and a sum sufficient for the payment thereof has been set aside for payment, no dividends will be declared or paid and no distribution will be made on any shares of the Series C Preferred Stock, and no shares of the Series C Preferred Stock may be repurchased, redeemed, or otherwise acquired by Bread Financial, directly or indirectly, for consideration. This could result in dividends on the Series C Preferred Stock not being paid when due to you.</w:t>
      </w:r>
    </w:p>
    <w:p>
      <w:pPr>
        <w:spacing w:after="0" w:line="298" w:lineRule="exact"/>
        <w:rPr>
          <w:sz w:val="20"/>
          <w:szCs w:val="20"/>
          <w:color w:val="auto"/>
        </w:rPr>
      </w:pPr>
    </w:p>
    <w:p>
      <w:pPr>
        <w:ind w:left="34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 on the Series C Preferred Stock are discretionary and non-cumulative and if Bread Financial is not paying full dividends on any outstanding parity stock, it will not be able to pay full dividends on the Series C Preferred Stock.</w:t>
      </w:r>
    </w:p>
    <w:p>
      <w:pPr>
        <w:spacing w:after="0" w:line="51"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Dividends on the Series C Preferred Stock are discretionary and will not be cumulative. If Bread Financial’s Board of Directors or a duly authorized committee of Bread Financial’s Board of Directors does not declare a dividend on the Series C Preferred Stock in respect of a dividend period, then no dividend shall be deemed to have accrued for such dividend period, be payable on the applicable dividend payment date or be cumulative, and Bread Financial will have no obligation to pay any dividend for that dividend period, whether or not Bread Financial’s Board of Directors or a duly authorized committee of Bread Financial’s Board of Directors declares a dividend on the Series C Preferred Stock for any future dividend period.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Additionally, if Bread Financial is not paying full dividends on any outstanding parity stock, including the Series A Preferred Stock and the Series B Preferred Stock, Bread Financial will not be able to pay full dividends on the Series C Preferred Stock. When dividends are not paid in full upon the Series C Preferred Stock and any parity stock, including the Series A Preferred Stock and the Series B Preferred Stock, all dividends declared upon the Series C Preferred Stock and parity stock, including the Series A Preferred Stock and the Series B Preferred Stock, will be declared on a proportional basis so that the amount of dividends declared per share will bear to each other the same ratio that dividends payable for the then-current dividend period per share on Series C Preferred Stock, and dividends payable, including any accumulations, if any, on parity stock, including the Series A Preferred Stock and the Series B Preferred Stock, bear to each other.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dividend rate will reset on the First Reset Date and each subsequent reset date and any dividends declared may be less than the initial fixed rate of     % in effect until the First Reset Date.</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annual dividend rate on the Series C Preferred Stock for each reset period will equal to the Five-Year U.S. Treasury Rate as of the most recent reset dividend determination date plus       percentage points per annum. Therefore, any dividends declared after the First Reset Date could be more or less than the fixed rate for the initial five-year period. We have no control over the factors that may affect Five-Year U.S. Treasury Rates, including geopolitical conditions and economic, financial, political, regulatory, judicial or other events that may impact Five-Year U.S. Treasury Rates.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historical Five-Year U.S. Treasury Rates are not an indication of future Five-Year U.S. Treasury Rates.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past, Five-Year U.S. Treasury Rates have experienced significant fluctuations. You should note that historical levels, fluctuations and trends of Five-Year U.S. Treasury Rates are not necessarily indicative of future levels. Any historical upward or downward trend in Five-Year U.S. Treasury Rates is not an indication that Five-Year U.S. Treasury Rates are more or less likely to increase or decrease at any time after the First Reset Date, and you should not take the historical Five-Year U.S. Treasury Rates as an indication of future rates.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if we, in our sole discretion, determine that the Five-Year U.S. Treasury Rate cannot be determined in the manner then applicable for such rate, we may, in our sole discretion, designate a Designee (as defined below) to determine whether there is an industry-accepted successor rate to the then applicable base rate and, if applicable, to determine and make certain adjustments as further described under “Description of the Series C Preferred Stock—Dividends.”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may not reflect all risks associated with an investment in the Series C Preferred Stock and the depositary shares.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Credit rating agencies rate the Series C Preferred Stock and the depositary shares on factors that include Bread Financial’s results of operations, actions that Bread Financial takes, their view of the general outlook for Bread Financial’s industry and their view of the general outlook for the economy. Actions taken by the rating agencies can occur at any time and without any notice by the rating agencies, include maintaining, upgrading or downgrading the current rating or placing Bread Financial on a watch list for possible future downgrading. Downgrading the credit rating of Bread Financial’s depositary shares or placing Bread Financial on a watch list for possible future downgrading could, among other things, adversely limit Bread Financial’s access to the capital markets, adversely affect the cost and other terms upon which Bread Financial is able to obtain funding, and adversely affect the market price of Bread Financial’s securities, including the depositary shares offered hereby. Moreover, our ability to raise funding through offerings of senior and subordinated notes as well as through offerings of asset-backed securities in the securitization market also depends, in part, on the credit ratings of those respective securities. If we are not able to satisfy rating agency requirements to confirm the ratings of those securities, it could limit our ability to access the relevant markets.</w:t>
      </w:r>
    </w:p>
    <w:p>
      <w:pPr>
        <w:spacing w:after="0" w:line="19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Ratings issued by a credit ratings agency only reflect the views of the issuing rating agency or agencies and such ratings could at any time be revised downward or withdrawn entirely at the discretion of the issuing rating agency. Also, ratings issued by a ratings agency may differ as among different securities and ratings issued for the same security may differ as among the different issuing ratings agencies. For example, there is no guarantee that ratings issued for our Series C Preferred Stock and depositary shares would be the same as ratings issued for our senior or subordinated notes.</w:t>
      </w:r>
    </w:p>
    <w:p>
      <w:pPr>
        <w:spacing w:after="0" w:line="16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a rating is not a recommendation to purchase, sell or hold any particular security, including the depositary shares. Ratings do not reflect market prices or suitability of a security for a particular investor and any rating of the depositary shares or the Series C Preferred Stock may not reflect all risks related to Bread Financial and its business, or the structure or market value of the depositary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C Preferred Stock may be redeemed at Bread Financial’s option, and you may not be able to reinvest the redemption price you receive in a similar security.</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Bread Financial may redeem the Series C Preferred Stock at its option, either in whole or in part, from time to time on any dividend payment date on or after the First Reset Date. If Bread Financial ever becomes a Regulated Institution, Bread Financial may also redeem at its option the Series C Preferred Stock at any time in whole, but not in part, upon the occurrence of a “regulatory capital treatment event,” such as a proposed change in law or regulation after the initial issuance date with respect to whether the Series C Preferred Stock would qualify as a Tier 1 capital instrument. If Bread Financial ever becomes a Regulated Institution, any redemption of the Series C Preferred Stock will be subject to our receipt of any prior approval required by the applicable federal banking agency. If Bread Financial redeems the Series C Preferred Stock and the depositary redeems the depositary shares in respect thereof, you may not be able to reinvest the redemption price you receive in a similar security. See “Description of the Series C Preferred Stock—Redemption—Redemption Following a Regulatory Capital Treatment Event” beginning on page S-24 for more information on redemption of the Series C Preferred Stock.</w:t>
      </w:r>
    </w:p>
    <w:p>
      <w:pPr>
        <w:spacing w:after="0" w:line="292"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should not expect Bread Financial to redeem the Series C Preferred Stock on the date it becomes redeemable or on any particular date after it becomes redeemable.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Series C Preferred Stock is a perpetual equity security. This means that it has no maturity or mandatory redemption date and is not redeemable at the option of the holders of the Series C Preferred Stock or the holders of the depositary shares offered by this prospectus supplement. The Series C Preferred Stock may be redeemed by Bread Financial at its option, subject to any regulatory approval requirements as are in effect at such time, either in whole or in part, from time to time, on any dividend payment date on or after the First Reset Date. If Bread Financial becomes a Regulated Institution, the Series C Preferred Stock may also be redeemed by Bread Financial at its option at any time in whole, but not in part, upon the occurrence of a “regulatory capital treatment event” as described herein. Any decision Bread Financial may make at any time to propose a redemption of the Series C Preferred Stock will depend upon, among other things, Bread Financial’s evaluation of its capital position, the composition of Bread Financial stockholders’ equity and general market conditions at that time.</w:t>
      </w:r>
    </w:p>
    <w:p>
      <w:pPr>
        <w:spacing w:after="0" w:line="192"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If Bread Financial ever becomes a Regulated Institution, any redemption of the Series C Preferred Stock will be subject to our receipt of any prior approval required by the applicable federal banking agency. Under the federal banking agencies’ capital adequacy regulations and guidelines applicable to Regulated Institutions, any redemption of the Series C Preferred Stock would be subject to prior approval of the applicable federal banking regulator. Additionally, prior to redeeming the Series C Preferred Stock or immediately afterward, Bread Financial would be required to either replace the redeemed Series C Preferred Stock with an equal amount of Tier 1 capital instruments or demonstrate to the applicable federal banking regulator’s satisfaction that following redemption, Bread Financial would continue to hold capital commensurate with its risks. Bread Financial cannot assure you that the applicable federal banking regulator would approve any redemption of the Series C Preferred Stock that Bread Financial may propose.</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Bread Financial’s ability to receive dividends and other distributions from its subsidiaries could affect its liquidity and ability to pay dividends.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Bread Financial is a separate and distinct legal entity from its subsidiaries. Bread Financial anticipates that dividends and other distributions to Bread Financial from its direct and indirect subsidiaries (including the Bank) will represent a major source of funds for Bread Financial to pay dividends on the Series C Preferred Stock, make payments on corporate debt securities and meet other obligations. There are various federal and state law limitations on the extent to which the Bank can finance or otherwise supply funds to Bread Financial through dividends and loans. These limitations include capital adequacy regulations and guidelines of the Bank’s regulators generally and federal and state banking law requirements concerning the payment of dividends out of net profits or surplus, Sections 23A and 23B of the Federal Reserve Act and Regulation W governing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transactions between an insured depository institution and its affiliates, as well as general federal and state regulatory oversight to prevent unsafe or unsound practices. If Bread Financial’s subsidiaries’ earnings are not sufficient to make dividend payments to Bread Financial while maintaining adequate capital levels, Bread Financial’s liquidity may be affected and it may not be able to make dividend payments to holders of the Series C Preferred Stock, make payments on outstanding corporate debt securities or meet other obligations, each and any of which could have a material adverse impact on Bread Financial’s results of operations, financial position or perception of financial health.</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Holders of the Series C Preferred Stock and the depositary shares will have limited 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the Series C Preferred Stock will have no voting rights with respect to matters that generally require the approval of voting shareholders. Holders of the Series C Preferred Stock will have voting rights only with respect to authorizing or increasing the amount of any equity security ranking senior to the Series C Preferred Stock, certain changes in terms of the Series C Preferred Stock, certain nonpayment of dividends and as otherwise required by applicable law. See “Description of the Series C Preferred Stock—Voting Rights” beginning on page S-26 of this prospectus supplement. Holders of depositary shares must act through the depositary to exercise any voting rights of the Series C Preferred Stock.</w:t>
      </w:r>
    </w:p>
    <w:p>
      <w:pPr>
        <w:spacing w:after="0" w:line="287"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Offerings of debt, which is senior to the Series C Preferred Stock upon liquidation, may adversely affect the market price of Bread Financial’s depositary shares.</w:t>
      </w:r>
    </w:p>
    <w:p>
      <w:pPr>
        <w:spacing w:after="0" w:line="5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Bread Financial may attempt to increase Bread Financial’s capital resources in the future or, if Bread Financial becomes a Regulated Institution and if its regulatory capital ratios fell below the required minimums, Bread Financial could be forced to raise additional capital by making additional offerings of debt or equity securities, including senior or subordinated notes, preferred stock and common stock. Upon liquidation, holders of Bread Financial’s debt securities and lenders with respect to other borrowings will receive distributions of Bread Financial’s available assets prior to the holders of its Series C Preferred Stock and depositary shares.</w:t>
      </w:r>
    </w:p>
    <w:p>
      <w:pPr>
        <w:spacing w:after="0" w:line="287" w:lineRule="exact"/>
        <w:rPr>
          <w:sz w:val="20"/>
          <w:szCs w:val="20"/>
          <w:color w:val="auto"/>
        </w:rPr>
      </w:pPr>
    </w:p>
    <w:p>
      <w:pPr>
        <w:ind w:left="3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Bread Financial cannot assure you that a liquid trading market for the depositary shares will develop, and you may find it difficult to sell your depositary shares.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Bread Financial will apply to list the depositary shares on the NYSE under the symbol “BFH PrC.” However, there is no guarantee that Bread Financial will be able to list the depositary shares. If approved, Bread Financial expects trading of the depositary shares on the NYSE to begin within the 30-day period after the original issue date. Even if the depositary shares are listed, there may be little or no secondary market for the depositary shares. The underwriters have advised Bread Financial that they intend to make a market in the depositary shares. However, they are not obligated to do so and may discontinue any market making in the depositary shares at any time in their sole discretion. Even if a secondary market for the depositary shares develops, it may not provide significant liquidity and transaction costs in any secondary market could be high. As a result, the difference between bid and asked prices in any secondary market could be substantial. Bread Financial cannot assure you that you will be able to sell your depositary shares at a particular time or that the price you receive when you sell will be favorable.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market conditions and unpredictable factors could adversely affect market prices for the depositary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trading prices of the depositary shares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Bread Financial declares or fails to declare dividends on the Series C Preferred Stock from time to time;</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Financial’s operating performance, financial condition and prospects, or the operating performance, financial condition and prospects of Bread Financial’s competitors;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 Financial’s creditworthiness and the credit performance of our customers;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ratings given to Bread Financial’s securities by credit-rating agencies, including the ratings given to the Series C Preferred Stock or depositary shares;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rates, labor market conditions, financial and capital market conditions, recessionary pressures or concerns over a prolonged economic slowdown, and the related impact on consumer spending behavior, payments, debt levels, savings rates and other behavior;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financial, geopolitical, regulatory or judicial events affecting Bread Financial or the financial markets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similar securities;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other risk factors identified in Bread Financial’s filings with the SEC, including in Bread Financial’s Annual Report on Form 10-K for the year ended December 31, 2025 and our subsequent Quarterly Reports on Form 10-Q and Current Reports on Form 8-K.</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Accordingly, the depositary shares may trade at a discount to the price per share paid for such shares even if a secondary market for the depositary shares develops.</w:t>
      </w:r>
    </w:p>
    <w:p>
      <w:pPr>
        <w:spacing w:after="0" w:line="266" w:lineRule="exact"/>
        <w:rPr>
          <w:sz w:val="20"/>
          <w:szCs w:val="20"/>
          <w:color w:val="auto"/>
        </w:rPr>
      </w:pPr>
    </w:p>
    <w:p>
      <w:pPr>
        <w:ind w:left="3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issuances of preferred stock or securities convertible into preferred stock may further dilute existing holders of Bread Financial’s depositary shares.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Bread Financial may, in the future, determine that it is advisable, or Bread Financial may encounter circumstances where Bread Financial determines it is necessary, to issue additional shares of preferred stock, securities convertible into, exchangeable for or that represent an interest in preferred stock, or preferred stock-equivalent securities to fund strategic initiatives or other business needs, to build additional capital, or to institute a stockholder rights plan, or so-called “poison pill.” Bread Financial’s Board of Directors is authorized to cause Bread Financial to issue one or more classes or series of preferred stock from time to time without any action on the part of the stockholders. Bread Financial’s Board of Directors also has the power, without stockholder approval, to set the terms of any such classes or series of preferred stock that may be issued, including voting rights, dividend rights, and preferences over the Series C Preferred Stock with respect to dividends or upon Bread Financial’s dissolution, winding up and liquidation and other terms. Though the approval of holders of depositary shares representing interests in the Series C Preferred Stock will be needed to issue any equity security ranking above the Series C Preferred Stock, if Bread Financial issues preferred stock in the future that has preference over the Series C Preferred Stock with respect to the payment of dividends or upon liquidation, or if Bread Financial issues preferred stock with voting rights that dilute the voting power of the Series C Preferred Stock or depositary shares, the rights of holders of the depositary shares or the market price of the depositary shares could be adversely affected. The market price of the depositary shares could decline as a result of this offering or other offerings, as well as other sales of a large block of depositary shares, Series C Preferred Stock or similar securities in the market thereafter, or the perception that such sales could occur.</w:t>
      </w:r>
    </w:p>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calculation agent will have the authority to make determinations that could affect the market value of your depositary shares.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have validly called all shares of the Series C Preferred Stock for redemption on the First Reset Date, we will appoint a calculation agent for the Series C Preferred Stock prior to the reset dividend determination date preceding the First Reset Date. We may appoint an affiliate of ours as calculation agent.</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calculation agent will make determinations with respect to the Series C Preferred Stock and related depositary shares as specified in this prospectus supplement and in the accompanying prospectus and may have discretion in calculating the amounts payable in respect of the Series C Preferred Stock and depositary shares. The exercise of this discretion by the calculation agent could adversely affect the value of your depositary shares and may present itself with a conflict of interest. We may change the calculation agent at any time without notice.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Bread Financial or one of its affiliates may be the calculation agent and, as a result, potential conflicts of interest could arise.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Bread Financial has not yet appointed a calculation agent. When it does, it can appoint itself or one of its affiliates to be the calculation agent for purposes of determining, among other things, the Five-Year U.S. Treasury Rate for each reset period. Although the calculation agent will exercise its judgment in good faith when performing its functions, if the calculation agent is Bread Financial or one of its affiliates, potential conflicts of interest may exist between the calculation agent and you.</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0960"/>
          </w:cols>
          <w:pgMar w:left="320" w:top="455"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sale of depositary shares in this offering, after deducting underwriting discounts and estimated offering expenses payable by us, will be approximately $        million (or $        million if the underwriters exercise in full their option to purchase additional depositary shares). We intend to use the net proceeds from our sale of the depositary shares in this offering for general corporate purposes, which may include contributing or lending all or a portion of the proceeds to our subsidiary Bank and share repurchases.</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0840"/>
          </w:cols>
          <w:pgMar w:left="320" w:top="455" w:right="7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SERIES C PREFERRED STOCK</w:t>
      </w:r>
    </w:p>
    <w:p>
      <w:pPr>
        <w:spacing w:after="0" w:line="227"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supplements and, to the extent it is inconsistent, supersedes the description of the general provisions of our preferred stock set forth under “Description of Capital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 in the accompanying prospectus. As used in this description of the Series C Preferred Stock, “we,” “our,” “us” and “Bread Financial” refer to Bread Financial Holdings, Inc. and not to any of our subsidiaries. The following description is qualified in its entirety by the Certificate of Designations relating to the Series C Preferred Stock (the “Certificate of Designations”), and where this description is inconsistent with the description of the Preferred Stock contained in the accompanying prospectus or the description of the Series C Preferred Stock in the Certificate of Designations, the Certificate of Designations will control.</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Series C Preferred Stock is a single series of our authorized preferred stock. We are offering     depositary shares, representing shares of the Series C Preferred Stock (or     depositary shares representing     shares of Series C Preferred Stock if the underwriters exercise in full their option to purchase an additional depositary shares from us), by this prospectus supplement and the accompanying prospectus. Shares of the Series C Preferred Stock, upon issuance against full payment of the purchase price for the depositary shares, will be fully paid and nonassessable. The depositary will be the sole holder of shares of the Series C Preferred Stock. The holders of depositary shares will be required to exercise their proportional rights in the Series C Preferred Stock through the depositary, as described in the section entitled “Description of Depositary Shares” beginning on page S-29 in this prospectus supplement.</w:t>
      </w:r>
    </w:p>
    <w:p>
      <w:pPr>
        <w:spacing w:after="0" w:line="18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Shares of the Series C Preferred Stock: (i) will rank senior to our common stock; (ii) will rank junior to any of our existing and future indebtedness and (iii) will rank at least equally with each other series of preferred stock, including the Series A Preferred Stock and the Series B Preferred Stock, we have issued or may issue if provided for in the certificate of designations relating to such preferred stock or otherwise (except for any senior stock that may be issued with the requisite consent of the holders of the Series C Preferred Stock and all other parity stock, including the Series A Preferred Stock and the Series B Preferred Stock), with respect to the payment of dividends and distributions of assets upon liquidation, dissolution or winding up. See “—Other Preferred Stock” below. In addition, we will generally be able to pay dividends and distributions upon liquidation, dissolution or winding up only out of lawfully available assets for such payment (after satisfaction of all claims for indebtedness and other non-equity claims). As of the date of this prospectus supplement, our Series A Preferred Stock and Series B Preferred Stock are the only series of our preferred stock outstanding.</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Series C Preferred Stock will not be convertible into, or exchangeable for, shares of any other class or series of stock or other securities of Bread Financial. The Series C Preferred Stock has no stated maturity and will not be subject to any sinking fund or other obligation of Bread Financial to redeem or repurchase the Series C Preferred Stock.</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reserve the right to re-open this series of preferred stock and issue additional shares of the Series C Preferred Stock either through public or private sales at any time and from time to time. The additional shares would form a single series with the Series C Preferred Stock offered by this prospectus supplement. In addition, we may from time to time, without notice to or consent of holders of the Series C Preferred Stock or the depositary shares, issue additional shares of preferred stock that rank equally with or junior to the Series C Preferred Stock.</w:t>
      </w:r>
    </w:p>
    <w:p>
      <w:pPr>
        <w:spacing w:after="0" w:line="284" w:lineRule="exact"/>
        <w:rPr>
          <w:sz w:val="20"/>
          <w:szCs w:val="20"/>
          <w:color w:val="auto"/>
        </w:rPr>
      </w:pPr>
    </w:p>
    <w:p>
      <w:pPr>
        <w:jc w:val="right"/>
        <w:ind w:right="102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7" w:lineRule="exact"/>
        <w:rPr>
          <w:sz w:val="20"/>
          <w:szCs w:val="20"/>
          <w:color w:val="auto"/>
        </w:rPr>
      </w:pPr>
    </w:p>
    <w:p>
      <w:pPr>
        <w:jc w:val="right"/>
        <w:ind w:right="10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Dividends on the Series C Preferred Stock will not be cumulative. If our Board of Directors or a duly authorized committee of our Board of Directors does not declare a dividend on the Series C Preferred Stock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respect of a dividend period, then no dividend shall be deemed to have accrued for such dividend period, be payable on the applicable dividend payment date, or be cumulative, and we will have no obligation to pay any dividend for that dividend period, whether or not our Board of Directors or a duly authorized committee of our Board of Directors declares a dividend on the Series C Preferred Stock for any future dividend period. A dividend period is the period from and including a dividend payment date to but excluding the next dividend payment date, except that the initial dividend period will commence on and include the original issue date of the Series C Preferred Stock.</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Holders of Series C Preferred Stock will be entitled to receive, when, as, and if declared by our Board of Directors or a duly authorized committee of our Board of Directors, out of assets legally available for the payment of dividends under Delaware law, non-cumulative cash dividends quarterly in arrears, on March 15, June 15, September 15, and December 15 of each year, beginning on March 15, 2027 based on the liquidation preference of the Series C Preferred Stock at a rate equal to:</w:t>
      </w:r>
    </w:p>
    <w:p>
      <w:pPr>
        <w:sectPr>
          <w:pgSz w:w="11900" w:h="16838" w:orient="portrait"/>
          <w:cols w:equalWidth="0" w:num="1">
            <w:col w:w="11120"/>
          </w:cols>
          <w:pgMar w:left="320" w:top="455" w:right="459" w:bottom="1440" w:gutter="0" w:footer="0" w:header="0"/>
        </w:sectPr>
      </w:pP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the original issue date of the Series C Preferred Stock, to but excluding, the First Reset Date, a fixed rate of 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 annum;</w:t>
      </w:r>
    </w:p>
    <w:p>
      <w:pPr>
        <w:spacing w:after="0" w:line="27" w:lineRule="exact"/>
        <w:rPr>
          <w:sz w:val="20"/>
          <w:szCs w:val="20"/>
          <w:color w:val="auto"/>
        </w:rPr>
      </w:pPr>
    </w:p>
    <w:p>
      <w:pPr>
        <w:sectPr>
          <w:pgSz w:w="11900" w:h="16838" w:orient="portrait"/>
          <w:cols w:equalWidth="0" w:num="5">
            <w:col w:w="720" w:space="360"/>
            <w:col w:w="8160" w:space="140"/>
            <w:col w:w="220" w:space="140"/>
            <w:col w:w="40" w:space="140"/>
            <w:col w:w="1200"/>
          </w:cols>
          <w:pgMar w:left="320" w:top="455" w:right="45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11120"/>
          </w:cols>
          <w:pgMar w:left="320" w:top="455" w:right="459" w:bottom="1440" w:gutter="0" w:footer="0" w:header="0"/>
          <w:type w:val="continuous"/>
        </w:sectPr>
      </w:pPr>
    </w:p>
    <w:p>
      <w:pPr>
        <w:spacing w:after="0" w:line="112"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including, the First Reset Date and each subsequent reset date (as defined below), as applicable, during each reset period, a rate</w:t>
      </w:r>
    </w:p>
    <w:p>
      <w:pPr>
        <w:spacing w:after="0" w:line="27" w:lineRule="exact"/>
        <w:rPr>
          <w:sz w:val="20"/>
          <w:szCs w:val="20"/>
          <w:color w:val="auto"/>
        </w:rPr>
      </w:pPr>
    </w:p>
    <w:p>
      <w:pPr>
        <w:ind w:left="1080" w:right="340"/>
        <w:spacing w:after="0" w:line="260" w:lineRule="auto"/>
        <w:rPr>
          <w:sz w:val="20"/>
          <w:szCs w:val="20"/>
          <w:color w:val="auto"/>
        </w:rPr>
      </w:pPr>
      <w:r>
        <w:rPr>
          <w:rFonts w:ascii="Times New Roman" w:cs="Times New Roman" w:eastAsia="Times New Roman" w:hAnsi="Times New Roman"/>
          <w:sz w:val="18"/>
          <w:szCs w:val="18"/>
          <w:color w:val="auto"/>
        </w:rPr>
        <w:t>per annum equal to the Five-Year U.S. Treasury Rate as of the most recent reset dividend determination date, plus        percentage points, in each case, on the liquidation preference of $1,000 per share.</w:t>
      </w:r>
    </w:p>
    <w:p>
      <w:pPr>
        <w:spacing w:after="0" w:line="1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declared by our Board of Directors or a duly authorized committee of our Board of Directors, we will pay dividends on the Series C Preferred Stock quarterly in arrears on March 15, June 15, September 15, and December 15 of each year, beginning on March 15, 2027 (each such date, a “dividend payment date”). If any dividend payment date or redemption date would fall on a day that is not a business day, then the payment of any dividends (or, in respect of a redemption, the redemption price and any declared and unpaid dividends), as applicable, payable on such date will be made on the next business day without any adjustment to the amount of dividends paid. A business day means any weekday that is not a legal holiday in New York, New York, and is not a day on which banking institutions in New York, New York, are closed.</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Dividends will be payable to holders of record of Series C Preferred Stock as they appear on our stock register on the applicable record date, which shall be the 15th calendar day before the applicable dividend payment date, or such other record date, not exceeding 30 days before the applicable payment date, as shall be fixed by our Board of Directors or a duly authorized committee of our Board of Directors. The corresponding record dates for the depositary shares will be the same as the record dates for the Series C Preferred Stock.</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 “dividend period” is the period from and including a dividend payment date to but excluding the next dividend payment date, except that the initial dividend period will commence on and include the original issue date of the Series C Preferred Stock and end on March 14, 2027, with the first dividend payment date being March 15, 2027. Dividends payable on the Series C Preferred Stock will be computed on the basis of a 360-day year consisting of twelve 30-day months.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 “reset date” means the First Reset Date and each date falling on the fifth anniversary of the preceding reset date. Reset dates, including the First Reset Date, will not be adjusted for business days.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 “reset period” means the period from, and including, the First Reset Date to, but excluding, the next following reset date and thereafter each period from, and including, each reset date to, but excluding, the next following reset date.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“reset dividend determination date” means, in respect of any reset period, the day falling three business days prior to the beginning of such reset period.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any reset period commencing on or after the First Reset Date, the “Five-Year U.S. Treasury Rate” will mean: (i) the average of the yields on actively traded U.S. treasury securities adjusted to constant maturity, for five-year maturities, for the five business days immediately preceding the relevant reset dividend determination date (or, if fewer than five business days appear, such number of business days appearing) appearing under the caption “Treasury Constant Maturities—Nominal” in the most recently published H.15 Daily (as defined below) as of 5:00 p.m. (Eastern Time) as of any date of determination; or (ii) if there are no such published yields on actively traded U.S. treasury securities adjusted to constant maturity, for five-year maturities, then the rate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dividend determination date and (B) the other maturing as close as possible to, but later than, the reset date following the next succeeding reset dividend determination date, in each case for the five business days immediately preceding the relevant reset dividend determination date (or, if fewer than five business days appear, such number of business days appearing) appearing under the caption “Treasury Constant Maturities-Nominal” in the H.15 Daily as of 5:00 p.m. (Eastern Time) as of any date of determination.</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in our sole discretion, determine that the Five-Year U.S. Treasury Rate (the “Base Rate”) cannot be determined in the manner applicable for such rate (which, as of the original issue date of the Series C Preferred Stock, is pursuant to the methods described in clauses (i) or (ii) of the immediately preceding paragraph), we may, in our sole discretion, designate an unaffiliated agent or advisor, which may include an unaffiliated underwriter for the offering of the depositary shares representing interests in the Series C Preferred Stock or any affiliate of any such underwriter (the “Designee”), to determine whether there is an industry-accepted successor rate to the then-applicable Base Rate (which, as of the original issue date of the Series C Preferred Stock, is the initial Base Rate). If the Designee determines that there is such an industry-accepted successor Base Rate, then the Five-Year U.S. Treasury Rate shall be such successor Base Rate and, in that case, the Designee may then determine and adjust the business day convention, the definition of business day and the reset dividend determination date to be used and any other relevant methodology for determining or otherwise calculating such successor Base Rate, including any adjustment factor needed to make such successor Base Rate comparable to the then-applicable Base Rate (which, as of the original issue date of the Series C Preferred Stock, is the initial Base Rate) in each case, in a manner that is consistent with industry-accepted practices for the use of such successor rate. If we, in our sole discretion, do not designate a Designee or if the Designee determines that there is no industry-accepted successor rate to the then-applicable Base Rate, then the Five-Year U.S. Treasury Rate will be the same interest rate determined for the prior reset dividend determination date or, if this sentence is applicable with respect to the first reset dividend determination date,     %.</w:t>
      </w:r>
    </w:p>
    <w:p>
      <w:pPr>
        <w:spacing w:after="0" w:line="19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“H.15 Daily” means the daily statistical release designated Selected Interest Rates (Daily)—H.15, or any successor release, published by the Federal Reserve.</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Five-Year U.S. Treasury Rate will be determined by the calculation agent on the reset dividend determination date. Dividends on the Series C Preferred Stock will cease to accrue on the redemption date, if any, as described below under “—Redemption,” unless we default in the payment of the redemption price of the shares of the Series C Preferred Stock called for redemption.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Dollar amounts resulting from that calculation will be rounded to the nearest cent, with one-half cent being rounded upward. Dividends on the Series C Preferred Stock will cease to accrue on the redemption date, if any, as described below under “—Redemption,” on page S-24, unless we default in the payment of the redemption price of the shares of the Series C Preferred Stock called for redemption.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Bread Financial ever becomes a Regulated Institution, our ability to pay dividends in the future would be subject to applicable bank regulatory requirements, including any applicable capital adequacy regulations and guidelines.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So long as any share of Series C Preferred Stock remains outstanding, (1) no dividend will be declared or paid or set aside for payment and no distribution will be declared or made or set aside for payment on any junior stock (other than (i) a dividend payable solely in junior stock or (ii) any dividend in connection with the implementation of a shareholders’ rights plan, or the redemption or repurchase of any rights under any such plan), (2) no shares of junior stock shall be repurchased, redeemed or otherwise acquired for consideration by us, directly or indirectly, nor shall any monies be paid to or made available for a sinking fund for the redemption of any such securities by us (other than (i) 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 (iv) purchases, redemptions or other acquisitions of shares of the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(vi) the purchase of fractional interests in shares of junior stock pursuant to the conversion or exchange provisions of such stock or the security being converted or exchanged, or (vii) the acquisition by us or any of our subsidiaries of record ownership in junior stock for the beneficial ownership of any other persons (other than for the beneficial ownership by us or any of our subsidiaries), including as trustees or custodians) and (3) no shares of parity stock, including the Series A Preferred Stock and the Series B Preferred Stock, shall be repurchased, redeemed or otherwise acquired for consideration by us, directly or indirectly (nor shall any monies be paid to or made available for a sinking fund for the redemption of any such securities by us), during a dividend period (other than (i) pursuant to pro rata offers to purchase all, or a pro rata portion, of the Series C Preferred Stock and such parity stock, including the Series A Preferred Stock and the Series B Preferred Stock, (ii) as a result of a reclassification of parity stock for or into other parity stock, (iii) the exchange or conversion of parity stock for or into other parity stock or junior stock, (iv) through the use of the proceeds of a substantially contemporaneous sale of other shares of parity stock,</w:t>
      </w:r>
    </w:p>
    <w:p>
      <w:pPr>
        <w:spacing w:after="0" w:line="10" w:lineRule="exact"/>
        <w:rPr>
          <w:sz w:val="20"/>
          <w:szCs w:val="20"/>
          <w:color w:val="auto"/>
        </w:rPr>
      </w:pPr>
    </w:p>
    <w:p>
      <w:pPr>
        <w:ind w:left="380" w:hanging="264"/>
        <w:spacing w:after="0"/>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parity stock pursuant to a contractually binding requirement to buy parity stock existing prior to the preceding dividend</w:t>
      </w:r>
    </w:p>
    <w:p>
      <w:pPr>
        <w:spacing w:after="0" w:line="9" w:lineRule="exact"/>
        <w:rPr>
          <w:rFonts w:ascii="Times New Roman" w:cs="Times New Roman" w:eastAsia="Times New Roman" w:hAnsi="Times New Roman"/>
          <w:sz w:val="18"/>
          <w:szCs w:val="18"/>
          <w:color w:val="auto"/>
        </w:rPr>
      </w:pPr>
    </w:p>
    <w:p>
      <w:pPr>
        <w:ind w:left="12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including under a contractually binding stock repurchase plan, (vi) the purchase of fractional interests in shares of parity stock pursuant to the conversion or exchange provisions of such stock or the security being converted or exchanged, or (vii) the acquisition by us or any of our subsidiaries of record ownership in parity stock for the beneficial ownership of any other persons (other than for the beneficial ownership by us or any of our subsidiaries), including as trustees or custodians) unless, in each case, the full dividends for the preceding dividend period on all outstanding shares of Series C Preferred Stock have been paid in full or declared and a sum sufficient for the payment thereof has been set aside for payment.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declare or pay or set apart funds for the payment of dividends on any securities which rank equally with the Series C Preferred Stock, including the Series A Preferred Stock and the Series B Preferred Stock, unless we have paid or set apart funds for the payment of dividends on the Series C Preferred Stock.</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When dividends are not paid in full upon the shares of Series C Preferred Stock and parity stock, including the Series A Preferred Stock and the Series B Preferred Stock, all dividends declared upon shares of Series C Preferred Stock and parity stock, including the Series A Preferred Stock and the Series B Preferred Stock, will be declared on a proportional basis so that the amount of dividends declared per share will bear to each other the same ratio that dividends payable for the then-current dividend period per share on Series C Preferred Stock, and dividends payable, including any accumulations, if any, on parity stock, including the Series A Preferred Stock and the Series B Preferred Stock, bear to each other.</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supplement, “junior stock” means our common stock and any other class or series of stock of Bread Financial hereafter authorized over which Series C Preferred Stock has preference or priority in the payment of dividends or in the distribution of assets on any liquidation, dissolution or winding up of Bread Financial.</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“parity stock” means any other class or series of stock of Bread Financial that ranks on a parity with the Series C Preferred Stock in the payment of dividends and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distribution of assets on any liquidation, dissolution or winding up of Bread Financial. As of September 30, 2026, the only parity stock outstanding is our Series A Preferred Stock and the Series B Preferred Stock, of which 75,000 shares and 135,000 shares, respectively, are outstanding. See “—Other Preferred Stock” below.</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“senior stock” means any other class or series of stock of Bread Financial ranking senior to the Series C Preferred Stock with respect to payment of dividends or the distribution of assets upon liquidation, dissolution or winding up of Bread Financial.</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considerations described above, and not otherwise, dividends (payable in cash, stock or otherwise), as may be determined by our Board of Directors or a duly authorized committee of our Board of Directors, may be declared and paid on our common stock and any other stock ranking equally with or junior to the Series C Preferred Stock from time to time out of any assets legally available for such payment, and the holders of Series C Preferred Stock shall not be entitled to participate in any such dividend.</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Dividends on the Series C Preferred Stock will not be declared, paid or set aside for payment to the extent such act would cause us to fail to comply with applicable laws and regulations, including, if Bread Financial were to become a Regulated Institution, capital regulations and guidelines applicable to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Series C Preferred Stock is not subject to any mandatory redemption, sinking fund or other similar provisions.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Redemption on or Following the First Reset Date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upon a regulatory capital treatment event, as described below, the Series C Preferred Stock is not redeemable prior to the First Reset Date. On that date, and on any dividend payment date thereafter, we may redeem the Series C Preferred Stock at our option, subject to any regulatory approval requirements as are in effect at such time, in whole or in part, from time to time, at a redemption price equal to $1,000 per share (equivalent to $25 per depositary share), plus any declared and unpaid dividends. Neither the holders of Series C Preferred Stock nor holders of depositary shares will have the right to require the redemption or repurchase of the Series C Preferred Stock.</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Redemption Following a Regulatory Capital Treatment Event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Bread Financial ever becomes a Regulated Institution, we may redeem shares of the Series C Preferred Stock at any time within 90 days following a regulatory capital treatment event, in whole but not in part, at a redemption price equal to $1,000 per share (equivalent to $25 per depositary share), plus any declared and unpaid dividends on the shares of Series C Preferred Stock called for redemption up to the redemption date. A “regulatory capital treatment event” means the good faith determination by Bread Financial that, as a result of (i) any amendment to, or change (including any announced prospective change) in, the laws or regulations of the United States or any political subdivision of or in the United States that is enacted or becomes effective after the initial issuance of any share of Series C Preferred Stock; or (ii) any official administrative decision or judicial decision or administrative action or other official pronouncement interpreting or applying those laws or regulations that is announced after the initial issuance of any share of Series C Preferred Stock, there is more than an insubstantial risk that Bread Financial will not be entitled to treat the full liquidation value of the shares of Series C Preferred Stock then outstanding as Tier 1 capital (or its equivalent) for purposes of the capital adequacy regulations and guidelines of the Federal Reserve or such other applicable federal banking agency (or, as and if applicable, the capital adequacy regulations and guidelines of any successor “appropriate federal banking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agency”), as then in effect and applicable, for as long as any share of Series C Preferred Stock is outstanding, assuming such capital adequacy regulations and guidelines were applicable to us. “Appropriate federal banking agency” means the appropriate federal banking agency with respect to us, if Bread Financial ever becomes a Regulated Institution, as that term is defined in Section 3(q) of the Federal Deposit Insurance Act or any successor provision. Dividends will cease to accrue on those shares on the redemption date.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shares of the Series C Preferred Stock are to be redeemed, the notice of redemption shall be sent to the holders of record of the Series C Preferred Stock to be redeemed, sent not less than 30 days nor more than 60 days prior to the date fixed for redemption thereof (provided that, if the depositary shares representing the Series C Preferred Stock are held in book-entry form through DTC, we may give such notice in any manner permitted by DTC). Each notice of redemption will include a statement setting forth:</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C Preferred Stock to be redeemed and, if less than all the shares held by the holder are to be redeemed, the number of shares of Series C Preferred Stock to be redeemed from the holder;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certificates evidencing shares of Series C Preferred Stock are to be surrendered for payment of the redemption price.</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and after the redemption date, dividends will cease to be payable on shares of Series C Preferred Stock to be redeemed, and such shares of Series C Preferred Stock shall no longer be deemed outstanding and all rights of the holders of such shares will terminate, including rights described under “—Voting Rights” below, except the right to receive the redemption price plus any declared and unpaid dividends. See “Description of Depositary Shares” beginning on page S-29 of this prospectus supplement for information about redemption of the depositary shares relating to the Series C Preferred Stock.</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case of any redemption of only part of the shares of the Series C Preferred Stock at the time outstanding, the shares to be redeemed shall be selected pro rata or by lot.</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Bread Financial ever becomes a Regulated Institution, any redemption of the Series C Preferred Stock will be subject to our receipt of any prior approval required by the applicable federal banking agency and to the satisfaction of any conditions set forth in applicable regulations and guidelines of such federal banking agency applicable to the redemption of the Series C Preferred Stock, including capital regulations and guidelines. Under the current regulations of the federal banking agencies, if Bread Financial were a Regulated Institution, prior to exercising the option to redeem the Series C Preferred Stock or immediately thereafter, we would be required to either replace the Series C Preferred Stock with an equal amount of instruments that meet the applicable federal banking agency’s criteria for regulatory capital treatment or demonstrate to the satisfaction of such federal banking agency that, following redemption, the Company would continue to hold capital commensurate with its risk. See “Risk Factors—Investors should not expect Bread Financial to redeem the Series C Preferred Stock on the date it becomes redeemable or on any particular date after it becomes redeemable” on page S-15 in this prospectus supplement. Neither the holders of the Series C Preferred Stock nor the holders of the related depositary shares have the right to require the redemption or repurchase of the Series C Preferred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event we liquidate, dissolve or wind-up our business and affairs, either voluntarily or involuntarily, holders of the Series C Preferred Stock are entitled to receive a liquidating distribution of $1,000 per share (equivalent to $25 per depositary share), plus any declared and unpaid dividends, without accumulation of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undeclared dividends before we make any distribution of assets to the holders of our common stock or any other class or series of shares ranking junior to the Series C Preferred Stock. Holders of the Series C Preferred Stock will not be entitled to any other amounts from us after they have received their full liquidating distribution.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any such distribution, if the assets of Bread Financial are not sufficient to pay the liquidation preferences plus declared and unpaid dividends in full to all holders of the Series C Preferred Stock and all holders of parity stock, including the Series A Preferred Stock and the Series B Preferred Stock, as to such distribution with the Series C Preferred Stock, the amounts paid to the holders of Series C Preferred Stock and parity stock, including the Series A Preferred Stock and the Series B Preferred Stock, will be paid pro rata in accordance with the respective aggregate liquidating distribution owed to those holders. If the liquidation preference plus declared and unpaid dividends has been paid in full to all holders of Series C Preferred Stock and parity stock, including the Series A Preferred Stock and the Series B Preferred Stock, the holders of our junior stock shall be entitled to receive all remaining assets of Bread Financial according to their respective rights and preferences.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we will generally be able to pay dividends and distributions upon liquidation, dissolution or winding up only out of lawfully available assets for such payment (after satisfaction of all claims for indebtedness and other non-equity claims).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section, the merger or consolidation of Bread Financial with any other entity, including a merger or consolidation in which the holders of Series C Preferred Stock receive cash, securities or property for their shares, or the sale, lease or exchange of all or substantially all of the assets of Bread Financial for cash, securities or other property, shall not constitute a liquidation, dissolution or winding up of Bread Financial.</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Because we are a holding company, our rights and the rights of our creditors and our shareholders, including the holders of the Series C Preferred Stock, to participate in the assets of any of our subsidiaries, upon that subsidiary’s liquidation or recapitalization may be subject to the prior claims of that subsidiary’s creditors, except to the extent that we are a creditor with recognized claims against the subsidiary.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provided below, the holders of the Series C Preferred Stock will have no voting rights.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Elect Two Directors upon Nonpayment</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If we fail to pay, or declare and set apart for payment, dividends on outstanding shares of the Series C Preferred Stock for six quarterly dividend periods, whether or not consecutive, the number of directors on our Board of Directors shall be increased by two at our first annual meeting of the shareholders held thereafter, and at such meeting and at each subsequent annual meeting until continuous noncumulative dividends for at least one year on all outstanding shares of Series C Preferred Stock entitled thereto shall have been paid in full, the holders of shares of Series C Preferred Stock shall have the right, voting separately as a class together with holders of any other equally ranked series of preferred stock that have similar voting rights, including the Series A Preferred Stock and the Series B Preferred Stock, to elect such two additional members of our Board of Directors to hold office for a term of one year; provided that our Board of Directors shall at no time include more than two additional directors elected by holders of shares of Series C Preferred Stock and any other equally ranked series of preferred stock having similar voting rights, including the Series A Preferred Stock and the Series B Preferred Stock, voting together as one class. Upon such payment in full, the terms of the two additional directors so elected shall forthwith terminate, and the number of directors shall be reduced by two, and such voting right of the holders of shares of Series C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 In addition, if and when the rights of holders of Series C Preferred Stock terminate for any reason, including under circumstances described above under “—Redemption,” such voting rights shall terminate along with the other</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rights (except, if applicable, the right to receive the redemption price plus any declared and unpaid dividends), and the terms of any additional directors elected by the holders of Series C Preferred Stock and any other equally ranked series of preferred stock having similar voting rights, including the Series A Preferred Stock and the Series B Preferred Stock, shall terminate automatically and the number of directors reduced by two, assuming that the rights of holders of such equally ranked series of preferred stock have similarly terminated.</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the holders of any series of preferred stock are or become entitled to vote separately for the election of directors as a class, such series, along with any other holders of stock that are entitled to vote for the election of directors with that series, will be deemed a class of voting securities for purposes of certain banking laws, including the Change in Bank Control Act of 1978 and the FDIC’s implementing regulations. Because the Bank is an “insured depository institution” within the meaning of the Federal Deposit Insurance Act and the Change in Bank Control Act, an individual or entity is generally required, pursuant to the Change in Bank Control Act and the FDIC’s implementing regulations, to provide 60 days’ prior notice to the FDIC before acquiring, either acting alone or in concert with others, 25% or more of any class of our voting stock or otherwise acquiring control of us. An individual or entity is presumed to control us, and therefore generally required to provide 60 days’ prior notice to the FDIC, if the individual or entity, either acting alone or in concert with others, acquires 10% or more of any class of our voting stock, although the individual or entity may seek to rebut this presumption of control based on the facts.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Voting Rights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So long as any shares of Series C Preferred Stock remain outstanding, the affirmative vote or consent of the holders of at least two-thirds of all outstanding shares of the Series C Preferred Stock, voting separately as a class, shall be required to:</w:t>
      </w:r>
    </w:p>
    <w:p>
      <w:pPr>
        <w:spacing w:after="0" w:line="67" w:lineRule="exact"/>
        <w:rPr>
          <w:sz w:val="20"/>
          <w:szCs w:val="20"/>
          <w:color w:val="auto"/>
        </w:rPr>
      </w:pPr>
    </w:p>
    <w:p>
      <w:pPr>
        <w:ind w:left="1080" w:right="3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increase the authorized amount of, or issue shares of, any class or series of senior stock, or issue any obligation or security convertible into or evidencing the right to purchase any such shares;</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provisions of our Third Amended and Restated Certificate of Incorporation so as to adversely affect the powers, preferences, privileges or rights of the Series C Preferred Stock, taken as a whole; provided, however, that any increase in the amount of the authorized or issued Series C Preferred Stock or authorized common stock or preferred stock or the creation and issuance, or an increase in the authorized or issued amount, of other series of preferred stock ranking equally with or junior to the Series C Preferred Stock with respect to the payment of dividends (whether such dividends are cumulative or non-cumulative) or the distribution of assets upon liquidation, dissolution or winding up of Bread Financial will not be deemed to adversely affect the powers, preferences, privileges or rights of the Series C Preferred Stock; or</w:t>
      </w:r>
    </w:p>
    <w:p>
      <w:pPr>
        <w:spacing w:after="0" w:line="94"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binding share-exchange or reclassification involving the Series C Preferred Stock, or a merger or our consolidation with or into another entity unless (i) the shares of the Series C Preferred Stock remain outstanding or are converted into or exchanged for preference securities of the new surviving entity and (ii) the shares of the remaining Series C Preferred Stock or new preferred securities have terms that are not materially less favorable to holders than the Series C Preferred Stock.</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voting provisions will not apply if, at or prior to the time when the act with respect to which such vote would otherwise be required shall be effected, all outstanding shares of Series C Preferred Stock shall have been redeemed or repurchased.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 under Delaware Law</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Section 242(b)(2) of the General Corporation Law of the State of Delaware provides that the holders of preferred stock will have the right to vote separately as a class on any amendment to our Third Amended and Restated Certificate of Incorporation that would increase or decrease the aggregate number of authorized shares of such class, increase or decrease the par value of the shares of such class, or alter or change the powers,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preferences, or special rights of the shares of such class so as to affect them adversely. If any such proposed amendment would alter or change the powers, preferences or special rights of one or more series of preferred stock so as to affect them adversely, but would not so affect the entire class of preferred stock, only the shares of the series so affected shall be considered a separate class for purposes of this vote on the amendment. This right is in addition to any voting rights that may be provided for in our Third Amended and Restated Certificate of Incorporation.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Preferred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authorizes our Board of Directors to create and provide for the issuance of one or more series of preferred stock, par value $0.01 per share, without the approval of our stockholders. Our Board of Directors can also determine the terms, including the designations, powers, preferences and rights (including conversion, voting and other rights) and the qualifications, limitations or restrictions, of any preferred stock. Currently, 19,880,000 shares of our capital stock are classified as preferred stock under our Third Amended and Restated Certificate of Incorporation. As of the date of this prospectus supplement, we have 210,000 shares of preferred stock outstanding, consisting of 75,000 shares Series A Preferred Stock and 135,000 shares Series B Preferred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Agent, Transfer Agent and Registrar</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Computershare Trust Company, N.A and Computershare Inc. collectively will be the depositary and will be the transfer agent and registrar for the Series C Preferred Stock, in their respective capacities. We may, in our sole discretion, remove the depositary in accordance with the agreement between us and the depositary; provided that we will appoint a successor depositary who will accept such appointment prior to the effectiveness of its removal in accordance with the terms of the agreement between us and the depositary.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Agent</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Unless we have validly called all shares of Series C Preferred Stock for redemption on or prior to the First Reset Date, we will appoint a calculation agent with respect to the Series C Preferred Stock prior to the reset dividend determination date preceding the First Reset Date. We may appoint ourselves or an affiliate of ours as calculation agent. We may terminate the appointment of the calculation agent at any time and from time to time, provided we shall use our best efforts to ensure that there is, at all times when the Series C Preferred Stock is outstanding, a person or entity appointed and serving as such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Preemptive and Conversion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the Series C Preferred Stock do not have any preemptive or conversion rights.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The following description summarizes specific terms and provisions of the depositary shares relating to the Series C Preferred Stock.</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are issuing depositary shares representing proportional fractional interests in shares of the Series C Preferred Stock. Each depositary share represents a 1/40th interest in a share of the Series C Preferred Stock, and will be evidenced by depositary receipts. We will deposit the underlying shares of the Series C Preferred Stock with a depositary pursuant to a deposit agreement among us, Computershare Trust Company, N.A. and Computershare Inc. collectively acting as depositary and the holders from time to time of the depositary receipts evidencing the depositary shares (the “Deposit Agreement”). Subject to the terms of the Deposit Agreement, each holder of a depositary share will be entitled, through the depositary, in proportion to the applicable fraction of a share of Series C Preferred Stock represented by such depositary share, to all the rights and preferences of the Series C Preferred Stock represented thereby (including dividend, voting, redemption and liquidation rights).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supplement, references to “holders” of depositary shares mean those who own depositary shares registered in their own names on the books that we or the depositary maintain for this purpose, and not indirect holders who own beneficial interests in depositary shares registered in street name or issued in book-entry form through DTC. Please review the special considerations that apply to indirect holders described in the section entitled “Book-Entry Procedures and Settlement” beginning on page S-31 of this prospectus supplement.</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following the issuance of the Series C Preferred Stock, we will deposit the Series C Preferred Stock with the depositary, which will then issue the depositary shares to the underwriters. Copies of the forms of Deposit Agreement and the depositary receipt may be obtained from us upon request and in the manner described in the section entitled “Where You Can Find More Information” in the accompanying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dividend payable on a depositary share will be in an amount equal to 1/40th of the dividend declared and payable on the related share of the Series C Preferred Stock.</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distribute any cash dividends or other cash distributions received in respect of the deposited Series C Preferred Stock to the record holders of depositary shares relating to the underlying Series C Preferred Stock in proportion to the number of depositary shares held by the holders. If Bread Financial makes a distribution other than in cash, the depositary will distribute any property received by it to the record holders of depositary shares entitled to those distributions, unless it determines that the distribution cannot be made proportionally among those holders or that it is not feasible to make a distribution. In that event, the depositary may, with our approval, sell the property and distribute the net proceeds from the sale to the holders of the depositary shares.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Record dates for the payment of dividends and other matters relating to the depositary shares will be the same as the corresponding record dates for the Series C Preferred Stock.</w:t>
      </w:r>
    </w:p>
    <w:p>
      <w:pPr>
        <w:spacing w:after="0" w:line="16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amounts distributed to holders of depositary shares will be reduced by any amounts required to be withheld by the depositary or by us on account of taxes or other governmental charges. The depositary may refuse to make any payment or distribution, or any transfer, exchange, or withdrawal of any depositary shares or the shares of the Series C Preferred Stock until such taxes or other governmental charges are paid.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redeem the Series C Preferred Stock represented by the depositary shares, the depositary shares will be redeemed from the proceeds received by the depositary resulting from the redemption of the Series C Preferred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Stock held by the depositary in accordance with the Deposit Agreement. The redemption price per depositary share is expected to be equal to 1/40th of the redemption price per share payable with respect to the Series C Preferred Stock (or $25 per depositary share), plus any declared and unpaid dividends.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Whenever we redeem shares of Series C Preferred Stock held by the depositary, the depositary will redeem, as of the same redemption date, the number of depositary shares representing shares of Series C Preferred Stock so redeemed in accordance with the Deposit Agreement. If fewer than all of the outstanding depositary shares are redeemed, the depositary will select the depositary shares to be redeemed pro rata or by lot. If fewer than all of the depositary shares evidenced by a depositary receipt are called for redemption, the depositary will deliver to the holder of such depositary receipt upon its surrender to the depositary, together with the redemption payment, a new depositary receipt evidencing the depositary shares evidenced by such prior depositary receipt and not called for redemption. In any such case, we shall redeem depositary shares only in increments of 10 depositary shares and any multiple thereof. The depositary will send notice of redemption to record holders of the depositary receipts not less than 30 and not more than 60 days prior to the date fixed for redemption of the Series C Preferred Stock and the related depositary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Series C Preferred Stock</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Because each depositary share represents a 1/40th interest in a share of the Series C Preferred Stock, holders of depositary receipts will be entitled to 1/40th of a vote per depositary share under those limited circumstances in which holders of the Series C Preferred Stock are entitled to a vote.</w:t>
      </w:r>
    </w:p>
    <w:p>
      <w:pPr>
        <w:spacing w:after="0" w:line="14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When the depositary receives notice of any meeting at which the holders of the Series C Preferred Stock are entitled to vote, the depositary will send the information contained in the notice to the record holders of the depositary shares relating to the Series C Preferred Stock. Each record holder of the depositary shares on the record date, which will be the same date as the record date for the Series C Preferred Stock, may instruct the depositary to vote the amount of the Series C Preferred Stock represented by the holder’s depositary shares. To the extent possible, the depositary will vote the amount of the Series C Preferred Stock represented by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depositary shares representing the Series C Preferred Stock, it will not vote the amount of the Series C Preferred Stock represented by such depositary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Agent, Transfer Agent and Registrar</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Computershare Trust Company, N.A and Computershare Inc. collectively will be the depositary and will be the transfer agent and registrar for the depositary shares, in their respective capacities. We may, in our sole discretion, remove the depositary in accordance with the Deposit Agreement; provided that we will appoint a successor depositary who will accept such appointment prior to the effectiveness of its removal.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Series C Preferred Stock and Depositary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depositary shares shall be issued in book-entry form through DTC, as described in “Book-Entry Procedures and Settlement” on page S-31 in this prospectus supplement. The Series C Preferred Stock will be issued in registered form to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Depositary Shares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apply to list the depositary shares on the NYSE under the symbol “BFH PrC.” However, there is no guarantee that we will be able to list the depositary shares. If approved, we expect trading of the depositary shares on the NYSE to begin within the 30-day period following the original issue date. Even if the depositary shares are listed, there may be little or no secondary market for the depositary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BOOK-ENTRY PROCEDURES AND SETTLEMENT</w:t>
      </w:r>
    </w:p>
    <w:p>
      <w:pPr>
        <w:spacing w:after="0" w:line="22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will issue the depositary shares under a book-entry system in the form of one or more global depositary receipts. We will register the global depositary receipts in the name of Cede &amp; Co., as a nominee for The Depository Trust Company (“DTC”), or such other name as may be requested by an authorized representative of DTC. The global depositary receipts will be deposited with the depositary.</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the issuance of the depositary shares in book-entry only form, DTC will credit the accounts of its participants with the depositary shares upon our instructions. DTC will thus be the only registered holder of the depositary receipts representing the depositary shares and will be considered the sole owner of the depositary receipts for purposes of the Deposit Agreement.</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Global depositary receipts may be transferred, in whole and not in part, only to another nominee of DTC or to a successor of DTC or its nominee. Beneficial interests in the global depositary receipts may be held through Euroclear Bank SA/NV, as operator of the Euroclear System, and Clearstream Banking, S.A., each as indirect participants in DTC. Transfers of beneficial interests in the global depositary receipts will be subject to the applicable rules and procedures of DTC and its direct and indirect participants, including, if applicable, those of Euroclear and Clearstream, which may change from time to time. DTC has advised us as follows: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deposit with it. DTC also facilitates the post-trade settlement among participants of sales and other securities transactions in deposited securities through electronic computerized book entry transfers and pledges between participants’ accounts, thereby eliminating the need for physical movement of securities certificates.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Direct participants in DTC’s system include both U.S. and non-U.S. securities brokers and dealers, banks, trust companies, clearing corporations, and certain other organizations. Access to DTC’s system also is available to others such as both U.S. and non- U.S. securities brokers and dealers, banks, trust companies and clearing corporations that clear through or maintain a custodial relationship with a direct participant, either directly or indirectly, which we collectively call indirect participants. Persons that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the indirect participants. The rules applicable to DTC and its participants are on file with the SEC.</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DTC has also advised us that, upon the issuance of the depositary receipts evidencing the depositary shares, it will credit, on its book-entry registration and transfer system, the depositary shares evidenced thereby to the designated accounts of participants. Ownership of beneficial interests in the global depositary receipts will be limited to participants or persons that may hold interests through participants. Ownership of beneficial interests in the global depositary receipts will be shown on, and the transfer of those ownership interests may be effected only through, records maintained by DTC or its nominee (with respect to participants) and the records of participants and indirect participants (with respect to other owners of beneficial interests in the global depositary receipts).</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Investors in the global depositary receipts that are participants may hold their interests therein directly through DTC. Investors in the global depositary receipts that are not participants may hold their interests therein indirectly through organizations (including Euroclear and Clearstream) that are participants in such system. Euroclear and Clearstream will hold interests in the global depositary receipts on behalf of their participants through customers’ securities accounts in their respective names on the books of their respective depositaries. All interests in a global depositary receipt, including those held through Euroclear or Clearstream, may be subject to the procedures and requirements of DTC. Those interests held through Euroclear or Clearstream may also be subject to the procedures and requirements of such systems.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laws of some states require that certain purchasers of securities take physical delivery of those securities in definitive form. These laws may impair the ability of holders to transfer beneficial interests in depositary receipts to certain purchasers. Because DTC can act only on behalf of the participants, which in turn act on behalf of the indirect participants, the ability of a person having beneficial interests in a global depositary receipt to pledge such interests to persons that do not participate in the DTC system, or otherwise take actions in respect of such interests, may be affected by the lack of a physical certificate evidencing such interests.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 long as DTC or any successor depositary for a depositary receipt, or any nominee, is the registered holder of such depositary receipt, DTC or such successor depositary or nominee will be considered the sole owner or holder of the depositary shares represented by such depositary receipts for all purposes under the Deposit Agreement and Certificate of Designations. Except as set forth below, owners of beneficial interests in a depositary receipt will not be entitled to have depositary shares represented by such depositary receipt registered in their names, will not receive or be entitled to receive physical delivery of depositary shares or depositary receipts in definitive form, and will not be considered the owners or holders thereof for any purpose under the Deposit Agreement. Accordingly, each person owning a beneficial interest in a depositary receipt must rely on the procedures of DTC and, if such person is not a participant, on the procedures of the participant through which such person owns its interest, to exercise any rights of a holder under the Deposit Agreement. We understand that, under existing industry practices, in the event that we request any action of holders or that an owner of a beneficial interest in the depositary receipts desires to give any consent or take any action under the Deposit Agreement, DTC or any successor depositary would authorize the participants holding the relevant beneficial interests to give or take such action or consent, and such participants would authorize beneficial owners owning through such participants to give or take such action or consent or would otherwise act upon the instructions of beneficial owners owning through them.</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Payment of dividends, if any, distributions upon liquidation or other distributions with respect to the depositary shares that are registered in the name of or held by DTC or any successor depositary or nominee will be payable to DTC or such successor depositary or nominee, as the case may be, in its capacity as registered holder of the global depositary receipts representing the depositary shares. Under the terms of the Deposit Agreement, the depositary will treat the persons in whose names the depositary shares, including the depositary receipts, are registered as the owners of such securities for the purpose of receiving payments and for all other purposes. Consequently, neither we, nor any depositary, nor any agent of us or any such depositary will have any responsibility or liability for any aspect of the records relating to, or payments made on account of, beneficial ownership interests in the depositary receipts, for maintaining, supervising or reviewing any records relating to such beneficial ownership interests, or for any other matter relating to the actions and practices of DTC or any of its participants or indirect participants.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DTC that its current practice, upon receipt of any payment of dividends, distributions upon liquidation or other distributions with respect to the depositary receipts, is to credit participants’ accounts with payments on the payment date, unless DTC has reason to believe it will not receive payments on such payment date. Each relevant participant is credited with an amount proportionate to its beneficial ownership of an interest in the relevant security as shown on the records of DTC. Payments by participants and indirect participants to owners of beneficial interests in the global depositary receipts held through such participants and indirect participants will be governed by standing instructions and customary practices, as is now the case with securities held for the accounts of customers in bearer form or registered in “street name,” and will be the responsibility of such participants or indirect participants, and will not be the responsibility of us, any depositary, nor any agent of us or of any such depositary. Neither we nor any such depositary or agent will be liable for any delay by DTC or by any participant or indirect participant in identifying the beneficial owners of the depositary shares, and we and any such depositary or agent may conclusively rely on and will be protected in relying on instructions from DTC or its nominee for all purposes.</w:t>
      </w:r>
    </w:p>
    <w:p>
      <w:pPr>
        <w:spacing w:after="0" w:line="19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participants, on the other hand, will be effected through DTC in accordance with DTC’s rules on behalf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depositary receipts in DTC, and making or receiving payment in accordance with normal procedures for same-day funds settlement applicable to DTC. Euroclear participants and Clearstream participants may not deliver instructions directly to the depositories for Euroclear or Clearstream. DTC has advised us that it will take any action permitted to be taken by a holder of depositary shares only at the direction of one or more participants to whose account DTC has credited the interests in the global depositary receipts and only in respect of such portion of the aggregate amount of the depositary shares as to which such participant or participants has or have given such direction.</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Owners of beneficial interests in a global depositary receipt will not be entitled to receive physical delivery of the related depositary shares or any depositary receipts in certificated form and will not be considered the holders of the depositary shares or depositary receipts for any purpose under the Deposit Agreement, and no depositary receipt will be exchangeable, except for another depositary receipt of the same denomination and tenor to be registered in the name of DTC or a successor depositary or nominee. Accordingly, each beneficial owner must rely on the procedures of DTC and, if the beneficial owner is not a participant, on the procedures of the participant or indirect participant through which the beneficial owner owns its interest to exercise any rights of a holder under the Deposit Agreement.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securities among participants in DTC, Euroclear and Clearstream, they are under no obligation to perform or to continue to perform such procedures, and may discontinue such procedures at any time. Neither we, nor any depositary, nor any agent of us or of any such depositary will have any responsibility for the performance by DTC, Euroclear or Clearstream or their respective participants or indirect participants of their respective obligations under the rules and procedures governing their operations.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this section, including any description of the operations and procedures of DTC, Euroclear and Clearstream, has been provided solely as a matter of convenience. We do not take any responsibility for the accuracy of this information, and this information is not intended to serve as a representation, warranty or contract modification of any kind. The operations and procedures of DTC, Euroclear and Clearstream are solely within the control of such settlement systems and are subject to changes by them. We urge investors to contact such systems or their participants directly to discuss these matters.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owning and disposing of depositary shares, but it does not purport to be a comprehensive description of all of the tax considerations that may be relevant to a particular person’s decision to acquire depositary shares. This discussion does not address state, local and non-U.S. tax consequences, any minimum tax consequences, any consequences resulting from the Medicare tax on investment income or any taxes other than income taxes. Moreover, the discussion below does not address the consequences to taxpayers subject to special tax accounting rules under Section 451(b) of the U.S. Internal Revenue Code of 1986, as amended (the “Code”). The discussion applies only to initial investors in depositary shares who hold depositary shares as “capital assets” within the meaning of Section 1221 of the Code (generally, property held for investment). In addition, it does not describe all of the tax consequences that may be relevant to investors subject to special rules, such as:</w:t>
      </w:r>
    </w:p>
    <w:p>
      <w:pPr>
        <w:spacing w:after="0" w:line="9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banks or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certain traders in securities that use a mark-to-market method of tax accounting;</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holding depositary shares as part of a “straddle,” wash sale, conversion transaction, integrated transaction or constructive sale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other pass-through entities for U.S. federal income tax purposes (and partners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“individual retirement accounts” or “Roth IRAs”;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an entity or other arrangement that is classified as a partnership for U.S. federal income tax purposes holds the depositary shares, the U.S. federal income tax treatment of a partner in such partnership will generally depend on the status of the partner and the activities of the partnership. If you are a partnership holding the depositary shares or a partner in such a partnership, you should consult your tax adviser as to the particular U.S. federal tax consequences of holding and disposing of the depositary shares to you.</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remainder of this discussion is based on the Code, administrative pronouncements, judicial decisions and final, temporary and proposed U.S. Treasury regulations, all as of the date hereof. These laws are subject to change, possibly on a retroactive basis. Persons considering the purchase of depositary shares should consult their own tax advisers concerning the U.S. federal, state, local and non-U.S. tax consequences of owning and disposing of depositary shares in their particular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Depositary Shares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Beneficial owners of depositary shares will be treated as owners of the underlying Series C Preferred Stock for U.S. federal income tax purposes. Accordingly, each beneficial owner of a depositary share will be treated as receiving a proportionate share of all cash or other property received by a depositary in respect of the Series C Preferred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depositary shares that is, for U.S. federal tax purposes:</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administration of such trust and one or more U.S. persons have the authority to control all substantial decisions of the trust or (2) it has a valid election in place to be treated as a U.S. person;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Basis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Holder’s tax basis in depositary shares generally should equal the amount paid by the U.S. Holder to acquire the depositary shares.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Distributions paid on depositary shares will be treated as dividends to the extent paid out of our current or accumulated earnings and profits (as determined under U.S. federal income tax principles). If a distribution exceeds our current and accumulated earnings and profits, the excess will be first treated as a tax-free return of the U.S. Holder’s investment in the depositary shares, up to the U.S. Holder’s adjusted tax basis in the depositary shares. Any remaining excess will be treated as capital gain from the sale or exchange of such depositary shares, which is taxed as described below under “— Sale, Redemption or Other Disposition of Depositary Shares.” Subject to customary limitations and restrictions, dividends paid to non-corporate U.S. Holders will be treated as “qualified dividend income” (as defined in the Code) taxable at favorable rates applicable to long-term capital gains. Subject to customary limitations and restrictions, dividends paid to corporate U.S. Holders will be eligible for the dividends-received deduction. U.S. Holders should consult their own tax advisers regarding the application of reduced tax rates and the dividends-received deduction in their particular circumstances.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Redemption or Other Disposition of Depositary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U.S. federal income tax purposes, gain or loss realized by a U.S. Holder on the sale or other disposition (other than a redemption) of depositary shares will be capital gain or loss and will be long-term capital gain or loss if the U.S. Holder held the depositary shares for more than one year as of the date of sale or other disposition. The amount of the U.S. Holder’s gain or loss will be equal to the difference between the amount realized (excluding any declared but unpaid distributions treated as dividends for U.S. federal income tax purposes, which will generally be taxable to a U.S. Holder in the manner described above) on the sale or other disposition and the U.S. Holder’s adjusted tax basis in the depositary shares sold or otherwise disposed of.</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redemption will be taxed in the same manner as a distribution (as described above under “—Taxation of Distributions”) unless the redemption</w:t>
      </w:r>
    </w:p>
    <w:p>
      <w:pPr>
        <w:spacing w:after="0" w:line="27" w:lineRule="exact"/>
        <w:rPr>
          <w:sz w:val="20"/>
          <w:szCs w:val="20"/>
          <w:color w:val="auto"/>
        </w:rPr>
      </w:pPr>
    </w:p>
    <w:p>
      <w:pPr>
        <w:ind w:left="120" w:right="100" w:hanging="4"/>
        <w:spacing w:after="0" w:line="25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“complete termination” of the U.S. Holder’s equity interest in us or (ii) is “not essentially equivalent to a dividend,” each within the meaning of Section 302(b) of the Code, with respect to the U.S. Holder. If a U.S. Holder owns none or only an insubstantial amount of our voting stock (actually or constructively, based on certain attribution rules), and does not exercise any control or management over our affairs, it is likely that a redemption of depositary shares that results (taking into account the overall circumstances of the redemption transaction) in a reduction in the U.S. Holder’s interest in our outstanding equity would be considered “not essentially equivalent to a dividend” (i.e., as a redemption resulting in capital gain or loss). If a redemption is not taxed in the same manner as a distribution, it will be taxed in the same manner as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sale or other disposition (as described in the previous paragraph). A redemption that is treated as a dividend and is either non-pro rata as to all stockholders or in partial liquidation of the corporation would generally be treated as an “extraordinary” dividend (as defined in the Code), the receipt of which may result in the reduction of a corporate U.S. Holder’s adjusted tax basis in the depositary shares. U.S. Holders should consult their own tax advisers regarding the application of the extraordinary dividend provisions of the Code rules in their particular circumstances.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jc w:val="both"/>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Payments of dividends on depositary shares, and the payment of proceeds from the sale or other disposition of depositary shares, generally are subject to information reporting and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Amounts withheld under the backup withholding rules are not additional taxes and may be credited against such U.S. Holder’s U.S. federal income tax liability and may entitle such U.S. Holder to a refund, provided that the required information is timely furnished to the Internal Revenue Service (the “IRS”).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“Non-U.S. Holder” means a beneficial owner of depositary shares that is, for U.S. federal tax purposes:</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“Non-U.S. Holder” does not include a non-resident alien individual who is present in the United States for 183 days or more in the taxable year of disposition. Such an individual is urged to consult his or her own tax adviser regarding the U.S. federal income tax consequences of the ownership and the sale or other disposition of depositary shares.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Dividends paid to a Non-U.S. Holder of depositary shares (including any redemption that is taxed as a dividend under the rules described above under “—Tax Consequences to U.S. Holders—Sale, Redemption or Other Disposition of Depositary Shares”) generally will be subject to withholding tax at a 30% rate or a reduced rate specified by an applicable income tax treaty. In order to obtain a reduced rate of withholding under an applicable income tax treaty, a Non-U.S. Holder will be required to provide an IRS Form W-8BEN (or other appropriate form) certifying its entitlement to benefits under a treaty.</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that provides an IRS Form W-8ECI (or other appropriate form), certifying that the dividends are effectively connected with the Non-U.S. Holder’s conduct of a trade or business within the United States, as described below.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on Disposition of Depositary Shares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“—Information Reporting and Backup Withholding” and “—FATCA,” a Non-U.S. Holder generally will not be subject to U.S. federal income tax on gain realized on a sale, redemption (other than a redemption that is treated as the distribution of a dividend for U.S. federal income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tax purposes, as discussed in “Tax Consequences to U.S. Holders—Sale, Redemption or Other Disposition of Depositary Shares” above) or other disposition of depositary shares unless:</w:t>
      </w:r>
    </w:p>
    <w:p>
      <w:pPr>
        <w:spacing w:after="0" w:line="67" w:lineRule="exact"/>
        <w:rPr>
          <w:sz w:val="20"/>
          <w:szCs w:val="20"/>
          <w:color w:val="auto"/>
        </w:rPr>
      </w:pPr>
    </w:p>
    <w:p>
      <w:pPr>
        <w:ind w:left="1080" w:right="1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of the Non-U.S. Holder in the United States, as described below;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within the meaning of Section 897 of the Code at any time within the five-year period preceding the disposition or the Non-U.S. Holder’s holding period, whichever period is shorter.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we are not, and do not anticipate becoming, a U.S. real property holding corporation.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Effectively Connected Income</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dividends or gains on depositary shares are effectively connected with a Non-U.S. Holder’s conduct of a trade or business in the United States (and, if required by an applicable income tax treaty, are attributable to a U.S. permanent establishment or fixed base maintained by the Non-U.S. Holder), the Non-U.S. Holder generally will be taxed in the same manner as a U.S. Holder (see “—Tax Consequences to U.S. Holders—Taxation of Distributions” and “—Tax Consequences to U.S. Holders—Sale, Redemption or Other Disposition of Depositary Shares” above). In that case, the Non-U.S. Holder will be exempt from the withholding tax on dividends discussed above, although the Non-U.S. Holder will be required to provide a properly executed IRS Form W-8ECI (or other appropriate form) in order to claim an exemption from withholding. A Non-U.S. Holder who is engaged in a trade or business in the United States should consult its own tax adviser with respect to other U.S. tax consequences of the ownership and disposition of depositary shares and, if the Non-U.S. Holder is a corporation, the possible imposition of a branch profits tax at a rate of 30% (or a lower treaty rate).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on depositary shares. A Non-U.S. Holder may have to comply with certification procedures to establish that it is not a United States person in order to avoid information reporting in respect of the payment of proceeds from a sale or other disposition of depositary shares and backup withholding on dividends or on the payment of proceeds from a sale or other disposition of depositary shares. Compliance with the certification procedures required to claim a reduced rate of withholding under a treaty will satisfy the certification requirements necessary to avoid backup withholding as well. Amounts withheld under the backup withholding rules are not additional taxes and may be credited against the Non-U.S. Holder’s U.S. federal income tax liability and may entitle the Non-U.S. Holder to a refund, provided that the required information is timely furnished to the IRS.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may apply to any payments of U.S.-source dividends and the gross proceeds from the sale or other disposition of securities, such as our preferred stock or depositary shares, that can generate U.S.-source dividends or other U.S.-source “fixed or determinable annual or periodical” income (“FDAP income”)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may obtain a refund of any amounts withheld by filing a U.S. federal income tax return (which may entail significant administrative burden). The U.S. Department of Treasury has released proposed regulations which, if finalized in their present form, would eliminate the application of the FATCA withholding tax to the gross proceeds of a sale or other disposition of our preferred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stock or depositary shares. In its preamble to such proposed regulations, the U.S. Treasury stated that taxpayers may generally rely on the proposed regulations until final regulations are issued. You should consult your tax adviser regarding the effects of FATCA on your investment in our preferred stock or depositary shares, and the possible impact of these rules on the entities through which you hold our preferred stock or depositary shares, including, without limitation, the process and deadlines for meeting the applicable requirements to prevent the imposition of the FATCA withholding tax.</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0860"/>
          </w:cols>
          <w:pgMar w:left="320" w:top="455" w:right="7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certain considerations associated with the purchase and holding of the depositary shares by (a) employee benefit plans that are subject to Title I of the Employee Retirement Income Security Act of 1974, as amended (“ERISA”), (b) plans, individual retirement accounts and other arrangements that are subject to Section 4975 of the Code or provisions under any federal, state, local, non-U.S. or other laws or regulations that are similar to such provisions of ERISA or the Code (collectively, “Similar Laws”), and (c) entities whose underlying assets are considered to include assets of any such employee benefit plan, plan, account or arrangement (pursuant to regulations issued by the U.S. Department of Labor (the “DOL”) set forth in 29 C.F.R. Section 2510.3-101, as modified by Section 3(42) of ERISA, or otherwise) (each of the entities described in (a), (b) or (c), a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(any such plan, an “ERISA Plan”) and prohibit certain transactions involving the assets of an ERISA Plan and its fiduciaries or other interested parties. Under ERISA and the Code, any person who exercises any discretionary authority, responsibility or control over the administration of an ERISA Plan or the management or disposition of the assets of an ERISA Plan, or who renders investment advice to an ERISA Plan for a fee or other compensation, is generally considered to be a fiduciary of the ERISA Plan.</w:t>
      </w:r>
    </w:p>
    <w:p>
      <w:pPr>
        <w:spacing w:after="0" w:line="183"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considering an investment in the depositary shares by any Plan, fiduciaries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delegation of control and prohibited transaction provisions of ERISA, the Code and any other applicable Similar Laws.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Each Plan should consider the fact that none of us, the underwriters nor any of our or their respective affiliates (collectively, the “Transaction Parties”) is undertaking to provide impartial investment advice or advice based on any particular investment need, or to act as a fiduciary to any Plan or give advice in a fiduciary capacity, with respect to the decision to purchase or hold the depositary shares (unless a statutory or administrative exemption applies (all of the applicable conditions of which are satisfied) or the transaction is not otherwise prohibited). All communications, correspondence and materials from the Transaction Parties with respect to the depositary shares are intended to be general in nature and are not directed at any specific purchaser of the depositary shares, and do not constitute advice regarding the advisability of investment in the depositary shares for any specific purchaser.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Prohibited Transaction Considerations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and/or the Code. In addition, the fiduciary of an ERISA Plan that engages in such a non-exempt prohibited transaction may be subject to penalties and liabilities under ERISA and the Code.</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acquisition and/or holding of depositary shares by an ERISA Plan with respect to which a Transaction Party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DOL has issued prohibited transaction class exemptions (“PTCEs”) that may apply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 the acquisition and/or holding of the depositary shares. These class exemptions include, without limitation, PTCE 84-14, respecting transactions determined by independent qualified professional asset managers, PTCE 90-1, respecting transactions involving insurance company pooled separate accounts, PTCE 91-38, respecting transactions involving bank collective investment funds, PTCE 95-60, respecting transactions involving insurance company general accounts and PTCE 96-23, respecting transactions determined by in-house asset managers. In addition, Section 408(b)(17) of ERISA and Section 4975(d)(20) of the Code provide an exemption from the prohibited transaction provisions of ERISA and Section 4975 of the Code, respectively, for the purchase and sale of securities, provided that neither the issuer of the securities nor any of its affiliates (directly or indirectly) has or exercises any discretionary authority or control or renders any investment advice with respect to the assets of any ERISA Plan involved in the transaction and provided further that the ERISA Plan receives no less, and pays no more, than adequate consideration in connection with the transaction. There can be no assurance that any such exemptions will be available, or that all of the conditions of any such exemptions will be satisfied, with respect to transactions involving the depositary shares.</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Governmental plans, certain church plans, non-U.S. plans and other plans, while not subject to the fiduciary responsibility provisions of Title I of ERISA or the prohibited transaction provisions described above, may nevertheless be subject to Similar Laws. Fiduciaries of any such plans should consult with their counsel regarding the potential consequences of an investment in the depositary shares under any applicable Similar Laws before purchasing any depositary shares.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Because of the foregoing, the depositary shares should not be purchased or held by any person investing the assets of any Plan, unless such purchase and holding will not constitute or result in a non-exempt prohibited transaction under ERISA or Section 4975 of the Code and a violation under any applicable Similar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its acceptance of depositary shares, each purchaser and subsequent transferee will be deemed to have represented and warranted that either</w:t>
      </w:r>
    </w:p>
    <w:p>
      <w:pPr>
        <w:spacing w:after="0" w:line="27" w:lineRule="exact"/>
        <w:rPr>
          <w:sz w:val="20"/>
          <w:szCs w:val="20"/>
          <w:color w:val="auto"/>
        </w:rPr>
      </w:pPr>
    </w:p>
    <w:p>
      <w:pPr>
        <w:ind w:left="120" w:hanging="4"/>
        <w:spacing w:after="0" w:line="253"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or subsequent transferee is not, and is not acting on behalf of or using the assets of, a Plan or (ii) the purchase, holding and subsequent disposition of depositary shares by such purchaser or transferee will not constitute or result in a non-exempt prohibited transaction under Section 406 of ERISA or Section 4975 of the Code or a violation under any applicable Similar Laws, and none of the Transaction Parties is a fiduciary of such purchaser or transferee with respect to the purchase and holding of depositary shares (unless a statutory or administrative exemption applies (all of the applicable conditions of which are satisfied) or the transaction is not otherwise prohibited).</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 is merely a summary and should not be construed as legal advice or as complete in all relevant respects. The foregoing discussion is based on laws in effect on the date of this prospectus supplement and is subject to any subsequent changes therein. Due to the complexity of these rules and the penalties that may be imposed upon persons involved in non-exempt prohibited transactions, it is particularly important that fiduciaries or other persons considering investing in the depositary shares on behalf of, or with the assets of, any Plan, consult with their counsel regarding the potential applicability of ERISA, Section 4975 of the Code and any Similar Laws to the acquisition, holding and disposition of the depositary shares. Acceptance of depositary shares on behalf of a Plan is in no respect a representation by the Transaction Parties that such investment meets all relevant legal requirements with respect to investments by Plans generally or a particular Plan or that such investment is appropriate for Plans generally or a particular Plan.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 2026, we have agreed to sell to the underwriters named below, for whom Morgan Stanley &amp; Co. LLC, Keefe, Bruyette &amp; Woods, Inc., RBC Capital Markets, LLC, UBS Securities LLC and Wells Fargo Securities, LLC are acting as representatives, and the underwriters have severally and not jointly agreed to purchase the respective number of depositary shares set forth opposite their names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600" w:type="dxa"/>
            <w:vAlign w:val="bottom"/>
            <w:vMerge w:val="restart"/>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Depositary</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10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96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pay for and accept delivery of the depositary shares are subject to, among other things, the approval of certain legal matters by their counsel and certain other conditions. The underwriters are obligated to purchase all the depositary shares offered by us if they purchase any depositary shares. The underwriting agreement also provides that if an underwriter defaults, the purchase commitments of non-defaulting underwriters may be increased or the offering may be terminated.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We have granted an option to the underwriters, exercisable for 30 days after the date of this prospectus supplement, to purchase up to           </w:t>
      </w:r>
    </w:p>
    <w:p>
      <w:pPr>
        <w:spacing w:after="0" w:line="27"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additional depositary shares at the public offering price, less the underwriting discount. If the underwriters exercise this option, each will be obligated, subject to conditions contained in the underwriting agreement, to purchase a number of additional depositary shares proportionate to that underwriter’s initial amount reflected in the above table.</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initially propose to offer the depositary shares directly to the public at the public offering price that appears on the cover page of this prospectus supplement and to certain dealers at that price less a selling concession not in excess of $      per depositary share sold to institutional</w:t>
      </w:r>
    </w:p>
    <w:p>
      <w:pPr>
        <w:ind w:left="120" w:right="140"/>
        <w:spacing w:after="0" w:line="250" w:lineRule="auto"/>
        <w:rPr>
          <w:sz w:val="20"/>
          <w:szCs w:val="20"/>
          <w:color w:val="auto"/>
        </w:rPr>
      </w:pPr>
      <w:r>
        <w:rPr>
          <w:rFonts w:ascii="Times New Roman" w:cs="Times New Roman" w:eastAsia="Times New Roman" w:hAnsi="Times New Roman"/>
          <w:sz w:val="18"/>
          <w:szCs w:val="18"/>
          <w:color w:val="auto"/>
        </w:rPr>
        <w:t>investors and $      per depositary share sold to retail investors. Any underwriter may allow, and such dealers may reallow, a selling concession not in excess of $      per depositary share, to certain other brokers or dealers. After the initial offering of the depositary shares to the public, the</w:t>
      </w:r>
    </w:p>
    <w:p>
      <w:pPr>
        <w:spacing w:after="0" w:line="1"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underwriters may vary the offering price and other selling terms of the depositary shares from time to time. The offering of the depositary shares by the underwriters is subject to receipt and acceptance and subject to the underwriters’ right to reject any order in whole or in part. Sales of depositary shares made outside of the United States may be made by affiliates of the underwriters.</w:t>
      </w:r>
    </w:p>
    <w:p>
      <w:pPr>
        <w:spacing w:after="0" w:line="18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depositary shares.</w:t>
      </w:r>
    </w:p>
    <w:p>
      <w:pPr>
        <w:spacing w:after="0" w:line="170" w:lineRule="exact"/>
        <w:rPr>
          <w:sz w:val="20"/>
          <w:szCs w:val="20"/>
          <w:color w:val="auto"/>
        </w:rPr>
      </w:pPr>
    </w:p>
    <w:tbl>
      <w:tblPr>
        <w:tblLayout w:type="fixed"/>
        <w:tblInd w:w="53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48"/>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Public Offering</w:t>
            </w:r>
          </w:p>
        </w:tc>
        <w:tc>
          <w:tcPr>
            <w:tcW w:w="1880" w:type="dxa"/>
            <w:vAlign w:val="bottom"/>
            <w:gridSpan w:val="2"/>
            <w:vMerge w:val="restart"/>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020" w:type="dxa"/>
            <w:vAlign w:val="bottom"/>
            <w:gridSpan w:val="2"/>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Bread Financial</w:t>
            </w: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180"/>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w:t>
            </w:r>
            <w:r>
              <w:rPr>
                <w:rFonts w:ascii="Times New Roman" w:cs="Times New Roman" w:eastAsia="Times New Roman" w:hAnsi="Times New Roman"/>
                <w:sz w:val="10"/>
                <w:szCs w:val="10"/>
                <w:b w:val="1"/>
                <w:bCs w:val="1"/>
                <w:color w:val="auto"/>
              </w:rPr>
              <w:t>(1)</w:t>
            </w:r>
          </w:p>
        </w:tc>
        <w:tc>
          <w:tcPr>
            <w:tcW w:w="10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bl>
    <w:p>
      <w:pPr>
        <w:ind w:left="1000"/>
        <w:spacing w:after="0"/>
        <w:rPr>
          <w:sz w:val="20"/>
          <w:szCs w:val="20"/>
          <w:color w:val="auto"/>
        </w:rPr>
      </w:pPr>
      <w:r>
        <w:rPr>
          <w:rFonts w:ascii="Times New Roman" w:cs="Times New Roman" w:eastAsia="Times New Roman" w:hAnsi="Times New Roman"/>
          <w:sz w:val="18"/>
          <w:szCs w:val="18"/>
          <w:color w:val="auto"/>
        </w:rPr>
        <w:t>Per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5871845"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1845" cy="274320"/>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Total Without Exercise of Over-Allotment</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Option</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Total With Full Exercise of Over-Allotment</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Option</w:t>
      </w:r>
      <w:r>
        <w:rPr>
          <w:rFonts w:ascii="Times New Roman" w:cs="Times New Roman" w:eastAsia="Times New Roman" w:hAnsi="Times New Roman"/>
          <w:sz w:val="26"/>
          <w:szCs w:val="26"/>
          <w:color w:val="auto"/>
          <w:vertAlign w:val="superscript"/>
        </w:rPr>
        <w:t>(2)</w:t>
      </w:r>
    </w:p>
    <w:p>
      <w:pPr>
        <w:spacing w:after="0" w:line="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780"/>
        <w:spacing w:after="0" w:line="282" w:lineRule="auto"/>
        <w:rPr>
          <w:sz w:val="20"/>
          <w:szCs w:val="20"/>
          <w:color w:val="auto"/>
        </w:rPr>
      </w:pPr>
      <w:r>
        <w:rPr>
          <w:rFonts w:ascii="Times New Roman" w:cs="Times New Roman" w:eastAsia="Times New Roman" w:hAnsi="Times New Roman"/>
          <w:sz w:val="18"/>
          <w:szCs w:val="18"/>
          <w:color w:val="auto"/>
        </w:rPr>
        <w:t>(1) The underwriting discount is calculated using a weighted average amount of $      per depositary share for retail orders (        depositary shares) and $        per depositary share for institutional orders (depositary shares).</w:t>
      </w:r>
    </w:p>
    <w:p>
      <w:pPr>
        <w:spacing w:after="0" w:line="54" w:lineRule="exact"/>
        <w:rPr>
          <w:sz w:val="20"/>
          <w:szCs w:val="20"/>
          <w:color w:val="auto"/>
        </w:rPr>
      </w:pPr>
    </w:p>
    <w:p>
      <w:pPr>
        <w:ind w:left="560" w:right="60" w:hanging="4"/>
        <w:spacing w:after="0" w:line="282"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full exercise of the underwriters’ option to purchase additional depositary shares and assumes the sale of all such depositary shares to retail investors.</w:t>
      </w:r>
    </w:p>
    <w:p>
      <w:pPr>
        <w:spacing w:after="0" w:line="162" w:lineRule="exact"/>
        <w:rPr>
          <w:sz w:val="20"/>
          <w:szCs w:val="20"/>
          <w:color w:val="auto"/>
        </w:rPr>
      </w:pPr>
    </w:p>
    <w:p>
      <w:pPr>
        <w:ind w:left="560"/>
        <w:spacing w:after="0"/>
        <w:tabs>
          <w:tab w:leader="none" w:pos="9080" w:val="left"/>
        </w:tabs>
        <w:rPr>
          <w:sz w:val="20"/>
          <w:szCs w:val="20"/>
          <w:color w:val="auto"/>
        </w:rPr>
      </w:pPr>
      <w:r>
        <w:rPr>
          <w:rFonts w:ascii="Times New Roman" w:cs="Times New Roman" w:eastAsia="Times New Roman" w:hAnsi="Times New Roman"/>
          <w:sz w:val="18"/>
          <w:szCs w:val="18"/>
          <w:color w:val="auto"/>
        </w:rPr>
        <w:t xml:space="preserve">We estimate that our total expenses for this offering, excluding underwriting discount, will be approximately $       </w:t>
      </w:r>
      <w:r>
        <w:rPr>
          <w:sz w:val="20"/>
          <w:szCs w:val="20"/>
          <w:color w:val="auto"/>
        </w:rPr>
        <w:tab/>
      </w:r>
      <w:r>
        <w:rPr>
          <w:rFonts w:ascii="Times New Roman" w:cs="Times New Roman" w:eastAsia="Times New Roman" w:hAnsi="Times New Roman"/>
          <w:sz w:val="17"/>
          <w:szCs w:val="17"/>
          <w:color w:val="auto"/>
        </w:rPr>
        <w:t>million.</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or contribute to payments that the underwriters may be required to make in respect of, certain liabilities, including liabilities under the Securities Act.</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apply to list the depositary shares on the NYSE under the symbol “BFH PrC.” However, there is no guarantee that we will be able to list the depositary shares. If approved, we expect trading of the depositary shares on the NYSE to begin within the 30-day period after the original issue date.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Even if the depositary shares are listed, there may be little or no secondary market for the depositary shares. The underwriters have advised us that they intend to make a market in the depositary shares. However, they are not obligated to do so and may discontinue any market making in the depositary shares at any time in their sole discretion. Even if a secondary market for the depositary shares develops, it may not provide significant liquidity and transaction costs in any secondary market could be high. As a result, the difference between bid and asked prices in any secondary market could be substantial. We cannot assure you that you will be able to sell your depositary shares at a particular time or that the price you receive when you sell will be favorable.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for the period ending 30 days after the date of this prospectus supplement, and subject to certain exceptions, we will not, without the prior written consent of the representatives of the underwriters, (i) offer, pledge, announce the intention to sell, contract to sell, sell any option or contract to purchase, purchase any option or contract to sell, grant any option, right or warrant to purchase or otherwise transfer or dispose of, directly or indirectly, any Series C Preferred Stock or depositary shares, any other of our preferred stock (or depositary shares in respect thereof), or any securities convertible into or exercisable or exchangeable for Series C Preferred Stock, depositary shares, or any other of our preferred stock (or depositary shares in respect thereof), or (ii) enter into any swap or other agreement that transfers, in whole or in part, any of the economic consequences of ownership of Series C Preferred Stock or depositary shares, whether any such transaction described in clause (1) or (2) above is to be settled by delivery of Series C Preferred Stock or depositary shares or such other securities, in cash or otherwise.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short sales, syndicate covering transactions, stabilizing transactions and penalty bids in accordance with Regulation M under the Exchange Act. Short sales involve syndicate sales of depositary shares in excess of the number of depositary shares to be purchased by the underwriters in the offering, which create a syndicate short position. Syndicate covering transactions involve purchases of the depositary shares in the open market after the distribution has been completed in order to cover syndicate short positions. The underwriters may also cover a syndicate short position by exercising their option to purchase additional depositary shares. A short position is more likely to be created if the underwriters are concerned that there may be downward pressure on the price of the depositary shares in the open market after pricing that could adversely affect investors who purchase in the offering. Stabilizing transactions consist of bids for or purchases of depositary shares in the open market while the offering is in progress. The underwriters may also impose a penalty bid. This occurs when a particular underwriter repays to the underwriters a portion of the underwriting discount received by it because the representatives have repurchased depositary shares sold by or for the account of such underwriter in stabilizing or short covering transactions.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on the market price of the depositary shares. They may also cause the price of the depositary shares to be higher than the price that would otherwise exist in the open market in the absence of these transactions. If the underwriters engage in any of these transactions, they may discontinue any of them at any time without notice. Neither we nor the underwriters make any representation or prediction as to the direction or magnitude of any effect that the transactions described above may have on the price of the depositary shares.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depositary shares will be made upon the instructions of the joint book-running managers against payment on or about the date specified on the cover of this prospectus supplement, which is the       business day following the date of pricing of the depositary shares. Under Rule 15c6-1 of the Exchange Act, trades in the secondary market generally are required to settle in one business day, unless the parties to a trade expressly agree otherwise. Accordingly, purchasers who wish to trade depositary shares on any date prior to the business day before delivery will be required, by virtue of the fact that the depositary shares initially will settle in        business days, to specify alternative settlement arrangements to prevent a failed settlement.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this offering and the distribution of this prospectus supplement and the accompanying prospectus. 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of Australia (“Corporations Act”)) in relation to the depositary shares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203"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30" w:lineRule="exact"/>
        <w:rPr>
          <w:rFonts w:ascii="Times New Roman" w:cs="Times New Roman" w:eastAsia="Times New Roman" w:hAnsi="Times New Roman"/>
          <w:sz w:val="18"/>
          <w:szCs w:val="18"/>
          <w:color w:val="auto"/>
        </w:rPr>
      </w:pPr>
    </w:p>
    <w:p>
      <w:pPr>
        <w:jc w:val="both"/>
        <w:ind w:left="1540" w:right="400" w:hanging="439"/>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532"/>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depositary shares for resale in Australia within 12 months of the depositary shares being issued unless any such resale offer is exempt from the requirement to issue a disclosure document under section 708 of the Corporations Act.</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offer of securities described in this prospectus supplement and the accompanying prospectus will not be carried out by any means that would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constitute a public offering in Brazil under Law No. 6385, of December 7, 1976, as amended, and under CVM Rule (Instrução) No. 400,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29, 2003, as amended. The offer and sale of the securities have not been and will not be registered with the Comissão de Valores Mobiliários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Brazil. Any representation to the contrary is untruthful and unlawful. Any public offering or distribution, as defined under Brazilian laws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regulations, of the interests in Brazil is not legal without such prior registration. Documents relating to the offering of the securities, as well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contained therein, may not be supplied to the public in Brazil, as the offering of the securities is not a public offering of securities in Brazil,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 may they be used in connection with any offer for sale of the securities to the public in Brazil. This prospectus supplement and the accompanying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 is addressed to you personally, upon your request and for your sole benefit, and is not to be transmitted to anyone else, to be relied upon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anyone else or for any other purpose either quoted or referred to in any other public or private document or to be filed with anyone without our prior,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express and written consent.</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depositary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Offered Securities Rules of the Dubai Financial Services Authority (“DFSA”).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the prospectus. The depositary shares to which this prospectus supplement and the accompanying prospectus relate may be illiquid and/or subject to restrictions on their resale. Prospective purchasers of the depositary shares offered should conduct their own due diligence on the depositary shares. If you do not understand the contents of this prospectus supplement or the accompanying prospectus you should consult an authorized financial advisor.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or any related free writing prospectus is a prospectus for the purposes of Regulation (EU) 2017/1129, as amended (the “Prospectus Regulation”). This prospectus supplement, the accompanying prospectus and any related free writing prospectus have been prepared on the basis that any offer of depositary shares in any Member State of the European Economic Area (the “EEA”) will only be made to a legal entity which is a qualified investor under the Prospectus Regulation (“EEA Qualified Investors”). Accordingly any person making or intending to make an offer in any Member State of the EEA of depositary shares which are the subject of the offering contemplated in this prospectus supplement, the accompanying prospectus and any related free writing prospectus may only do so with respect to EEA Qualified Investors. Neither Bread Financial nor the underwriters have authorized, nor do they authorize, the making of any offer of depositary shares in the EEA other than to EEA Qualified Investors.</w:t>
      </w:r>
    </w:p>
    <w:p>
      <w:pPr>
        <w:spacing w:after="0" w:line="188"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PROHIBITION OF SALES TO EEA RETAIL INVESTORS</w:t>
      </w:r>
      <w:r>
        <w:rPr>
          <w:rFonts w:ascii="Times New Roman" w:cs="Times New Roman" w:eastAsia="Times New Roman" w:hAnsi="Times New Roman"/>
          <w:sz w:val="17"/>
          <w:szCs w:val="17"/>
          <w:color w:val="auto"/>
        </w:rPr>
        <w:t>-The depositary shares are not intended to be offered, sold or otherwise made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w:t>
      </w:r>
    </w:p>
    <w:p>
      <w:pPr>
        <w:spacing w:after="0" w:line="1" w:lineRule="exact"/>
        <w:rPr>
          <w:sz w:val="20"/>
          <w:szCs w:val="20"/>
          <w:color w:val="auto"/>
        </w:rPr>
      </w:pPr>
    </w:p>
    <w:p>
      <w:pPr>
        <w:ind w:left="120" w:right="40" w:hanging="4"/>
        <w:spacing w:after="0" w:line="252" w:lineRule="auto"/>
        <w:tabs>
          <w:tab w:leader="none" w:pos="3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depositary shares to be offered so as to enable an investor to decide to purchase or subscribe for the depositary shares. Consequently, no key information document required by Regulation (EU) No 1286/2014 (as amended, the “PRIIPs Regulation”) for offering or selling the depositary shares or otherwise making them available to retail investors in the EEA has been prepared and therefore offering or selling the depositary shares or otherwise making them available to any retail investor in the EEA may be unlawful under the PRIIPs Regulation.</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depositary shares have not been and will not be offered or sold in Hong Kong by means of any document other than (i) in circumstances that do not constitute an offer to the public within the meaning of the Companies (Winding Up and Miscellaneous Provisions) Ordinance (Cap. 32, Laws of Hong Kong) (the “C(WUMP)O”), or (ii) to “professional investors” within the meaning of the Securities and Futures Ordinance (Cap. 571, Laws of Hong Kong) (the “SFO”) and any rules made thereunder, or (iii) in other circumstances that do not result in the document being a “prospectus” within the meaning of the C(WUMP)O, and no advertisement, invitation or document relating to the depositary shares has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depositary shares that are or are intended to be disposed of only to persons outside Hong Kong or only to “professional investors” within the meaning of the SFO and any rules made thereunder.</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depositary shares have not been and will not be registered under the Financial Instruments and Exchange Law of Japan (the “Financial Instruments and Exchange Law”) and accordingly, each underwriter has agreed that it will not offer or sell any depositary shares, directly or indirectly, in Japan or to, or for the account or benefit of, any resident of Japan (which term as used herein means any person resident in Japan, including any corporation or other entity organized under the laws of Japan), or to others for re-offering or resale, directly or indirectly, in Japan or to, or for the account of benefit of any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institutional investors only. The depositary shares have not been and will not be registered under the Financial Investment Services and Capital Markets Act of Korea and none of the depositary shares may be offered or sold, directly or indirectly, in Korea or to any resident of Korea, or to any persons for reoffering or resale, directly or indirectly, in Korea or to, or for the account or benefit of, any resident of Korea (as such term is defined in the Foreign Exchange Transaction Law of Korea and rules and regulations promulgated thereunder), except as otherwise permitted under applicable laws and regulations.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No approval from the Securities Commission of Malaysia is or will be obtained, nor will any prospectus be filed or registered with the Securities Commission of Malaysia, for the offering of the depositary shares in Malaysia. This prospectus supplement and the accompanying prospectus do not constitute and are not intended to constitute an invitation or offer for subscription or purchase of the depositary shares, nor may this prospectus supplement, the accompanying prospectus or any other offering material or document relating to the depositary shares be published or distributed, directly or indirectly, to any person in Malaysia unless such invitation or offer falls within (a) Schedule 5 to the Capital Markets and Services Act 2007 (“CMSA”), (b) Schedule 6 or 7 to the CMSA as an “excluded offer or excluded invitation” or “excluded issue” within the meaning of section 229 and 230 of the CMSA and (c) Schedule 8 so the trust deed requirements in the CMSA are not applicable. No offer or invitation in respect of the depositary shares may be made in Malaysia except as an offer or invitation falling under Schedule 5, 6 or 7 and 8 to the CMSA</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not be circulated or distributed in the People’s Republic of China (“PRC”) and the depositary shares may not be offered or sold, and will not be offered or sold, directly or indirectly, to any resident of the PRC or to persons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filed with or reviewed or approved by, the Qatar Central Bank, any other relevant Qatar governmental body or securities exchange, nor any foreign governmental body or securities exchange. This prospectus supplement and the accompanying prospectus are being issued to a limited number of sophisticated investors and should not be provided to any person other than the original recipient. It is not for general circulation in the State of Qatar and should not be reproduced or used for any other purpose.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and will not be registered as a prospectus under the Securities and Futures Act 2001 (the “SFA”) by the Monetary Authority of Singapore, and the offer of the depositary shares in Singapore is made primarily pursuant to the exemptions under Section 274 and 275 of the SFA. Accordingly, each underwriter has advised that it has not offered or sold any depositary shares or caused the depositary shares to be made the subject of an invitation for subscription or purchase and will not offer or sell any depositary shares or cause the depositary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depositary shares whether directly or indirectly, to any person in Singapore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other than (i) to an institutional investor (as defined in Section 4A of the SFA) pursuant to Section 274 of the SFA, (ii) to an accredited investor (as defined in Section 4A of the SFA) or other relevant person (as defined in Section 275(2) of the SFA)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Where the depositary shares are subscribed for or acquired pursuant to an offer made in reliance on Section 275 of the SFA by a relevant person which is:</w:t>
      </w:r>
    </w:p>
    <w:p>
      <w:pPr>
        <w:spacing w:after="0" w:line="67" w:lineRule="exact"/>
        <w:rPr>
          <w:sz w:val="20"/>
          <w:szCs w:val="20"/>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depositary shares except:</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(in the case of that corporation) or Section 276(4)(c)(ii) (in the case of that trust) of the SFA;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our depositary shares. The depositary shares may not be publicly offered, directly or indirectly, in Switzerland within the meaning of the Swiss Financial Services Act (the “FinSA”), and no application has or will be made to admit the depositary shares to trading on any trading venue (exchange or multilateral trading facility) in Switzerland. Neither this prospectus supplement nor any other offering or marketing material relating to the depositary shares constitutes a prospectus pursuant to the FinSA, and neither this prospectus supplement nor any other offering or marketing material relating to the depositary shares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 (Excluding The Dubai International Financial Centre)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depositary shares have not been, and are not being, publicly offered, sold, promoted or advertised in the United Arab Emirates (the “U.A.E.”) other than in compliance with the laws of the U.A.E. Prospective investors in the Dubai International Financial Centre (“DIFC”) should have regard to the specific notice to prospective investors in the DIFC set out above. The information contained in this prospectus supplement and the accompanying prospectus does not constitute a public offer of depositary shares in the U.A.E. in accordance with the Commercial Companies Law (Federal Law No. 8 of 1984 of the U.A.E., as amended) or otherwise and is not intended to be a public offer. This prospectus supplement and the accompanying prospectus have not been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approved by or filed with the Central Bank of the United Arab Emirates, the Emirates Securities and Commodities Authority or the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or any related free writing prospectus is a prospectus for the purposes of the Prospectus Rules: Admissions to Trading on a Regulated Market Sourcebook of the United Kingdom (the “UK”) Financial Conduct Authority (the “FCA”). This prospectus supplement, the accompanying prospectus and any related free writing prospectus have been prepared on the basis that any offer of depositary shares in the UK will only be made to legal entities which are qualified investors as defined in paragraph 15 of Schedule 1 to the Public Offers and Admissions to Trading Regulations 2024 (the “POATRs”) (“UK Qualified Investors”). Each person who initially acquires any depositary shares which are the subject of the offering contemplated in this prospectus supplement, the accompanying prospectus and any related free writing prospectus or to whom any offer is made in the UK will be deemed to have represented, warranted and agreed to and with each underwriter and Bread Financial that it is a UK Qualified Investor. Neither Bread Financial nor the underwriters have authorized, nor do they authorize, the making of any offer of depositary shares in the UK other than to UK Qualified Investors.</w:t>
      </w:r>
    </w:p>
    <w:p>
      <w:pPr>
        <w:spacing w:after="0" w:line="184"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PROHIBITION OF SALES TO UK RETAIL INVESTORS</w:t>
      </w:r>
      <w:r>
        <w:rPr>
          <w:rFonts w:ascii="Times New Roman" w:cs="Times New Roman" w:eastAsia="Times New Roman" w:hAnsi="Times New Roman"/>
          <w:sz w:val="17"/>
          <w:szCs w:val="17"/>
          <w:color w:val="auto"/>
        </w:rPr>
        <w:t>-The depositary shares are not intended to be offered, sold, distributed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available to and should not be offered, sold, distributed or otherwise made available to any retail investor in the UK. For these purposes, (a) a “retail investor” means a person who is either one (or both) of the following: (i) not a professional client, as defined in point (8) of Article 2(1) of Regulation (EU) No 600/2014 as it forms part of domestic law in the UK by virtue of the European Union (Withdrawal) Act 2018, as amended; or</w:t>
      </w:r>
    </w:p>
    <w:p>
      <w:pPr>
        <w:ind w:left="120" w:hanging="4"/>
        <w:spacing w:after="0" w:line="253" w:lineRule="auto"/>
        <w:tabs>
          <w:tab w:leader="none" w:pos="3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paragraph 15 of Schedule 1 to the POATRs. Consequently, no disclosure document required by the FCA Product Disclosure Sourcebook (“DISC”) for offering, selling or distributing the depositary shares or otherwise making them available to retail investors in the UK has been prepared and therefore offering, selling or distributing the depositary shares or otherwise making them available to any retail investor in the UK may be unlawful under the DISC and the Consumer Composite Investments (Designated Activities) Regulations 2024.</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the above provisions, the expression an “offer” in relation to the depositary shares in the UK means the communication to any person which presents sufficient information on: (a) the depositary shares to be offered; and (b) the terms on which they are to be offered, to enable an investor to decide to purchase or subscribe for any depositary shares.</w:t>
      </w:r>
    </w:p>
    <w:p>
      <w:pPr>
        <w:spacing w:after="0" w:line="176"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7"/>
          <w:szCs w:val="17"/>
          <w:color w:val="auto"/>
        </w:rPr>
        <w:t>The communication of this prospectus supplement, the accompanying prospectus, any related free writing prospectus and any other document or materials relating to the issue of the depositary shares offered hereby is not being made, and such documents and/or materials have not been approved, by an authorized person for the purposes of section 21 of the Financial Services and Markets Act 2000, as amended (the “FSMA”). Accordingly, this prospectus supplement, the accompanying prospectus, any related free writing prospectus and such other documents and/or materials are not being distributed to, and must not be passed on to, the general public in the UK. This prospectus supplement, the accompanying prospectus, any related free writing prospectus and such other documents and/or materials are for distribution in the UK only to persons who are UK Qualified Investors and who</w:t>
      </w:r>
    </w:p>
    <w:p>
      <w:pPr>
        <w:spacing w:after="0" w:line="5" w:lineRule="exact"/>
        <w:rPr>
          <w:sz w:val="20"/>
          <w:szCs w:val="20"/>
          <w:color w:val="auto"/>
        </w:rPr>
      </w:pPr>
    </w:p>
    <w:p>
      <w:pPr>
        <w:ind w:left="120" w:hanging="4"/>
        <w:spacing w:after="0" w:line="253"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or (iii) are persons to whom, in connection with the issue or sale of any securities, an invitation or inducement to engage in investment activity (within the meaning of Section 21 of the FSMA) may otherwise lawfully be communicated or caused to be communicated (all such persons together being</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referred to as “relevant persons”). This prospectus supplement, the accompanying prospectus, any related free writing prospectus and such other documents and/or materials are directed in the UK only at relevant persons and must not be acted on or relied on by persons who are not relevant persons. Any investment or investment activity to which this prospectus supplement, the accompanying prospectus, any related free writing prospectus and any other document or materials relates will in the UK be engaged in only with relevant persons. Any person in the UK that is not a relevant person should not act or rely on this prospectus supplement, the accompanying prospectus, any related free writing prospectus or any other documents and/or materials relating to the issue of the depositary shares offered hereby or any of their contents.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the depositary shares may only be communicated or caused to be communicated in circumstances in which Section 21(1) of the FSMA does not apply to Bread Financial.</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depositary shares in, from or otherwise involving the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Relationships with Underwriters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w:t>
      </w:r>
    </w:p>
    <w:p>
      <w:pPr>
        <w:spacing w:after="0" w:line="18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addition, one or more underwriters and/or their respective affiliates have received, and may in the future receive, customary fees and reimbursement of expenses as underwriters of securities offered by certain of our securitization trusts from time to time. One or more underwriters and/or their respective affiliates are also lenders to certain of our securitization trusts.</w:t>
      </w:r>
    </w:p>
    <w:p>
      <w:pPr>
        <w:spacing w:after="0" w:line="176"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(directly, as collateral securing other obligations or otherwise) of ours and/or our affiliates. If any of the underwriters or their affiliates has a lending relationship with us or our affiliates, certain of those underwriters or their affiliates routinely hedge, and certain other of those underwriters or their affiliates may hedge, their credit exposure to us or our affiliates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depositary shares offered hereby. Any such credit default swaps or short positions could adversely affect future trading prices of the depositary shares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Series C Preferred Stock and the depositary shares offered hereby will be passed upon for us by Davis Polk &amp; Wardwell LLP, New York, New York. Certain legal matters will be passed upon for the underwriters by Paul Hastings LLP, New York, New York.</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Bread Financial Holdings, Inc. and its subsidiaries as of December 31, 2025 and 2024, and for each of the three years in the period ended December 31, 2025, incorporated by reference in this Prospectus Supplement, and the effectiveness of Bread Financial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0960"/>
          </w:cols>
          <w:pgMar w:left="320" w:top="455" w:right="6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prospectus supplement, which means that we can disclose important information to you by referring to those documents we file with the SEC. Any statement contained in a document incorporated or considered to be incorporated by reference in this prospectus supplement shall be considered to be modified or superseded for purposes of this prospectus supplement to the extent a statement contained in this prospectus supplement or in any other subsequently filed document that is or is considered to be incorporated by reference in this prospectus supplement modifies or supersedes such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13, 2026;</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March 31, 2026, June 30, 2026 and September 30, 2026, filed with the SEC on </w:t>
      </w:r>
      <w:hyperlink r:id="rId73">
        <w:r>
          <w:rPr>
            <w:rFonts w:ascii="Times New Roman" w:cs="Times New Roman" w:eastAsia="Times New Roman" w:hAnsi="Times New Roman"/>
            <w:sz w:val="18"/>
            <w:szCs w:val="18"/>
            <w:u w:val="single" w:color="auto"/>
            <w:color w:val="0000EE"/>
          </w:rPr>
          <w:t>April 28, 2026</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July 28,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October 27, 2026, respectively;</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5"/>
        </w:numPr>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auto"/>
          </w:rPr>
          <w:t xml:space="preserve">The information specifically incorporated by reference into our Annual Report on </w:t>
        </w:r>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auto"/>
          </w:rPr>
          <w:t xml:space="preserve"> from our </w:t>
        </w:r>
        <w:r>
          <w:rPr>
            <w:rFonts w:ascii="Times New Roman" w:cs="Times New Roman" w:eastAsia="Times New Roman" w:hAnsi="Times New Roman"/>
            <w:sz w:val="18"/>
            <w:szCs w:val="18"/>
            <w:u w:val="single" w:color="auto"/>
            <w:color w:val="0000EE"/>
          </w:rPr>
          <w:t>Definitive Proxy Statement on</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color w:val="000000"/>
          </w:rPr>
          <w:t>, filed with the SEC on April 7, 2026;</w:t>
        </w:r>
      </w:hyperlink>
    </w:p>
    <w:p>
      <w:pPr>
        <w:spacing w:after="0" w:line="67" w:lineRule="exact"/>
        <w:rPr>
          <w:rFonts w:ascii="Times New Roman" w:cs="Times New Roman" w:eastAsia="Times New Roman" w:hAnsi="Times New Roman"/>
          <w:sz w:val="18"/>
          <w:szCs w:val="18"/>
          <w:color w:val="0000EE"/>
        </w:rPr>
      </w:pPr>
    </w:p>
    <w:p>
      <w:pPr>
        <w:ind w:left="1080" w:hanging="424"/>
        <w:spacing w:after="0" w:line="258" w:lineRule="auto"/>
        <w:tabs>
          <w:tab w:leader="none" w:pos="108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6">
        <w:r>
          <w:rPr>
            <w:rFonts w:ascii="Times New Roman" w:cs="Times New Roman" w:eastAsia="Times New Roman" w:hAnsi="Times New Roman"/>
            <w:sz w:val="18"/>
            <w:szCs w:val="18"/>
            <w:u w:val="single" w:color="auto"/>
            <w:color w:val="0000EE"/>
          </w:rPr>
          <w:t>January 29,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of the first Current Report on Form 8-K filed on such date); </w:t>
      </w:r>
      <w:hyperlink r:id="rId77">
        <w:r>
          <w:rPr>
            <w:rFonts w:ascii="Times New Roman" w:cs="Times New Roman" w:eastAsia="Times New Roman" w:hAnsi="Times New Roman"/>
            <w:sz w:val="18"/>
            <w:szCs w:val="18"/>
            <w:u w:val="single" w:color="auto"/>
            <w:color w:val="0000EE"/>
          </w:rPr>
          <w:t>February 18, 2026</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April 23,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of the first Current Report on Form 8-K filed on such date); </w:t>
      </w:r>
      <w:hyperlink r:id="rId79">
        <w:r>
          <w:rPr>
            <w:rFonts w:ascii="Times New Roman" w:cs="Times New Roman" w:eastAsia="Times New Roman" w:hAnsi="Times New Roman"/>
            <w:sz w:val="18"/>
            <w:szCs w:val="18"/>
            <w:u w:val="single" w:color="auto"/>
            <w:color w:val="0000EE"/>
          </w:rPr>
          <w:t>May 5, 2026</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May 12, 2026</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May 22, 2026</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July 14,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5.02); </w:t>
      </w:r>
      <w:hyperlink r:id="rId84">
        <w:r>
          <w:rPr>
            <w:rFonts w:ascii="Times New Roman" w:cs="Times New Roman" w:eastAsia="Times New Roman" w:hAnsi="Times New Roman"/>
            <w:sz w:val="18"/>
            <w:szCs w:val="18"/>
            <w:u w:val="single" w:color="auto"/>
            <w:color w:val="0000EE"/>
          </w:rPr>
          <w:t>July 23,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(but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Item 8.01 of the first Current Report on Form 8-K filed on such date);</w:t>
      </w:r>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September 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October 22,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(but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Item 8.01 of the first Current Report on Form 8-K filed on such date).</w:t>
      </w:r>
    </w:p>
    <w:p>
      <w:pPr>
        <w:spacing w:after="0" w:line="183" w:lineRule="exact"/>
        <w:rPr>
          <w:rFonts w:ascii="Times New Roman" w:cs="Times New Roman" w:eastAsia="Times New Roman" w:hAnsi="Times New Roman"/>
          <w:sz w:val="18"/>
          <w:szCs w:val="18"/>
          <w:color w:val="0000EE"/>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we incorporate by reference any future filings we make with the SEC pursuant to Section 13(a), 13(c), 14 or 15(d) of the Exchange Act (other than any information “furnished” pursuant to Item 2.02 or 7.01 of any Current Report on Form 8-K) between the date of this prospectus supplement and before we have sold all of the depositary shares to which this prospectus supplement relates or the offering is otherwise terminated. You may request copies of any of those documents, the Deposit Agreement or the Certificate of Designations, at no cost, by writing or telephoning us at the following address:</w:t>
      </w:r>
    </w:p>
    <w:p>
      <w:pPr>
        <w:spacing w:after="0" w:line="17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3095 Loyalty Circle</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Columbus, Ohio 43219</w:t>
      </w:r>
    </w:p>
    <w:p>
      <w:pPr>
        <w:spacing w:after="0" w:line="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(614) 729-4000</w:t>
      </w:r>
    </w:p>
    <w:p>
      <w:pPr>
        <w:spacing w:after="0" w:line="205" w:lineRule="exact"/>
        <w:rPr>
          <w:rFonts w:ascii="Times New Roman" w:cs="Times New Roman" w:eastAsia="Times New Roman" w:hAnsi="Times New Roman"/>
          <w:sz w:val="18"/>
          <w:szCs w:val="18"/>
          <w:color w:val="0000EE"/>
        </w:rPr>
      </w:pPr>
    </w:p>
    <w:p>
      <w:pPr>
        <w:ind w:left="120" w:right="600" w:firstLine="440"/>
        <w:spacing w:after="0" w:line="315" w:lineRule="auto"/>
        <w:rPr>
          <w:sz w:val="20"/>
          <w:szCs w:val="20"/>
          <w:color w:val="auto"/>
        </w:rPr>
      </w:pPr>
      <w:r>
        <w:rPr>
          <w:rFonts w:ascii="Times New Roman" w:cs="Times New Roman" w:eastAsia="Times New Roman" w:hAnsi="Times New Roman"/>
          <w:sz w:val="17"/>
          <w:szCs w:val="17"/>
          <w:color w:val="auto"/>
        </w:rPr>
        <w:t xml:space="preserve">You may also obtain copies of these filings, at no cost, by accessing the SEC Filings section of our website at </w:t>
      </w:r>
      <w:r>
        <w:rPr>
          <w:rFonts w:ascii="Times New Roman" w:cs="Times New Roman" w:eastAsia="Times New Roman" w:hAnsi="Times New Roman"/>
          <w:sz w:val="17"/>
          <w:szCs w:val="17"/>
          <w:i w:val="1"/>
          <w:iCs w:val="1"/>
          <w:color w:val="auto"/>
        </w:rPr>
        <w:t>investor.breadfinancial.com</w:t>
      </w:r>
      <w:r>
        <w:rPr>
          <w:rFonts w:ascii="Times New Roman" w:cs="Times New Roman" w:eastAsia="Times New Roman" w:hAnsi="Times New Roman"/>
          <w:sz w:val="17"/>
          <w:szCs w:val="17"/>
          <w:color w:val="auto"/>
        </w:rPr>
        <w:t>; however, the information found on our website is not considered part of, or incorporated by reference in, this prospectus supplement.</w:t>
      </w:r>
    </w:p>
    <w:p>
      <w:pPr>
        <w:spacing w:after="0" w:line="69"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189865</wp:posOffset>
            </wp:positionV>
            <wp:extent cx="3188970" cy="4718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31889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shares of preferred stock and depositary shares that we may offer and sell at any time and from time to time in one or more transactions. This prospectus contains a general description of these securities. The specific terms of the securities will be contained in one or more supplements to this prospectus. This prospectus may not be used to offer or sell securities unless accompanied by one or more prospectus supplements. Prospectus supplements may add, update or change information contained or incorporated by reference in this prospectus. You should carefully read this prospectus and each applicable prospectus supplement, as well as the documents incorporated by reference in this prospectus and each applicable prospectus supplement, before you invest in securities to which this prospectus relates.</w:t>
      </w:r>
    </w:p>
    <w:p>
      <w:pPr>
        <w:spacing w:after="0" w:line="187"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have not yet determined whether any of the securities that may be offered by this prospectus and one or more applicable prospectus supplements will be listed on any exchange, inter-dealer quotation system or over-the-counter market.</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to which this prospectus relates may be offered directly, through agents designated from time to time by us, or to or through underwriters or dealers. For additional information, you should refer to “Plan of Distribution” in this prospectus. If any agents or underwriters are involved in the sale of any of the securities to which this prospectus relates, their names, and any applicable purchase price, fee, commission or discount arrangement between or among them or us, will be set forth or will be calculable based on information included or incorporated by reference in an applicable prospectus supplement.</w:t>
      </w:r>
    </w:p>
    <w:p>
      <w:pPr>
        <w:spacing w:after="0" w:line="18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3905 Loyalty Circle, Columbus, Ohio 43219, and our telephone number at that address is (614) 729-4000.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 securities to which this prospectus relates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on page 4 of this prospectus and in any applicable prospectus supplement, in addition to the risk factors that are incorporated by reference in this prospectus or any applicable prospectus supplement.</w:t>
      </w:r>
    </w:p>
    <w:p>
      <w:pPr>
        <w:spacing w:after="0" w:line="176" w:lineRule="exact"/>
        <w:rPr>
          <w:sz w:val="20"/>
          <w:szCs w:val="20"/>
          <w:color w:val="auto"/>
        </w:rPr>
      </w:pPr>
    </w:p>
    <w:p>
      <w:pPr>
        <w:ind w:left="120" w:right="50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securities offered hereby or passed upon the adequacy or accuracy of this prospectus. Any representation to the contrary is a criminal offense</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securities to which this prospectus relates are not deposits or other obligations of a bank or savings association and are not insured or guaranteed by the Federal Deposit Insurance Corporation or any other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17, 2025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1"/>
        </w:trPr>
        <w:tc>
          <w:tcPr>
            <w:tcW w:w="1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40" w:type="dxa"/>
            <w:vAlign w:val="bottom"/>
            <w:gridSpan w:val="7"/>
            <w:vMerge w:val="restart"/>
          </w:tcPr>
          <w:p>
            <w:pPr>
              <w:spacing w:after="0"/>
              <w:rPr>
                <w:sz w:val="24"/>
                <w:szCs w:val="24"/>
                <w:color w:val="auto"/>
              </w:rPr>
            </w:pPr>
          </w:p>
        </w:tc>
        <w:tc>
          <w:tcPr>
            <w:tcW w:w="6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640" w:type="dxa"/>
            <w:vAlign w:val="bottom"/>
            <w:tcBorders>
              <w:bottom w:val="single" w:sz="8" w:color="0000EE"/>
            </w:tcBorders>
            <w:gridSpan w:val="7"/>
            <w:vMerge w:val="continue"/>
          </w:tcPr>
          <w:p>
            <w:pPr>
              <w:spacing w:after="0"/>
              <w:rPr>
                <w:sz w:val="14"/>
                <w:szCs w:val="14"/>
                <w:color w:val="auto"/>
              </w:rPr>
            </w:pPr>
          </w:p>
        </w:tc>
        <w:tc>
          <w:tcPr>
            <w:tcW w:w="2740" w:type="dxa"/>
            <w:vAlign w:val="bottom"/>
            <w:gridSpan w:val="7"/>
            <w:vMerge w:val="continue"/>
          </w:tcPr>
          <w:p>
            <w:pPr>
              <w:spacing w:after="0"/>
              <w:rPr>
                <w:sz w:val="14"/>
                <w:szCs w:val="14"/>
                <w:color w:val="auto"/>
              </w:rPr>
            </w:pPr>
          </w:p>
        </w:tc>
        <w:tc>
          <w:tcPr>
            <w:tcW w:w="62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7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80" w:type="dxa"/>
            <w:vAlign w:val="bottom"/>
            <w:tcBorders>
              <w:top w:val="single" w:sz="8" w:color="0000EE"/>
            </w:tcBorders>
          </w:tcPr>
          <w:p>
            <w:pPr>
              <w:spacing w:after="0"/>
              <w:rPr>
                <w:sz w:val="17"/>
                <w:szCs w:val="17"/>
                <w:color w:val="auto"/>
              </w:rPr>
            </w:pPr>
          </w:p>
        </w:tc>
        <w:tc>
          <w:tcPr>
            <w:tcW w:w="1520" w:type="dxa"/>
            <w:vAlign w:val="bottom"/>
            <w:gridSpan w:val="2"/>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360" w:type="dxa"/>
            <w:vAlign w:val="bottom"/>
            <w:gridSpan w:val="10"/>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Notes Regarding Forward-Looking Statements</w:t>
            </w:r>
          </w:p>
        </w:tc>
        <w:tc>
          <w:tcPr>
            <w:tcW w:w="160" w:type="dxa"/>
            <w:vAlign w:val="bottom"/>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Description of Securities</w:t>
            </w:r>
          </w:p>
        </w:tc>
        <w:tc>
          <w:tcPr>
            <w:tcW w:w="1980" w:type="dxa"/>
            <w:vAlign w:val="bottom"/>
            <w:gridSpan w:val="4"/>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00" w:type="dxa"/>
            <w:vAlign w:val="bottom"/>
            <w:gridSpan w:val="5"/>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960" w:type="dxa"/>
            <w:vAlign w:val="bottom"/>
            <w:gridSpan w:val="8"/>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80" w:type="dxa"/>
            <w:vAlign w:val="bottom"/>
            <w:gridSpan w:val="11"/>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By using a shelf registration statement, we or, if applicable, a selling securityholder, may offer and sell, at any time and from time to time, the securities described in this prospectus. As permitted by SEC rules, this prospectus does not contain all of the information included in the registration statement to which it relates. For further information, we refer you to the registration statement, including its exhibits. Statements contained in this prospectus about the provisions or contents of any agreement or other document are not necessarily complete. If the SEC’s rules require an agreement or document to be filed as an exhibit to the registration statement, you should see that agreement or document for a complete description of these matters. The registration statement can be obtained from the SEC as indicated under the heading “Where You Can Find More Information.”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 should also carefully read and consider the information included in this prospectus and each applicable prospectus supplement together with the documents we have incorporated by reference in this prospectus or an applicable prospectus supplement. Information incorporated by reference after the date of this prospectus forms a part of this prospectus and may add, update or change information contained in this prospectus or any earlier prospectus supplement. Any such information that is inconsistent with this prospectus or an earlier prospectus supplement will supersede the information in this prospectus or that earlier prospectus supplement.</w:t>
      </w:r>
    </w:p>
    <w:p>
      <w:pPr>
        <w:spacing w:after="0" w:line="179" w:lineRule="exact"/>
        <w:rPr>
          <w:sz w:val="20"/>
          <w:szCs w:val="20"/>
          <w:color w:val="auto"/>
        </w:rPr>
      </w:pPr>
    </w:p>
    <w:p>
      <w:pPr>
        <w:ind w:left="120" w:right="18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We have not authorized anyone to provide any information other than that contained in or incorporated by reference in this prospectus or an applicable prospectus supplement prepared by us or on our behalf or to which we have referred you. We take no responsibility for, and can provide no assurance as to the reliability of, any other information that others may give you. We are not making an offer to sell the securities to which this prospectus relates in any jurisdiction where the offer or sale is not permitted. You should not assume that the information in this prospectus, any applicable prospectus supplement or any document incorporated by reference in this prospectus or any applicable prospectus supplement is accurate as of any date other than the date of the applicable document or such other date specified in the applicable document. Our business, financial condition, results of operations and prospects may have changed since that date.</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Throughout this prospectus, unless stated or the context implies otherwise, the terms “Bread Financial”, “BFH”, the “Company”, “we”, “our” or “us” refer to Bread Financial Holdings, Inc. and its subsidiaries on a consolidated basis. References to “Parent Company” refer to Bread Financial Holdings, Inc. on a parent-only standalone basis. In addition, in this report we may refer to the retailers and other companies with whom we do business as our “partners”, “brand partners”, or “clients”, provided that the use of the term “partner”, “partnering” or any similar term does not mean or imply a formal legal partnership, and is not meant in any way to alter the terms of Bread Financial’s relationship with any third parties. We offer our credit products through our insured depository institution subsidiaries, Comenity Bank and Comenity Capital Bank, which together are referred to herein as the “Banks”.</w:t>
      </w:r>
    </w:p>
    <w:p>
      <w:pPr>
        <w:spacing w:after="0" w:line="189" w:lineRule="exact"/>
        <w:rPr>
          <w:sz w:val="20"/>
          <w:szCs w:val="20"/>
          <w:color w:val="auto"/>
        </w:rPr>
      </w:pPr>
    </w:p>
    <w:p>
      <w:pPr>
        <w:ind w:left="120" w:right="180" w:firstLine="440"/>
        <w:spacing w:after="0" w:line="207" w:lineRule="auto"/>
        <w:rPr>
          <w:sz w:val="20"/>
          <w:szCs w:val="20"/>
          <w:color w:val="auto"/>
        </w:rPr>
      </w:pPr>
      <w:r>
        <w:rPr>
          <w:rFonts w:ascii="Times New Roman" w:cs="Times New Roman" w:eastAsia="Times New Roman" w:hAnsi="Times New Roman"/>
          <w:sz w:val="18"/>
          <w:szCs w:val="18"/>
          <w:color w:val="auto"/>
        </w:rPr>
        <w:t>This prospectus includes trademarks, such as Bread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Financial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Cashback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Rewards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Bread Pay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Bread Savings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which are protected under applicable intellectual property laws and are the property of Bread Financial Holdings, Inc. or our subsidiaries. This report also contains trademarks, service marks, copyrights and trade names of other companies, which are the property of their respective owners. Solely for convenience, our trademarks and trade names referred to in this report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in accordance with these requirements, we file reports and other information relating to our business, financial condition and other matters with the SEC. We are required to disclose in such reports certain information, as of particular dates, concerning our results of operations and financial condition, executive officers and directors, principal holders of shares, material interests of such persons in transactions with us and other matters. The SEC maintains a website that contains reports and other information regarding registrants that file electronically with the SEC, including the registration statement to which this prospectus relates. The address of that website is www.sec.gov.</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website is www.breadfinancial.com. Our SEC filings are available free of charge on our website as soon as reasonably practicable after they are electronically filed or furnished to the SEC. You may access these SEC filings on our website. However, other than any documents expressly incorporated by reference in this prospectus or any applicable prospectus supplement, the information on, or accessible through, our website or any other website that is referred to in this prospectus is not part of this prospectus or any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prospectus, which means that we can disclose important information to you by referring to those documents we file with the SEC. Any information incorporated this way is considered to be part of this prospectus, and any information that we file later with the SEC will automatically update and, in some cases, supersede the information contained or incorporated by reference herein.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w:t>
      </w:r>
      <w:hyperlink r:id="rId97">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filed with the SEC on February 14, 2025;</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filed with the SEC on </w:t>
      </w:r>
      <w:hyperlink r:id="rId98">
        <w:r>
          <w:rPr>
            <w:rFonts w:ascii="Times New Roman" w:cs="Times New Roman" w:eastAsia="Times New Roman" w:hAnsi="Times New Roman"/>
            <w:sz w:val="18"/>
            <w:szCs w:val="18"/>
            <w:u w:val="single" w:color="auto"/>
            <w:color w:val="0000EE"/>
          </w:rPr>
          <w:t>April 2,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99">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1">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29, 2025, July 29, 2025 and October 28, 2025, respectively;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6" w:lineRule="auto"/>
        <w:tabs>
          <w:tab w:leader="none" w:pos="1080" w:val="left"/>
        </w:tabs>
        <w:numPr>
          <w:ilvl w:val="0"/>
          <w:numId w:val="26"/>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102">
        <w:r>
          <w:rPr>
            <w:rFonts w:ascii="Times New Roman" w:cs="Times New Roman" w:eastAsia="Times New Roman" w:hAnsi="Times New Roman"/>
            <w:sz w:val="18"/>
            <w:szCs w:val="18"/>
            <w:u w:val="single" w:color="auto"/>
            <w:color w:val="0000EE"/>
          </w:rPr>
          <w:t>January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 8.01 of the first report filed on </w:t>
      </w:r>
      <w:hyperlink r:id="rId103">
        <w:r>
          <w:rPr>
            <w:rFonts w:ascii="Times New Roman" w:cs="Times New Roman" w:eastAsia="Times New Roman" w:hAnsi="Times New Roman"/>
            <w:sz w:val="18"/>
            <w:szCs w:val="18"/>
            <w:color w:val="auto"/>
          </w:rPr>
          <w:t xml:space="preserve">such date); </w:t>
        </w:r>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color w:val="auto"/>
          </w:rPr>
          <w:t xml:space="preserve"> (but only with respect to Item 8.01); </w:t>
        </w:r>
        <w:r>
          <w:rPr>
            <w:rFonts w:ascii="Times New Roman" w:cs="Times New Roman" w:eastAsia="Times New Roman" w:hAnsi="Times New Roman"/>
            <w:sz w:val="18"/>
            <w:szCs w:val="18"/>
            <w:u w:val="single" w:color="auto"/>
            <w:color w:val="0000EE"/>
          </w:rPr>
          <w:t>March 6, 2025</w:t>
        </w:r>
        <w:r>
          <w:rPr>
            <w:rFonts w:ascii="Times New Roman" w:cs="Times New Roman" w:eastAsia="Times New Roman" w:hAnsi="Times New Roman"/>
            <w:sz w:val="18"/>
            <w:szCs w:val="18"/>
            <w:color w:val="auto"/>
          </w:rPr>
          <w:t xml:space="preserve"> (but only with respect to Items 1.01 and 8.01); </w:t>
        </w:r>
        <w:r>
          <w:rPr>
            <w:rFonts w:ascii="Times New Roman" w:cs="Times New Roman" w:eastAsia="Times New Roman" w:hAnsi="Times New Roman"/>
            <w:sz w:val="18"/>
            <w:szCs w:val="18"/>
            <w:u w:val="single" w:color="auto"/>
            <w:color w:val="0000EE"/>
          </w:rPr>
          <w:t>March 10,</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(but only with respect to Items 1.01 and 2.03);</w:t>
        </w:r>
        <w:r>
          <w:rPr>
            <w:rFonts w:ascii="Times New Roman" w:cs="Times New Roman" w:eastAsia="Times New Roman" w:hAnsi="Times New Roman"/>
            <w:sz w:val="18"/>
            <w:szCs w:val="18"/>
            <w:color w:val="0000EE"/>
          </w:rPr>
          <w:t xml:space="preserve"> </w:t>
        </w:r>
      </w:hyperlink>
      <w:hyperlink r:id="rId104">
        <w:r>
          <w:rPr>
            <w:rFonts w:ascii="Times New Roman" w:cs="Times New Roman" w:eastAsia="Times New Roman" w:hAnsi="Times New Roman"/>
            <w:sz w:val="18"/>
            <w:szCs w:val="18"/>
            <w:u w:val="single" w:color="auto"/>
            <w:color w:val="0000EE"/>
          </w:rPr>
          <w:t xml:space="preserve">April 24, 2025 </w:t>
        </w:r>
      </w:hyperlink>
      <w:hyperlink r:id="rId103">
        <w:r>
          <w:rPr>
            <w:rFonts w:ascii="Times New Roman" w:cs="Times New Roman" w:eastAsia="Times New Roman" w:hAnsi="Times New Roman"/>
            <w:sz w:val="18"/>
            <w:szCs w:val="18"/>
            <w:color w:val="000000"/>
          </w:rPr>
          <w:t>(but only with respect to Item 8.01 of the first report filed on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date); </w:t>
      </w:r>
      <w:hyperlink r:id="rId105">
        <w:r>
          <w:rPr>
            <w:rFonts w:ascii="Times New Roman" w:cs="Times New Roman" w:eastAsia="Times New Roman" w:hAnsi="Times New Roman"/>
            <w:sz w:val="18"/>
            <w:szCs w:val="18"/>
            <w:u w:val="single" w:color="auto"/>
            <w:color w:val="0000EE"/>
          </w:rPr>
          <w:t>May 14, 2025</w:t>
        </w:r>
      </w:hyperlink>
      <w:r>
        <w:rPr>
          <w:rFonts w:ascii="Times New Roman" w:cs="Times New Roman" w:eastAsia="Times New Roman" w:hAnsi="Times New Roman"/>
          <w:sz w:val="18"/>
          <w:szCs w:val="18"/>
          <w:color w:val="000000"/>
        </w:rPr>
        <w:t xml:space="preserve">; </w:t>
      </w:r>
      <w:hyperlink r:id="rId106">
        <w:r>
          <w:rPr>
            <w:rFonts w:ascii="Times New Roman" w:cs="Times New Roman" w:eastAsia="Times New Roman" w:hAnsi="Times New Roman"/>
            <w:sz w:val="18"/>
            <w:szCs w:val="18"/>
            <w:u w:val="single" w:color="auto"/>
            <w:color w:val="0000EE"/>
          </w:rPr>
          <w:t>May 21, 2025</w:t>
        </w:r>
      </w:hyperlink>
      <w:r>
        <w:rPr>
          <w:rFonts w:ascii="Times New Roman" w:cs="Times New Roman" w:eastAsia="Times New Roman" w:hAnsi="Times New Roman"/>
          <w:sz w:val="18"/>
          <w:szCs w:val="18"/>
          <w:color w:val="000000"/>
        </w:rPr>
        <w:t xml:space="preserve">; </w:t>
      </w:r>
      <w:hyperlink r:id="rId107">
        <w:r>
          <w:rPr>
            <w:rFonts w:ascii="Times New Roman" w:cs="Times New Roman" w:eastAsia="Times New Roman" w:hAnsi="Times New Roman"/>
            <w:sz w:val="18"/>
            <w:szCs w:val="18"/>
            <w:u w:val="single" w:color="auto"/>
            <w:color w:val="0000EE"/>
          </w:rPr>
          <w:t>June 5, 2025</w:t>
        </w:r>
      </w:hyperlink>
      <w:r>
        <w:rPr>
          <w:rFonts w:ascii="Times New Roman" w:cs="Times New Roman" w:eastAsia="Times New Roman" w:hAnsi="Times New Roman"/>
          <w:sz w:val="18"/>
          <w:szCs w:val="18"/>
          <w:color w:val="000000"/>
        </w:rPr>
        <w:t xml:space="preserve">; </w:t>
      </w:r>
      <w:hyperlink r:id="rId108">
        <w:r>
          <w:rPr>
            <w:rFonts w:ascii="Times New Roman" w:cs="Times New Roman" w:eastAsia="Times New Roman" w:hAnsi="Times New Roman"/>
            <w:sz w:val="18"/>
            <w:szCs w:val="18"/>
            <w:u w:val="single" w:color="auto"/>
            <w:color w:val="0000EE"/>
          </w:rPr>
          <w:t>July 24,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the first report and Item 8.01 of the second report filed on such date); </w:t>
      </w:r>
      <w:hyperlink r:id="rId109">
        <w:r>
          <w:rPr>
            <w:rFonts w:ascii="Times New Roman" w:cs="Times New Roman" w:eastAsia="Times New Roman" w:hAnsi="Times New Roman"/>
            <w:sz w:val="18"/>
            <w:szCs w:val="18"/>
            <w:u w:val="single" w:color="auto"/>
            <w:color w:val="0000EE"/>
          </w:rPr>
          <w:t>August 7, 2025</w:t>
        </w:r>
      </w:hyperlink>
      <w:r>
        <w:rPr>
          <w:rFonts w:ascii="Times New Roman" w:cs="Times New Roman" w:eastAsia="Times New Roman" w:hAnsi="Times New Roman"/>
          <w:sz w:val="18"/>
          <w:szCs w:val="18"/>
          <w:color w:val="000000"/>
        </w:rPr>
        <w:t xml:space="preserve">; </w:t>
      </w:r>
      <w:hyperlink r:id="rId110">
        <w:r>
          <w:rPr>
            <w:rFonts w:ascii="Times New Roman" w:cs="Times New Roman" w:eastAsia="Times New Roman" w:hAnsi="Times New Roman"/>
            <w:sz w:val="18"/>
            <w:szCs w:val="18"/>
            <w:u w:val="single" w:color="auto"/>
            <w:color w:val="0000EE"/>
          </w:rPr>
          <w:t>August 22, 2025</w:t>
        </w:r>
      </w:hyperlink>
      <w:r>
        <w:rPr>
          <w:rFonts w:ascii="Times New Roman" w:cs="Times New Roman" w:eastAsia="Times New Roman" w:hAnsi="Times New Roman"/>
          <w:sz w:val="18"/>
          <w:szCs w:val="18"/>
          <w:color w:val="000000"/>
        </w:rPr>
        <w:t xml:space="preserve">; </w:t>
      </w:r>
      <w:hyperlink r:id="rId111">
        <w:r>
          <w:rPr>
            <w:rFonts w:ascii="Times New Roman" w:cs="Times New Roman" w:eastAsia="Times New Roman" w:hAnsi="Times New Roman"/>
            <w:sz w:val="18"/>
            <w:szCs w:val="18"/>
            <w:u w:val="single" w:color="auto"/>
            <w:color w:val="0000EE"/>
          </w:rPr>
          <w:t>October 23,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 8.01); </w:t>
      </w:r>
      <w:hyperlink r:id="rId112">
        <w:r>
          <w:rPr>
            <w:rFonts w:ascii="Times New Roman" w:cs="Times New Roman" w:eastAsia="Times New Roman" w:hAnsi="Times New Roman"/>
            <w:sz w:val="18"/>
            <w:szCs w:val="18"/>
            <w:u w:val="single" w:color="auto"/>
            <w:color w:val="0000EE"/>
          </w:rPr>
          <w:t>October 28, 2025</w:t>
        </w:r>
      </w:hyperlink>
      <w:r>
        <w:rPr>
          <w:rFonts w:ascii="Times New Roman" w:cs="Times New Roman" w:eastAsia="Times New Roman" w:hAnsi="Times New Roman"/>
          <w:sz w:val="18"/>
          <w:szCs w:val="18"/>
          <w:color w:val="000000"/>
        </w:rPr>
        <w:t xml:space="preserve"> (but only with respect to Item 8.01); and </w:t>
      </w:r>
      <w:hyperlink r:id="rId113">
        <w:r>
          <w:rPr>
            <w:rFonts w:ascii="Times New Roman" w:cs="Times New Roman" w:eastAsia="Times New Roman" w:hAnsi="Times New Roman"/>
            <w:sz w:val="18"/>
            <w:szCs w:val="18"/>
            <w:u w:val="single" w:color="auto"/>
            <w:color w:val="0000EE"/>
          </w:rPr>
          <w:t>October 29,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 8.01).</w:t>
      </w:r>
    </w:p>
    <w:p>
      <w:pPr>
        <w:spacing w:after="0" w:line="187" w:lineRule="exact"/>
        <w:rPr>
          <w:rFonts w:ascii="Times New Roman" w:cs="Times New Roman" w:eastAsia="Times New Roman" w:hAnsi="Times New Roman"/>
          <w:sz w:val="18"/>
          <w:szCs w:val="18"/>
          <w:color w:val="000000"/>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 this prospectus any future filings that we make with the SEC under 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w:t>
      </w:r>
    </w:p>
    <w:p>
      <w:pPr>
        <w:spacing w:after="0" w:line="180" w:lineRule="exact"/>
        <w:rPr>
          <w:rFonts w:ascii="Times New Roman" w:cs="Times New Roman" w:eastAsia="Times New Roman" w:hAnsi="Times New Roman"/>
          <w:sz w:val="18"/>
          <w:szCs w:val="18"/>
          <w:color w:val="000000"/>
        </w:rPr>
      </w:pPr>
    </w:p>
    <w:p>
      <w:pPr>
        <w:ind w:left="560"/>
        <w:spacing w:after="0"/>
        <w:rPr>
          <w:sz w:val="20"/>
          <w:szCs w:val="20"/>
          <w:color w:val="auto"/>
        </w:rPr>
      </w:pPr>
      <w:r>
        <w:rPr>
          <w:rFonts w:ascii="Times New Roman" w:cs="Times New Roman" w:eastAsia="Times New Roman" w:hAnsi="Times New Roman"/>
          <w:sz w:val="18"/>
          <w:szCs w:val="18"/>
          <w:color w:val="auto"/>
        </w:rPr>
        <w:t>Upon your oral or written request, we will provide you with a copy of any of these filings at no cost. Requests should be directed to:</w:t>
      </w:r>
    </w:p>
    <w:p>
      <w:pPr>
        <w:spacing w:after="0" w:line="200" w:lineRule="exact"/>
        <w:rPr>
          <w:rFonts w:ascii="Times New Roman" w:cs="Times New Roman" w:eastAsia="Times New Roman" w:hAnsi="Times New Roman"/>
          <w:sz w:val="18"/>
          <w:szCs w:val="18"/>
          <w:color w:val="000000"/>
        </w:rPr>
      </w:pPr>
    </w:p>
    <w:p>
      <w:pPr>
        <w:spacing w:after="0" w:line="237"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BREAD FINANCIAL HOLDINGS, INC.</w:t>
      </w:r>
    </w:p>
    <w:p>
      <w:pPr>
        <w:spacing w:after="0" w:line="31"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3905 Loyalty Circle</w:t>
      </w:r>
    </w:p>
    <w:p>
      <w:pPr>
        <w:spacing w:after="0" w:line="9"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Columbus, Ohio 43219</w:t>
      </w:r>
    </w:p>
    <w:p>
      <w:pPr>
        <w:spacing w:after="0" w:line="9"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(614) 729-4000</w:t>
      </w:r>
    </w:p>
    <w:p>
      <w:pPr>
        <w:spacing w:after="0" w:line="207" w:lineRule="exact"/>
        <w:rPr>
          <w:rFonts w:ascii="Times New Roman" w:cs="Times New Roman" w:eastAsia="Times New Roman" w:hAnsi="Times New Roman"/>
          <w:sz w:val="18"/>
          <w:szCs w:val="18"/>
          <w:color w:val="000000"/>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You may also obtain copies of these filings, at no cost, by accessing the SEC Filings section of our website at investor.breadfinancial.com; however, the information found on our website is not considered part of, or incorporated by reference in, this prospectus.</w:t>
      </w:r>
    </w:p>
    <w:p>
      <w:pPr>
        <w:spacing w:after="0" w:line="72" w:lineRule="exact"/>
        <w:rPr>
          <w:rFonts w:ascii="Times New Roman" w:cs="Times New Roman" w:eastAsia="Times New Roman" w:hAnsi="Times New Roman"/>
          <w:sz w:val="18"/>
          <w:szCs w:val="18"/>
          <w:color w:val="000000"/>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a tech-forward financial services company that provides simple, personalized payment, lending, and saving solutions to millions of U.S. consumers. Our payment solutions, including Bread Financial general purpose credit cards and savings products, empower our customers and their passions for a better life. Additionally, we deliver growth for some of the most recognized brands in travel and entertainment, health and beauty, jewelry and specialty apparel through our private label and co-brand credit cards and pay-over-time products providing choice and value to our shared customers.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continued to diversify our product mix with our brand partners through growth of our co-brand credit card programs, which, relative to our private label credit card programs, have higher credit sales per account and an improved credit risk mix that generally results in higher transactor balances, lower delinquencies and late fees, as well as lower losses. We also offer our proprietary credit cards along with the expansion of our Bread Pay products, which are our installment loans and “split-pay” offerings.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partner base consists of large consumer-based businesses, including well-known brands such as (alphabetically) AAA, Academy Sports + Outdoors, Caesars, Dell Technologies, Hard Rock International, the NFL, Saks Fifth Avenue, Signet, Ulta and Victoria’s Secret, as well as small- and medium-sized businesses (SMBs). Our partner base is well diversified across a broad range of industries and retail verticals, including travel and entertainment, health and beauty, jewelry, sporting goods, technology and electronics, home and the industry in which we first began, specialty apparel. We believe our comprehensive suite of payment, lending and saving solutions, along with our related marketing and data and analytics, offers us a significant competitive advantage with products relevant across all customer segments (Gen Z, Millennial, Gen X and Baby Boomers). The breadth and quality of our product and service offerings, coupled with our customer-centric approach, have enabled us to establish and maintain long-standing partner relationships. We operate our business through a single reportable segment, with our primary source of revenue being from Interest and fees on loans from our various credit card and other loan products, and to a lesser extent from contractual relationships with our brand partners.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900" w:firstLine="440"/>
        <w:spacing w:after="0" w:line="312" w:lineRule="auto"/>
        <w:rPr>
          <w:sz w:val="20"/>
          <w:szCs w:val="20"/>
          <w:color w:val="auto"/>
        </w:rPr>
      </w:pPr>
      <w:r>
        <w:rPr>
          <w:rFonts w:ascii="Times New Roman" w:cs="Times New Roman" w:eastAsia="Times New Roman" w:hAnsi="Times New Roman"/>
          <w:sz w:val="17"/>
          <w:szCs w:val="17"/>
          <w:color w:val="auto"/>
        </w:rPr>
        <w:t>Our principal offices are located at 3095 Loyalty Circle, Columbus, Ohio 43219 (telephone: (614) 729-4000). Our principal website is www.breadfinancial.com. The information found on our website is not considered part of, or incorporated by reference in, this prospectus.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Investing in securities to which this prospectus relates involves risks. Before deciding to purchase any of the securities to which this prospectus relates, you should carefully consider the discussion of risks and uncertainties under the heading “Item 1A. Risk Factors” in our most recent Annual Report on Form 10-K and under similar headings in our subsequent Quarterly Reports on Form 10-Q, as well as the other risks and uncertainties described in any other documents incorporated by reference in this prospectus or in any applicable prospectus supplement. See the section entitled “Where You Can Find More Information” in this prospectus.</w:t>
      </w:r>
    </w:p>
    <w:p>
      <w:pPr>
        <w:spacing w:after="0" w:line="1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NOTES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in this prospectus, and any applicable prospectus supplement, contain forward-looking statements within the meaning of Section 27A of the Securities Act of 1933, as amended, and Section 21E of the Securities Exchange Act of 1934, as amended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or stock repurchases and future economic conditions.</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prospectus, and no assurances can be given that our expectations will prove to have been correct. Factors that could cause the outcomes to differ materially include, but are not limited to, the following: macroeconomic conditions, including market conditions, inflation, interest rates, labor market conditions, recessionary pressures or concerns over a prolonged economic slowdown, and the related impact on consumer spending behavior, payments, debt levels, savings rates and other behaviors; global political and public health events and conditions, including significant shifts in trade policy, such as changes to, or the imposition of, tariffs and/or trade barriers and any economic impacts, volatility, uncertainty and geopolitical instability resulting therefrom, as well as ongoing wars and military conflicts and natural disasters; future credit performance of our customers, including the level of future delinquency and charge-off rates; loss of, or reduction in demand for services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increases or volatility in the Allowance for credit losses that may result from the application of the current expected credit loss (CECL) model; inaccuracies in the models and estimates on which we rely, including the amount of our Allowance for credit losses and our credit risk management models;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our results are dependent upon our brand partners, including our brand partners’ financial performance and reputation, as well as the effective promotion and support of our products by brand partners; increases in the cost of doing business, including market interest rates; our level of indebtedness and inability to access financial or capital markets, including asset-backed securitization funding or deposits markets; restrictions that limit the ability of the Banks, to pay dividends to us; pending and future litigation; pending and future federal, state, local and foreign legislation, regulation, supervisory guidance and regulatory and legal actions including, but not limited to, those related to financial regulatory reform and consumer financial services practices, as well as any such actions with respect to late fees, interchange fees or other charges; increases in regulatory capital requirements or other support for our Banks; impacts arising from or relating to the transition of our credit card processing services to third party service providers that we completed in 2022; failures or breaches in our operational or security systems, including as a result of cyberattacks, unanticipated impacts from technology modernization projects, failure of our information security controls or otherwise; loss of consumer information or other data due to compromised physical or cyber security, including disruptive attacks from financially motivated bad actors and third party supply chain issues; any tax or other liability or adverse impacts arising out of or related to the spinoff of our former LoyaltyOne segment or the bankruptcy filings of Loyalty Ventures Inc. (LVI) and certain of its subsidiaries and subsequent litigation or other disputes; and those factors identified in our filings with the SEC, including in the “Risk Factors” and “Management’s Discussion and</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Analysis of Financial Condition and Results of Operations” sections of our Annual Report on Form 10-K for the year ended December 31, 2024 and our subsequent Quarterly Reports on Form 10-Q or Current Reports on Form 8-K for a further description of these and other factors.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You should not consider any list of such factors to be an exhaustive statement of all of the risks, uncertainties, or potentially inaccurate assumptions that could cause our current expectations or beliefs to change.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if our underlying assumptions prove to be incorrect, actual results may vary materially from what we projected.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forward-looking statements contained in this prospectus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stated in any applicable prospectus supplement, we will use the net proceeds from the sale of any securities that may be offered hereby for general corporate purposes. General corporate purposes may include, but are not limited to, increasing our liquidity, reducing or refinancing our indebtedness or the indebtedness of one or more of our subsidiaries, funding our operations, financing loans, financing acquisitions and repurchasing or redeeming outstanding debt and equity securities. Pending such use, any net proceeds may be invested temporarily in short-term, interest-bearing, investment-grade securities and/or similar assets as we may determine.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under this prospectus offer shares of preferred stock; depositary shares; and any combination of the foregoing, either individually or as units consisting of two securities. The following description of the terms of the securities we may offer under this prospectus sets forth some general terms and provisions of these securities. The particular terms of securities offered by us under this prospectus and the extent, if any, to which the general terms set forth in this prospectus do not apply to those securities will be described in one or more prospectus supplements. To the extent the information contained in any applicable prospectus supplement differs from the general description set forth in this prospectus, you should rely on the information in that prospectus supplement.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only registering shares of preferred stock. However, we have provided below a summary description of our capital stock, including both common and preferred stock. This description does not purport to be complete and is qualified in its entirety by reference to the full text of our third amended and restated certificate of incorporation (our “certificate of incorporation”) and amended and restated bylaws (our “bylaws”). You should read the full text of our certificate of incorporation and bylaws, as well as the applicable provisions of the General Corporation Law of the State of Delaware (the “DGCL”).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References in this section to “we,” “us” and “our” refer to BREAD FINANCIAL HOLDINGS, INC. and not to any of its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our certificate of incorporation, we have authority to issue (i) 200,000,000 shares of common stock, par value $0.01 per share, and (ii) 19,880,000 shares of preferred stock, par value $0.01 per share. As of October 22, 2025, we had 45,661,601 shares of common stock outstanding, and no shares of preferred stock outstanding.</w:t>
      </w:r>
    </w:p>
    <w:p>
      <w:pPr>
        <w:spacing w:after="0" w:line="280" w:lineRule="exact"/>
        <w:rPr>
          <w:sz w:val="20"/>
          <w:szCs w:val="20"/>
          <w:color w:val="auto"/>
        </w:rPr>
      </w:pPr>
    </w:p>
    <w:p>
      <w:pPr>
        <w:jc w:val="right"/>
        <w:ind w:right="98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jc w:val="right"/>
        <w:ind w:right="978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shares of preferred stock that may be issued and outstanding, each share of common stock entitles the holder to one vote per share on all matters submitted to a vote of stockholders. Holders of shares of common stock do not have cumulative voting rights in the election of directors.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Holders of shares of common stock are entitled to receive dividends when, as and if declared by our board of directors out of funds legally available for their payment, subject to the rights of holders of any shares of preferred stock that may be issued and outstanding and to restrictions contained in agreements to which we are a party.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of the liquidation or dissolution of us, whether voluntary or involuntary, holders of shares of common stock will be entitled to receive all assets of us available for distribution to stockholders, subject to the rights of any then outstanding shares of preferred stock. Holders of shares of common stock are not entitled to preemptive, conversion or redemption rights and there are no sinking fund provisions applicable to shares of our common stock. All outstanding shares of common stock are fully paid and non-assessable.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“BFH.”</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Investor Services.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the authority, without stockholder approval, to issue preferred stock in one or more series and to fix the preferences, limitations and rights of the shares of each series, including: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rights;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liquidation preferences.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DGCL, FDIC Regulations and Our Certificate of Incorporation and Bylaws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DGCL, FDIC regulations and our certificate of incorporation and bylaws contain provisions that may delay, deter, prevent or render more difficult a takeover attempt that our stockholders might consider to be in their best interests. Even in the absence of a takeover attempt, these provisions may also adversely affect the prevailing market price for our common stock if they are viewed as limiting the liquidity of our common stock or discouraging takeover attempts in the future.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FDIC Requirements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Because Comenity Bank and Comenity Capital Bank are “insured depository institutions” within the meaning of the Federal Deposit Insurance Act and the Change in Bank Control Act of 1978, an individual or entity is generally required, pursuant to the Change in Bank Control Act and the FDIC’s implementing regulations, to provide 60 days’ prior notice to the FDIC before acquiring, either acting alone or in concert with others, 25% or more of any class of our voting stock or otherwise acquiring control of us. An individual or entity is presumed to control us, and therefore generally required to provide 60 days’ prior notice to the FDIC, if the individual or entity, either acting alone or in concert with others, acquires 10% or more of any class of our voting stock, although the individual or entity may seek to rebut this presumption of control based on the facts.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Common and Preferred Stock</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existence of authorized and unissued common and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common stock they own at prices higher than prevailing market prices.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subject to the rights of the holders of any series of preferred stock, any director or the entire board of directors may be removed at any time with or without cause by the affirmative vote of the holders of a majority in voting power of our outstanding common stock entitled to vote thereon.</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may be effected at a duly called annual or special meeting of such holders or may be effected by any consent in writing by such 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also provides that, except as required by law and subject to the rights of any holders of preferred stock, special meetings of our stockholders for any purpose or purposes may be called only (i) by our Chief Executive Officer or President or (ii) by our corporate secretary pursuant to a resolution adopted by a majority of the Board stating the purpose or purposes of the proposed meeting. These provisions may have the effect of delaying consideration of a stockholder proposal until the next annual meeting.</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Nominations of Directors or Other Stockholder Proposals; Proxy Access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require stockholders seeking to nominate persons for election as directors at an annual or special meeting of stockholders, or to bring other business before an annual or special meeting (other than a matter brought under Rule 14a-8 under the Exchange Act), to provide timely notice in writing. To be timely, a stockholder’s notice generally must be delivered to our corporate secretary, in the case of an annual meeting, not later than the close of business on the 120th day, nor earlier than the opening of business on the 150th day, prior to the anniversary date of the immediately preceding annual meeting of stockholders. However, if the annual meeting is called for a date that is more than 30 days before or more than 60 days after such anniversary date, or in the case of a special meeting called for the purpose of electing directors, to be timely, a stockholder’s notice must be received by our corporate secretary not earlier than the opening of business on the 150th day before the meeting and not later than the later of the close of business on the 120th day prior to such meeting or the close of business on the 10th day following the day on which public announcement is first made by us of the date of such meeting.</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stockholder’s notice to our corporate secretary must be in proper written form and must set forth information related to the stockholder giving the notice and the beneficial owner (if any) on whose behalf the nomination is made, including:</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record address of the stockholder and the beneficial owner;</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as to the ownership by the stockholder and the beneficial owner of our capital stock, including class or series and number of shares owned, derivative instruments, short positions and related information;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(other than a revocable proxy or consent given in response to a solicitation made pursuant to Section 14(a) of the Exchange Act by way of a solicitation statement filed on Schedule 14A), contract, arrangement, understanding or relationship pursuant to which such stockholder and the beneficial owner as a right to vote any shares.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to each person whom the stockholder proposes to nominate for election as a director, the notice shall include, among other information, the following: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person;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person;</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that are owned of record or are directly or indirectly owned beneficially by the person;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instruments directly or indirectly owned beneficially by such nominee and any other direct or indirect opportunity to profit or share in any profit derived from any increase or decrease in the value of shares of Bread;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As to any other business that the stockholder proposes to bring before the meeting, the notice shall include, among other information, the following:</w:t>
      </w:r>
    </w:p>
    <w:p>
      <w:pPr>
        <w:spacing w:after="0" w:line="67" w:lineRule="exact"/>
        <w:rPr>
          <w:sz w:val="20"/>
          <w:szCs w:val="20"/>
          <w:color w:val="auto"/>
        </w:rPr>
      </w:pPr>
    </w:p>
    <w:p>
      <w:pPr>
        <w:jc w:val="both"/>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 the text of the proposal or business (including the complete text of any resolutions or bylaw amendment proposed for consideration), the reasons for conducting the business at the meeting and any material interest in such business of such stockholder and beneficial owner on whose behalf the proposal is made;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the stockholder and beneficial owner and any other person or persons acting in concert with them in connection with the proposal.</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bylaws also have proxy access procedures for stockholders to make nominations of candidates for election for directors at our annual meeting of stockholders.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another forum, the Court of Chancery of the State of Delaware shall, to the fullest extent permitted by law, be the sole and exclusive forum for: (i) any derivative action or proceeding brought on our behalf, (ii) any action asserting a claim of breach of fiduciary duty owed by any director, officer or employee to us or our stockholders, (iii) any action asserting a claim pursuant to the DGCL or (iv) any action asserting a claim governed by the internal affairs doctrine. Our bylaws further provide that, to the fullest extent permitted by law, any person or entity purchasing or otherwise acquiring or holding any interest in shares of our capital stock shall be deemed to have notice of and to have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the DGCL as it now exists or may hereafter be amended, none of our directors will be personally liable to us or our stockholders for monetary damages for breach of fiduciary duty as a director. Under the DGCL as it now reads, such limitation of liability is not permitted:</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or officer’s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for payments of unlawful dividends or unlawful stock purchases or redemptions under Section 174 of the DGCL;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officers, in any action by or in right of the corporation.</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if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each person who was or is made a party or is threatened to be made a party to or is involved in any action, suit or proceeding, whether civil, criminal, administrative, arbitrative or investigative, by reason of the fact that such person, or a person of whom such person is or was a director, officer, employee or agent of us, or is or was serving at our request as a director, officer, partner, venturer, proprietor, trustee, employee, agent or similar functionary of another corporation, partnership, joint venture, sole proprietorship, trust, nonprofit entity, employee benefit plan or other enterprise, will be indemnified and held harmless by us to the fullest extent authorized by the DGCL against all judgments, penalties (including excise and similar taxes), fines, settlements and expenses (including attorneys’ fees and court costs) actually and reasonably incurred by such person in connection therewith. Our certificate of incorporation also provides that, with respect to directors and officers, we will pay the expenses incurred in defending any such proceeding in advance of its final disposition, subject to the provisions of the DGCL. These rights are not exclusive of any other right that any person may be entitled under any law, bylaw, agreement, vote of stockholders or disinterested directors or otherwise. Any repeal or amendment of these provisions or by changes in applicable law shall, to the extent permitted by applicable law, be prospective only, and not adversely affect the indemnification of any person who may be indemnified at the time of such repeal or amendment. Our certificate of incorporation also specifically authorizes us to grant similar indemnification rights to our employees or agents and our bylaws authorize us to maintain insurance on behalf of any person who is an officer, director, employee or agent.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does not exempt us from the application of Section 203 of the DGCL.</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Section 203 of the DGCL provides that, subject to exceptions set forth therein, an interested stockholder of a Delaware corporation shall not engage in any business combination, including mergers or consolidations or acquisitions of additional shares of the corporation from the corporation, with the corporation for a three-year period following the time that such stockholder became an interested stockholder unless:</w:t>
      </w:r>
    </w:p>
    <w:p>
      <w:pPr>
        <w:spacing w:after="0" w:line="81" w:lineRule="exact"/>
        <w:rPr>
          <w:sz w:val="20"/>
          <w:szCs w:val="20"/>
          <w:color w:val="auto"/>
        </w:rPr>
      </w:pPr>
    </w:p>
    <w:p>
      <w:pPr>
        <w:ind w:left="1080" w:right="1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otherwise set forth in Section 203 of the DGCL, an interested stockholder is defined to include:</w:t>
      </w:r>
    </w:p>
    <w:p>
      <w:pPr>
        <w:spacing w:after="0" w:line="131" w:lineRule="exact"/>
        <w:rPr>
          <w:sz w:val="20"/>
          <w:szCs w:val="20"/>
          <w:color w:val="auto"/>
        </w:rPr>
      </w:pPr>
    </w:p>
    <w:p>
      <w:pPr>
        <w:ind w:left="1080" w:right="6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affiliates and associates of any such person.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offer depositary receipts for depositary shares, each of which will represent a fractional interest in a share of a particular series of a class of our preferred stock, as described in any applicable prospectus supplement. Preferred stock of each series of each class represented by depositary shares will be deposited under a separate deposit agreement among us, the preferred stock depositary named in the deposit agreement and the holders from time to time of our depositary receipts. Subject to the terms of the deposit agreement, each owner of a depositary receipt will be entitled, in proportion to the fractional interest of a share of the particular series of a class of our preferred stock represented by the depositary shares evidenced by such depositary receipt, to all the rights and preferences of the preferred stock represented by those depositary shares (including dividend, voting, conversion, redemption and liquidation rights).</w:t>
      </w:r>
    </w:p>
    <w:p>
      <w:pPr>
        <w:spacing w:after="0" w:line="18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applicable deposit agreement. Immediately following our issuance and delivery of the preferred stock to the preferred stock depositary, we will cause the preferred stock depositary to issue, on our behalf, the depositary receipts.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description in any applicable prospectus supplement will not necessarily be complete, and reference will be made to the relevant deposit agreement and depositary receipts, which will be filed with the SEC. Copies of the applicable form of deposit agreement and depositary receipt may be obtained from us upon request.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sell the offered securities inside and outside the United States from time to time (a) through underwriters or dealers, (b) directly to one or more purchasers, including our affiliates, (c) through agents, or (d) through a combination of any of these methods. An applicable prospectus supplement will describe the terms of the offering of the applicable securities and the method of distribution of those securities, including the following information, if applicable:</w:t>
      </w:r>
    </w:p>
    <w:p>
      <w:pPr>
        <w:spacing w:after="0" w:line="85"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an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use underwriters in a sale, they will acquire the offered securities for their own account. The underwriters may resell the securities in one or more transactions, including negotiated transactions. These sales will be made at a fixed public offering price or at varying prices determined at the time of the sale.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the securities to which this prospectus relates to the public through an underwriting syndicate or through a single underwriter.</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any applicable prospectus supplement states otherwise, the obligations of the underwriters to purchase the offered securities will be subject to certain conditions contained in an underwriting agreement that we will enter into with the underwriters. The underwriters will be obligated to purchase all of the securities of the series offered if any of the securities are purchased, unless an applicable prospectus supplement says otherwise. Any initial public offering price and any discounts or concessions allowed, re-allowed or paid to dealers may be changed from time to time.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we use dealers in a sale of securities, we will sell the securities to them as principals. They may then resell those securities to the public at varying prices determined by the dealers at the time of resale. We will include in an applicable prospectus supplement the names of the dealers and the terms of the transaction.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may choose to sell the offered securities directly. In this case, no underwriters or agents would be involved. We may also sell the securities through agents we designate from time to time. In an applicable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prospectus supplement, we will name any agent involved in the offer or sale of the offered securities, and we will describe any commissions payable by us to the agent. Unless we inform you otherwise in an applicable prospectus supplement, any agent will agree to use its best efforts to solicit purchases for the period of its appointment.</w:t>
      </w:r>
    </w:p>
    <w:p>
      <w:pPr>
        <w:spacing w:after="0" w:line="176" w:lineRule="exact"/>
        <w:rPr>
          <w:sz w:val="20"/>
          <w:szCs w:val="20"/>
          <w:color w:val="auto"/>
        </w:rPr>
      </w:pPr>
    </w:p>
    <w:p>
      <w:pPr>
        <w:jc w:val="both"/>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an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we so indicate in an applicable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an applicable prospectus supplement. An applicable prospectus supplement will describe the commission payable for solicitation of those contracts.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have agreements with agents, underwriters, dealers and remarketing firms and each of their respective affiliates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Unless any applicable prospectus supplement states otherwise, each series of offered securities will be a new issue and will have no established trading market. We may elect to apply to list any series of offered securities on an exchange. Any underwriters that we use in the sale of offered securities may make a market in those securities, but may discontinue such market making at any time without notice. Therefore, we cannot assure you that the offered securities will have a liquid trading market.</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distribution of the securities offered under this prospectus, we may enter into swap or other hedging transactions with, or arranged by, underwriters or agents or their affiliates, which may include short sales of the securities by counterparties or option, forward or other types of transactions that require delivery of securities to a counterparty, who may resell or transfer the securities offered under this prospectus.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Underwriters and others who are deemed to be underwriters under the Securities Act may engage in transactions that stabilize, maintain or otherwise affect the price of the securities, including the entry of stabilizing bids or syndicate covering transactions or the imposition of penalty bids. Any such underwriters and distribution participants may be subject to applicable provisions of the Exchange Act and the associated rules and regulations under the Exchange Act, including Regulation M, which provisions may limit the timing of purchases and sales of shares by the selling securityholders. Furthermore, under Regulation M, persons engaged in a distribution of securities are prohibited from simultaneously engaging in market making and certain other activities with respect to such securities for a specified period of time prior to the commencement of such distributions, subject to special exceptions or exemptions. In addition, the anti-manipulation rules under the Exchange Act may apply to sales of the securities in the market. All of these limitations may affect the marketability of the securities and the ability of any person to engage in market-making activities with respect to the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Davis Polk &amp; Wardwell LLP, New York, New York.</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Bread Financial Holdings, Inc. and its subsidiaries as of December 31, 2024 and 2023, and for each of the three years in the period ended December 31, 2024, incorporated by reference in this Prospectus, and the effectiveness of Bread Financial Holdings,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40"/>
          </w:cols>
          <w:pgMar w:left="320" w:top="455"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9"/>
          <w:szCs w:val="29"/>
          <w:b w:val="1"/>
          <w:bCs w:val="1"/>
          <w:color w:val="auto"/>
        </w:rPr>
        <w:t>BREAD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180975</wp:posOffset>
            </wp:positionV>
            <wp:extent cx="2040255" cy="299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204025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5"/>
          <w:szCs w:val="25"/>
          <w:b w:val="1"/>
          <w:bCs w:val="1"/>
          <w:color w:val="auto"/>
        </w:rPr>
        <w:t>            Depositary Shares</w:t>
      </w:r>
    </w:p>
    <w:p>
      <w:pPr>
        <w:spacing w:after="0" w:line="4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5"/>
          <w:szCs w:val="25"/>
          <w:b w:val="1"/>
          <w:bCs w:val="1"/>
          <w:color w:val="auto"/>
        </w:rPr>
        <w:t>Each Representing a 1/40th Interest in a Share of         % Fixed Rate Reset Non-Cumulative</w:t>
      </w:r>
    </w:p>
    <w:p>
      <w:pPr>
        <w:spacing w:after="0" w:line="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5"/>
          <w:szCs w:val="25"/>
          <w:b w:val="1"/>
          <w:bCs w:val="1"/>
          <w:color w:val="auto"/>
        </w:rPr>
        <w:t>Perpetual Preferred Stock, Series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705485</wp:posOffset>
            </wp:positionV>
            <wp:extent cx="1474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Bookrunners</w:t>
      </w:r>
    </w:p>
    <w:p>
      <w:pPr>
        <w:spacing w:after="0" w:line="9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Morgan Stanley</w:t>
      </w:r>
    </w:p>
    <w:p>
      <w:pPr>
        <w:spacing w:after="0" w:line="112"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Keefe, Bruyette &amp; Woods</w:t>
      </w:r>
    </w:p>
    <w:p>
      <w:pPr>
        <w:spacing w:after="0" w:line="3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2"/>
          <w:szCs w:val="22"/>
          <w:i w:val="1"/>
          <w:iCs w:val="1"/>
          <w:color w:val="auto"/>
        </w:rPr>
        <w:t>                       A Stifel Company</w:t>
      </w:r>
    </w:p>
    <w:p>
      <w:pPr>
        <w:spacing w:after="0" w:line="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1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9"/>
          <w:szCs w:val="29"/>
          <w:b w:val="1"/>
          <w:bCs w:val="1"/>
          <w:color w:val="auto"/>
        </w:rPr>
        <w:t>UBS Investment Bank</w:t>
      </w:r>
    </w:p>
    <w:p>
      <w:pPr>
        <w:spacing w:after="0" w:line="1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241300</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640"/>
      </w:cols>
      <w:pgMar w:left="320" w:top="455"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
      <w:numFmt w:val="bullet"/>
      <w:start w:val="1"/>
    </w:lvl>
  </w:abstractNum>
  <w:abstractNum w:abstractNumId="4">
    <w:nsid w:val="257130A3"/>
    <w:multiLevelType w:val="hybridMultilevel"/>
    <w:lvl w:ilvl="0">
      <w:lvlJc w:val="left"/>
      <w:lvlText w:val="•"/>
      <w:numFmt w:val="bullet"/>
      <w:start w:val="1"/>
    </w:lvl>
    <w:lvl w:ilvl="1">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Roman"/>
      <w:start w:val="5"/>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lowerRoman"/>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Roman"/>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lowerLetter"/>
      <w:start w:val="1"/>
    </w:lvl>
    <w:lvl w:ilvl="1">
      <w:lvlJc w:val="left"/>
      <w:lvlText w:val="(%2)"/>
      <w:numFmt w:val="lowerRoman"/>
      <w:start w:val="1"/>
    </w:lvl>
  </w:abstractNum>
  <w:abstractNum w:abstractNumId="19">
    <w:nsid w:val="54E49EB4"/>
    <w:multiLevelType w:val="hybridMultilevel"/>
    <w:lvl w:ilvl="0">
      <w:lvlJc w:val="left"/>
      <w:lvlText w:val="(%1)"/>
      <w:numFmt w:val="lowerLetter"/>
      <w:start w:val="2"/>
    </w:lvl>
  </w:abstractNum>
  <w:abstractNum w:abstractNumId="20">
    <w:nsid w:val="71F32454"/>
    <w:multiLevelType w:val="hybridMultilevel"/>
    <w:lvl w:ilvl="0">
      <w:lvlJc w:val="left"/>
      <w:lvlText w:val="(%1)"/>
      <w:numFmt w:val="lowerRoman"/>
      <w:start w:val="2"/>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Roman"/>
      <w:start w:val="2"/>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jpe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114" Type="http://schemas.openxmlformats.org/officeDocument/2006/relationships/image" Target="media/image75.png"/><Relationship Id="rId115" Type="http://schemas.openxmlformats.org/officeDocument/2006/relationships/image" Target="media/image76.png"/><Relationship Id="rId116" Type="http://schemas.openxmlformats.org/officeDocument/2006/relationships/image" Target="media/image77.png"/><Relationship Id="rId117" Type="http://schemas.openxmlformats.org/officeDocument/2006/relationships/image" Target="media/image78.png"/><Relationship Id="rId118" Type="http://schemas.openxmlformats.org/officeDocument/2006/relationships/image" Target="media/image79.png"/><Relationship Id="rId119" Type="http://schemas.openxmlformats.org/officeDocument/2006/relationships/image" Target="media/image80.png"/><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jpe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72" Type="http://schemas.openxmlformats.org/officeDocument/2006/relationships/hyperlink" Target="http://www.sec.gov/ix?doc=/Archives/edgar/data/1101215/000110121526000016/bfh-20251231.htm" TargetMode="External"/><Relationship Id="rId73" Type="http://schemas.openxmlformats.org/officeDocument/2006/relationships/hyperlink" Target="http://www.sec.gov/ix?doc=/Archives/edgar/data/1101215/000110121526000040/bfh-20260331.htm" TargetMode="External"/><Relationship Id="rId74" Type="http://schemas.openxmlformats.org/officeDocument/2006/relationships/hyperlink" Target="http://www.sec.gov/ix?doc=/Archives/edgar/data/1101215/000110121526000074/bfh-20260630.htm" TargetMode="External"/><Relationship Id="rId75" Type="http://schemas.openxmlformats.org/officeDocument/2006/relationships/hyperlink" Target="http://www.sec.gov/ix?doc=/Archives/edgar/data/1101215/000119312526144512/bfh-20260406.htm" TargetMode="External"/><Relationship Id="rId76" Type="http://schemas.openxmlformats.org/officeDocument/2006/relationships/hyperlink" Target="http://www.sec.gov/ix?doc=/Archives/edgar/data/1101215/000110121526000007/bfh-20260129.htm" TargetMode="External"/><Relationship Id="rId77" Type="http://schemas.openxmlformats.org/officeDocument/2006/relationships/hyperlink" Target="http://www.sec.gov/ix?doc=/Archives/edgar/data/1101215/000110121526000021/bfh-20260217.htm" TargetMode="External"/><Relationship Id="rId78" Type="http://schemas.openxmlformats.org/officeDocument/2006/relationships/hyperlink" Target="http://www.sec.gov/ix?doc=/Archives/edgar/data/1101215/000110121526000036/bfh-20260423.htm" TargetMode="External"/><Relationship Id="rId79" Type="http://schemas.openxmlformats.org/officeDocument/2006/relationships/hyperlink" Target="http://www.sec.gov/ix?doc=/Archives/edgar/data/1101215/000110121526000047/bfh-20260505.htm" TargetMode="External"/><Relationship Id="rId80" Type="http://schemas.openxmlformats.org/officeDocument/2006/relationships/hyperlink" Target="http://www.sec.gov/ix?doc=/Archives/edgar/data/1101215/000110121526000053/bfh-20260505.htm" TargetMode="External"/><Relationship Id="rId81" Type="http://schemas.openxmlformats.org/officeDocument/2006/relationships/hyperlink" Target="http://www.sec.gov/ix?doc=/Archives/edgar/data/1101215/000119312526218648/d118407d8k.htm" TargetMode="External"/><Relationship Id="rId82" Type="http://schemas.openxmlformats.org/officeDocument/2006/relationships/hyperlink" Target="http://www.sec.gov/ix?doc=/Archives/edgar/data/1101215/000110121526000058/bfh-20260519.htm" TargetMode="External"/><Relationship Id="rId83" Type="http://schemas.openxmlformats.org/officeDocument/2006/relationships/hyperlink" Target="http://www.sec.gov/ix?doc=/Archives/edgar/data/1101215/000110121526000065/bfh-20260708.htm" TargetMode="External"/><Relationship Id="rId84" Type="http://schemas.openxmlformats.org/officeDocument/2006/relationships/hyperlink" Target="http://www.sec.gov/ix?doc=/Archives/edgar/data/1101215/000110121526000068/bfh-20260723.htm" TargetMode="External"/><Relationship Id="rId85" Type="http://schemas.openxmlformats.org/officeDocument/2006/relationships/hyperlink" Target="http://www.sec.gov/ix?doc=/Archives/edgar/data/1101215/000110121526000081/bfh-20260903.htm" TargetMode="External"/><Relationship Id="rId86" Type="http://schemas.openxmlformats.org/officeDocument/2006/relationships/hyperlink" Target="http://www.sec.gov/ix?doc=/Archives/edgar/data/1101215/000110121526000087/bfh-20261022.htm" TargetMode="External"/><Relationship Id="rId97" Type="http://schemas.openxmlformats.org/officeDocument/2006/relationships/hyperlink" Target="http://www.sec.gov/ix?doc=/Archives/edgar/data/1101215/000110121525000031/bfh-20241231.htm" TargetMode="External"/><Relationship Id="rId98" Type="http://schemas.openxmlformats.org/officeDocument/2006/relationships/hyperlink" Target="http://www.sec.gov/ix?doc=/Archives/edgar/data/1101215/000119312525070902/d901058ddef14a.htm" TargetMode="External"/><Relationship Id="rId99" Type="http://schemas.openxmlformats.org/officeDocument/2006/relationships/hyperlink" Target="http://www.sec.gov/ix?doc=/Archives/edgar/data/1101215/000110121525000080/bfh-20250331.htm" TargetMode="External"/><Relationship Id="rId100" Type="http://schemas.openxmlformats.org/officeDocument/2006/relationships/hyperlink" Target="http://www.sec.gov/ix?doc=/Archives/edgar/data/1101215/000110121525000135/bfh-20250630.htm" TargetMode="External"/><Relationship Id="rId101" Type="http://schemas.openxmlformats.org/officeDocument/2006/relationships/hyperlink" Target="http://www.sec.gov/ix?doc=/Archives/edgar/data/1101215/000110121525000173/bfh-20250930.htm" TargetMode="External"/><Relationship Id="rId102" Type="http://schemas.openxmlformats.org/officeDocument/2006/relationships/hyperlink" Target="http://www.sec.gov/ix?doc=/Archives/edgar/data/1101215/000110121525000012/bfh-20250130.htm" TargetMode="External"/><Relationship Id="rId103" Type="http://schemas.openxmlformats.org/officeDocument/2006/relationships/hyperlink" Target="http://www.sec.gov/ix?doc=/Archives/edgar/data/1101215/000110121525000054/bfh-20250310.htm" TargetMode="External"/><Relationship Id="rId104" Type="http://schemas.openxmlformats.org/officeDocument/2006/relationships/hyperlink" Target="http://www.sec.gov/ix?doc=/Archives/edgar/data/1101215/000110121525000075/bfh-20250424.htm" TargetMode="External"/><Relationship Id="rId105" Type="http://schemas.openxmlformats.org/officeDocument/2006/relationships/hyperlink" Target="http://www.sec.gov/ix?doc=/Archives/edgar/data/1101215/000110121525000086/bfh-20250513.htm" TargetMode="External"/><Relationship Id="rId106" Type="http://schemas.openxmlformats.org/officeDocument/2006/relationships/hyperlink" Target="http://www.sec.gov/ix?doc=/Archives/edgar/data/1101215/000110121525000092/bfh-20250521.htm" TargetMode="External"/><Relationship Id="rId107" Type="http://schemas.openxmlformats.org/officeDocument/2006/relationships/hyperlink" Target="http://www.sec.gov/ix?doc=/Archives/edgar/data/1101215/000119312525135322/d939976d8k.htm" TargetMode="External"/><Relationship Id="rId108" Type="http://schemas.openxmlformats.org/officeDocument/2006/relationships/hyperlink" Target="http://www.sec.gov/ix?doc=/Archives/edgar/data/1101215/000110121525000129/bfh-20250724.htm" TargetMode="External"/><Relationship Id="rId109" Type="http://schemas.openxmlformats.org/officeDocument/2006/relationships/hyperlink" Target="http://www.sec.gov/ix?doc=/Archives/edgar/data/1101215/000110121525000142/bfh-20250807.htm" TargetMode="External"/><Relationship Id="rId110" Type="http://schemas.openxmlformats.org/officeDocument/2006/relationships/hyperlink" Target="http://www.sec.gov/ix?doc=/Archives/edgar/data/1101215/000110121525000147/bfh-20250822.htm" TargetMode="External"/><Relationship Id="rId111" Type="http://schemas.openxmlformats.org/officeDocument/2006/relationships/hyperlink" Target="http://www.sec.gov/ix?doc=/Archives/edgar/data/1101215/000110121525000168/bfh-20251023.htm" TargetMode="External"/><Relationship Id="rId112" Type="http://schemas.openxmlformats.org/officeDocument/2006/relationships/hyperlink" Target="http://www.sec.gov/ix?doc=/Archives/edgar/data/1101215/000110121525000175/bfh-20251028.htm" TargetMode="External"/><Relationship Id="rId113" Type="http://schemas.openxmlformats.org/officeDocument/2006/relationships/hyperlink" Target="http://www.sec.gov/ix?doc=/Archives/edgar/data/1101215/000110121525000178/bfh-202510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2026-10-27T07:30:04Z</dcterms:created>
  <dcterms:modified xsi:type="dcterms:W3CDTF">2026-10-27T07:30:04Z</dcterms:modified>
</cp:coreProperties>
</file>