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April 1, 2026</w:t>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Note Trust</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Issuing Entity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of Issuing Entity: 333-113669</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Issuing Entity: 0001282663</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World Financial Network Credit Card Master Trust</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Issuer of Collateral Certificate as Specified in its Charter)</w:t>
      </w:r>
    </w:p>
    <w:p>
      <w:pPr>
        <w:spacing w:after="0" w:line="2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Commission File Number of Issuer of the Collateral Certificate: 333-60418-01</w:t>
      </w:r>
    </w:p>
    <w:p>
      <w:pPr>
        <w:spacing w:after="0" w:line="3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Central Index Key Number of Issuer of the Collateral Certificate: 0001140096</w:t>
      </w: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WFN Credit Company, LLC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Depositor/Registrant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of Depositor: 333-60418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Depositor: 0001139552</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Comenity Bank</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Sponsor as Specified in its Charter)</w:t>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Central Index Key Number of Sponsor: 0001007254</w:t>
      </w:r>
    </w:p>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 of Issuing Entity and Registrant)</w:t>
      </w:r>
    </w:p>
    <w:p>
      <w:pPr>
        <w:spacing w:after="0" w:line="2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31-1772814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(I.R.S. Employer Identification No. of Registrant)</w:t>
      </w:r>
    </w:p>
    <w:p>
      <w:pPr>
        <w:sectPr>
          <w:pgSz w:w="11900" w:h="16838" w:orient="portrait"/>
          <w:cols w:equalWidth="0" w:num="1">
            <w:col w:w="9059"/>
          </w:cols>
          <w:pgMar w:left="1400" w:top="1305" w:right="1440" w:bottom="1440" w:gutter="0" w:footer="0" w:header="0"/>
        </w:sectPr>
      </w:pPr>
    </w:p>
    <w:p>
      <w:pPr>
        <w:spacing w:after="0" w:line="24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3095 Loyalty Circle, Columbus, Ohio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of Registrant)</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43219</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6600" w:space="720"/>
            <w:col w:w="1739"/>
          </w:cols>
          <w:pgMar w:left="1400" w:top="1305" w:right="1440" w:bottom="1440" w:gutter="0" w:footer="0" w:header="0"/>
          <w:type w:val="continuous"/>
        </w:sectPr>
      </w:pP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(614) 729-5044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ectPr>
          <w:pgSz w:w="11900" w:h="16838" w:orient="portrait"/>
          <w:cols w:equalWidth="0" w:num="1">
            <w:col w:w="9059"/>
          </w:cols>
          <w:pgMar w:left="1400" w:top="1305" w:right="1440"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74" w:lineRule="exact"/>
        <w:rPr>
          <w:sz w:val="20"/>
          <w:szCs w:val="20"/>
          <w:color w:val="auto"/>
        </w:rPr>
      </w:pPr>
    </w:p>
    <w:p>
      <w:pPr>
        <w:ind w:left="80"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 w:lineRule="exact"/>
        <w:rPr>
          <w:sz w:val="20"/>
          <w:szCs w:val="20"/>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 w:lineRule="exact"/>
        <w:rPr>
          <w:rFonts w:ascii="Times New Roman" w:cs="Times New Roman" w:eastAsia="Times New Roman" w:hAnsi="Times New Roman"/>
          <w:sz w:val="18"/>
          <w:szCs w:val="18"/>
          <w:color w:val="auto"/>
        </w:rPr>
      </w:pPr>
    </w:p>
    <w:p>
      <w:pPr>
        <w:ind w:left="180" w:hanging="104"/>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3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60"/>
          </w:cols>
          <w:pgMar w:left="320" w:top="141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April 1, 2026, Comenity Bank (“Bank”) and Comenity Servicing LLC (“CSERV”) entered into the Sixth Addendum (“Sixth Addendum”) to that certain Sixth Amended and Restated Service Agreement, dated as of January 1, 2025, pursuant to which CSERV provides certain services to Bank (the “Sixth Amended and Restated Service Agreement”), by and between Bank and CSERV. A copy of the Sixth Addendum is filed with this Form 8-K as Exhibit 99.1.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4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46"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60"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 w:type="dxa"/>
            <w:vAlign w:val="bottom"/>
          </w:tcPr>
          <w:p>
            <w:pPr>
              <w:spacing w:after="0"/>
              <w:rPr>
                <w:sz w:val="22"/>
                <w:szCs w:val="22"/>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4"/>
              </w:rPr>
              <w:t>Exhibit No.</w:t>
            </w:r>
          </w:p>
        </w:tc>
        <w:tc>
          <w:tcPr>
            <w:tcW w:w="1100" w:type="dxa"/>
            <w:vAlign w:val="bottom"/>
          </w:tcPr>
          <w:p>
            <w:pPr>
              <w:spacing w:after="0"/>
              <w:rPr>
                <w:sz w:val="22"/>
                <w:szCs w:val="22"/>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Document Description</w:t>
            </w:r>
          </w:p>
        </w:tc>
      </w:tr>
      <w:tr>
        <w:trPr>
          <w:trHeight w:val="20"/>
        </w:trPr>
        <w:tc>
          <w:tcPr>
            <w:tcW w:w="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506"/>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9"/>
              </w:rPr>
              <w:t>Exhibit 99.1</w:t>
            </w:r>
          </w:p>
        </w:tc>
        <w:tc>
          <w:tcPr>
            <w:tcW w:w="110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Sixth Addendum to Sixth Amended and Restated Service Agreement</w:t>
            </w:r>
          </w:p>
        </w:tc>
      </w:tr>
    </w:tbl>
    <w:p>
      <w:pPr>
        <w:sectPr>
          <w:pgSz w:w="11900" w:h="16838" w:orient="portrait"/>
          <w:cols w:equalWidth="0" w:num="1">
            <w:col w:w="11080"/>
          </w:cols>
          <w:pgMar w:left="320" w:top="1418" w:right="499" w:bottom="144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WFN CREDIT COMPANY, LLC as depositor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Wai Chung</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Wai Chung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1, 2026</w:t>
      </w:r>
    </w:p>
    <w:p>
      <w:pPr>
        <w:sectPr>
          <w:pgSz w:w="11900" w:h="16838" w:orient="portrait"/>
          <w:cols w:equalWidth="0" w:num="1">
            <w:col w:w="11160"/>
          </w:cols>
          <w:pgMar w:left="320" w:top="1418" w:right="41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SIXTH ADDENDUM TO SIXTH AMENDED AND RESTATED SERVICE AGREEMENT</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Sixth Addendum to that certain Sixth Amended and Restated Service Agreement (the “Addendum”) effective as of the 1st day of April, 2026 (the “Effective Date”), is entered into by and between Comenity Bank (“Bank”), a Delaware state bank, with its principal place of business at One Righter Parkway, Suite 100, Wilmington, Delaware 19803 and Comenity Servicing LLC (“Servicer”), a Texas limited liability company with its principal place of business at 3095 Loyalty Circle, Columbus, OH 43219.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4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WHEREAS, Bank and Servicer entered into that certain Sixth Amended and Restated Service Agreement as of January 1, 2025, (the “Agreement”) to outsource certain services to Servicer; and</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0"/>
          <w:szCs w:val="20"/>
          <w:color w:val="auto"/>
        </w:rPr>
        <w:t xml:space="preserve">WHEREAS, Bank and Servicer desire to modify certain Services and Performance Standards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u w:val="single" w:color="auto"/>
          <w:color w:val="auto"/>
        </w:rPr>
        <w:t>Appendix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to the Agreement.</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agreements hereinafter set forth, and for other good and valuable consideration, the receipt and adequacy of which is hereby acknowledged, Bank and Servicer agree as follows:</w:t>
      </w:r>
    </w:p>
    <w:p>
      <w:pPr>
        <w:spacing w:after="0" w:line="164" w:lineRule="exact"/>
        <w:rPr>
          <w:sz w:val="20"/>
          <w:szCs w:val="20"/>
          <w:color w:val="auto"/>
        </w:rPr>
      </w:pPr>
    </w:p>
    <w:p>
      <w:pPr>
        <w:ind w:left="660" w:hanging="328"/>
        <w:spacing w:after="0" w:line="262" w:lineRule="auto"/>
        <w:tabs>
          <w:tab w:leader="none" w:pos="663"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Servicer agree to amend the Services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Agreement, such that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Services are hereby amended as set forth in further detail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77" w:lineRule="exact"/>
        <w:rPr>
          <w:sz w:val="20"/>
          <w:szCs w:val="20"/>
          <w:color w:val="auto"/>
        </w:rPr>
      </w:pPr>
    </w:p>
    <w:p>
      <w:pPr>
        <w:jc w:val="both"/>
        <w:ind w:left="660" w:hanging="328"/>
        <w:spacing w:after="0" w:line="246" w:lineRule="auto"/>
        <w:tabs>
          <w:tab w:leader="none" w:pos="663"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Performance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 and Servicer agree to amend the Performance Standards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such that certain Performance Standards are hereby added or deleted as set forth in further detail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194" w:lineRule="exact"/>
        <w:rPr>
          <w:sz w:val="20"/>
          <w:szCs w:val="20"/>
          <w:color w:val="auto"/>
        </w:rPr>
      </w:pPr>
    </w:p>
    <w:p>
      <w:pPr>
        <w:jc w:val="both"/>
        <w:ind w:left="660" w:hanging="328"/>
        <w:spacing w:after="0" w:line="236" w:lineRule="auto"/>
        <w:tabs>
          <w:tab w:leader="none" w:pos="663"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Capitalized terms not otherwise defined in this Addendum shall have the meanings assigned to them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Agreement. Other than as set forth above and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the parties agree that the Agreement, as amended by this Addendum, shall continue in full force and effect. The parties may execute this Addendum in one or more counterparts, each of which shall be deemed an original, but all of which shall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Sixth Addendum to</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 / Comenity Bank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9" w:right="339" w:bottom="1440" w:gutter="0" w:footer="0" w:header="0"/>
        </w:sectPr>
      </w:pPr>
    </w:p>
    <w:bookmarkStart w:id="5" w:name="page6"/>
    <w:bookmarkEnd w:id="5"/>
    <w:p>
      <w:pPr>
        <w:ind w:right="30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Addendum to be executed by their authorized officers effective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first written above.</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COMENITY BANK</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Baron Schlachter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Baron Schlachter</w:t>
      </w:r>
    </w:p>
    <w:p>
      <w:pPr>
        <w:spacing w:after="0" w:line="6"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President, Comenity Bank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COMENITY SERVICING LLC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Tammy McConnaughey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Tammy McConnaughey</w:t>
      </w:r>
    </w:p>
    <w:p>
      <w:pPr>
        <w:spacing w:after="0" w:line="6"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6"/>
          <w:szCs w:val="16"/>
          <w:color w:val="auto"/>
        </w:rPr>
        <w:t>Sixth Addendum to</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 / Comenity Bank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9" w:right="339" w:bottom="1440" w:gutter="0" w:footer="0" w:header="0"/>
        </w:sectPr>
      </w:pPr>
    </w:p>
    <w:bookmarkStart w:id="6" w:name="page7"/>
    <w:bookmarkEnd w:id="6"/>
    <w:p>
      <w:pPr>
        <w:jc w:val="center"/>
        <w:ind w:right="312"/>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5" w:lineRule="exact"/>
        <w:rPr>
          <w:sz w:val="20"/>
          <w:szCs w:val="20"/>
          <w:color w:val="auto"/>
        </w:rPr>
      </w:pPr>
    </w:p>
    <w:p>
      <w:pPr>
        <w:ind w:left="328" w:right="40" w:hanging="328"/>
        <w:spacing w:after="0" w:line="245" w:lineRule="auto"/>
        <w:tabs>
          <w:tab w:leader="none" w:pos="33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Set forth below are revisions to existing Services, all of which shall be incorporated into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the Agreement.</w:t>
      </w:r>
    </w:p>
    <w:p>
      <w:pPr>
        <w:spacing w:after="0" w:line="182" w:lineRule="exact"/>
        <w:rPr>
          <w:sz w:val="20"/>
          <w:szCs w:val="20"/>
          <w:color w:val="auto"/>
        </w:rPr>
      </w:pPr>
    </w:p>
    <w:p>
      <w:pPr>
        <w:ind w:left="1708"/>
        <w:spacing w:after="0"/>
        <w:rPr>
          <w:sz w:val="20"/>
          <w:szCs w:val="20"/>
          <w:color w:val="auto"/>
        </w:rPr>
      </w:pPr>
      <w:r>
        <w:rPr>
          <w:rFonts w:ascii="Times New Roman" w:cs="Times New Roman" w:eastAsia="Times New Roman" w:hAnsi="Times New Roman"/>
          <w:sz w:val="22"/>
          <w:szCs w:val="22"/>
          <w:b w:val="1"/>
          <w:bCs w:val="1"/>
          <w:u w:val="single" w:color="auto"/>
          <w:color w:val="auto"/>
        </w:rPr>
        <w:t>SECTION I: SERVICES APPLICABLE TO ALL COMENITY BANK PRODUCTS</w:t>
      </w:r>
    </w:p>
    <w:p>
      <w:pPr>
        <w:spacing w:after="0" w:line="200" w:lineRule="exact"/>
        <w:rPr>
          <w:sz w:val="20"/>
          <w:szCs w:val="20"/>
          <w:color w:val="auto"/>
        </w:rPr>
      </w:pPr>
    </w:p>
    <w:p>
      <w:pPr>
        <w:spacing w:after="0" w:line="314" w:lineRule="exact"/>
        <w:rPr>
          <w:sz w:val="20"/>
          <w:szCs w:val="20"/>
          <w:color w:val="auto"/>
        </w:rPr>
      </w:pPr>
    </w:p>
    <w:tbl>
      <w:tblPr>
        <w:tblLayout w:type="fixed"/>
        <w:tblInd w:w="398" w:type="dxa"/>
        <w:tblCellMar>
          <w:top w:w="0" w:type="dxa"/>
          <w:left w:w="0" w:type="dxa"/>
          <w:bottom w:w="0" w:type="dxa"/>
          <w:right w:w="0" w:type="dxa"/>
        </w:tblCellMar>
      </w:tblPr>
      <w:tr>
        <w:trPr>
          <w:trHeight w:val="187"/>
        </w:trPr>
        <w:tc>
          <w:tcPr>
            <w:tcW w:w="2220" w:type="dxa"/>
            <w:vAlign w:val="bottom"/>
            <w:tcBorders>
              <w:top w:val="single" w:sz="8" w:color="auto"/>
              <w:left w:val="single" w:sz="8" w:color="auto"/>
              <w:right w:val="single" w:sz="8" w:color="auto"/>
            </w:tcBorders>
            <w:shd w:val="clear" w:color="auto" w:fill="BFBFBF"/>
          </w:tcPr>
          <w:p>
            <w:pPr>
              <w:ind w:left="520"/>
              <w:spacing w:after="0"/>
              <w:rPr>
                <w:sz w:val="20"/>
                <w:szCs w:val="20"/>
                <w:color w:val="auto"/>
              </w:rPr>
            </w:pPr>
            <w:r>
              <w:rPr>
                <w:rFonts w:ascii="Times New Roman" w:cs="Times New Roman" w:eastAsia="Times New Roman" w:hAnsi="Times New Roman"/>
                <w:sz w:val="16"/>
                <w:szCs w:val="16"/>
                <w:b w:val="1"/>
                <w:bCs w:val="1"/>
                <w:color w:val="auto"/>
              </w:rPr>
              <w:t>Service Category</w:t>
            </w:r>
          </w:p>
        </w:tc>
        <w:tc>
          <w:tcPr>
            <w:tcW w:w="6380" w:type="dxa"/>
            <w:vAlign w:val="bottom"/>
            <w:tcBorders>
              <w:top w:val="single" w:sz="8" w:color="auto"/>
              <w:right w:val="single" w:sz="8" w:color="auto"/>
            </w:tcBorders>
            <w:shd w:val="clear" w:color="auto" w:fill="BFBFBF"/>
          </w:tcPr>
          <w:p>
            <w:pPr>
              <w:ind w:left="2520"/>
              <w:spacing w:after="0"/>
              <w:rPr>
                <w:sz w:val="20"/>
                <w:szCs w:val="20"/>
                <w:color w:val="auto"/>
              </w:rPr>
            </w:pPr>
            <w:r>
              <w:rPr>
                <w:rFonts w:ascii="Times New Roman" w:cs="Times New Roman" w:eastAsia="Times New Roman" w:hAnsi="Times New Roman"/>
                <w:sz w:val="16"/>
                <w:szCs w:val="16"/>
                <w:b w:val="1"/>
                <w:bCs w:val="1"/>
                <w:color w:val="auto"/>
              </w:rPr>
              <w:t>Service Description</w:t>
            </w:r>
          </w:p>
        </w:tc>
        <w:tc>
          <w:tcPr>
            <w:tcW w:w="12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Amended/</w:t>
            </w:r>
          </w:p>
        </w:tc>
      </w:tr>
      <w:tr>
        <w:trPr>
          <w:trHeight w:val="250"/>
        </w:trPr>
        <w:tc>
          <w:tcPr>
            <w:tcW w:w="2220" w:type="dxa"/>
            <w:vAlign w:val="bottom"/>
            <w:tcBorders>
              <w:left w:val="single" w:sz="8" w:color="auto"/>
              <w:bottom w:val="single" w:sz="8" w:color="BFBFBF"/>
              <w:right w:val="single" w:sz="8" w:color="auto"/>
            </w:tcBorders>
            <w:shd w:val="clear" w:color="auto" w:fill="BFBFBF"/>
          </w:tcPr>
          <w:p>
            <w:pPr>
              <w:spacing w:after="0"/>
              <w:rPr>
                <w:sz w:val="21"/>
                <w:szCs w:val="21"/>
                <w:color w:val="auto"/>
              </w:rPr>
            </w:pPr>
          </w:p>
        </w:tc>
        <w:tc>
          <w:tcPr>
            <w:tcW w:w="6380" w:type="dxa"/>
            <w:vAlign w:val="bottom"/>
            <w:tcBorders>
              <w:bottom w:val="single" w:sz="8" w:color="BFBFBF"/>
              <w:right w:val="single" w:sz="8" w:color="auto"/>
            </w:tcBorders>
            <w:shd w:val="clear" w:color="auto" w:fill="BFBFBF"/>
          </w:tcPr>
          <w:p>
            <w:pPr>
              <w:spacing w:after="0"/>
              <w:rPr>
                <w:sz w:val="21"/>
                <w:szCs w:val="21"/>
                <w:color w:val="auto"/>
              </w:rPr>
            </w:pPr>
          </w:p>
        </w:tc>
        <w:tc>
          <w:tcPr>
            <w:tcW w:w="12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Added</w:t>
            </w:r>
          </w:p>
        </w:tc>
      </w:tr>
      <w:tr>
        <w:trPr>
          <w:trHeight w:val="205"/>
        </w:trPr>
        <w:tc>
          <w:tcPr>
            <w:tcW w:w="2220" w:type="dxa"/>
            <w:vAlign w:val="bottom"/>
            <w:tcBorders>
              <w:top w:val="single" w:sz="8" w:color="auto"/>
              <w:left w:val="single" w:sz="8" w:color="auto"/>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b w:val="1"/>
                <w:bCs w:val="1"/>
                <w:color w:val="auto"/>
              </w:rPr>
              <w:t>Digital Engineering</w:t>
            </w:r>
          </w:p>
        </w:tc>
        <w:tc>
          <w:tcPr>
            <w:tcW w:w="6380" w:type="dxa"/>
            <w:vAlign w:val="bottom"/>
            <w:tcBorders>
              <w:top w:val="single" w:sz="8" w:color="auto"/>
              <w:right w:val="single" w:sz="8" w:color="auto"/>
            </w:tcBorders>
          </w:tcPr>
          <w:p>
            <w:pPr>
              <w:ind w:left="340"/>
              <w:spacing w:after="0" w:line="205" w:lineRule="exact"/>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Oversee &amp; manage digital engineering for Omnichannel Platform and</w:t>
            </w:r>
          </w:p>
        </w:tc>
        <w:tc>
          <w:tcPr>
            <w:tcW w:w="1220" w:type="dxa"/>
            <w:vAlign w:val="bottom"/>
            <w:tcBorders>
              <w:top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Amended</w:t>
            </w: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customer facing digital assets, including the Mobile App and Account Center,</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Apply &amp; Buy, Fraud, Credit Risk, Marketing, Capability Enablement, New</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Business and Brand Integration and Solutions value streams, and Loyalty and</w:t>
            </w:r>
          </w:p>
        </w:tc>
        <w:tc>
          <w:tcPr>
            <w:tcW w:w="1220" w:type="dxa"/>
            <w:vAlign w:val="bottom"/>
            <w:tcBorders>
              <w:right w:val="single" w:sz="8" w:color="auto"/>
            </w:tcBorders>
          </w:tcPr>
          <w:p>
            <w:pPr>
              <w:spacing w:after="0"/>
              <w:rPr>
                <w:sz w:val="17"/>
                <w:szCs w:val="17"/>
                <w:color w:val="auto"/>
              </w:rPr>
            </w:pP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63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Rewards platforms, including API integrations and operational processing.</w:t>
            </w:r>
          </w:p>
        </w:tc>
        <w:tc>
          <w:tcPr>
            <w:tcW w:w="1220" w:type="dxa"/>
            <w:vAlign w:val="bottom"/>
            <w:tcBorders>
              <w:right w:val="single" w:sz="8" w:color="auto"/>
            </w:tcBorders>
          </w:tcPr>
          <w:p>
            <w:pPr>
              <w:spacing w:after="0"/>
              <w:rPr>
                <w:sz w:val="20"/>
                <w:szCs w:val="20"/>
                <w:color w:val="auto"/>
              </w:rPr>
            </w:pPr>
          </w:p>
        </w:tc>
      </w:tr>
      <w:tr>
        <w:trPr>
          <w:trHeight w:val="41"/>
        </w:trPr>
        <w:tc>
          <w:tcPr>
            <w:tcW w:w="2220" w:type="dxa"/>
            <w:vAlign w:val="bottom"/>
            <w:tcBorders>
              <w:left w:val="single" w:sz="8" w:color="auto"/>
              <w:bottom w:val="single" w:sz="8" w:color="auto"/>
              <w:right w:val="single" w:sz="8" w:color="auto"/>
            </w:tcBorders>
          </w:tcPr>
          <w:p>
            <w:pPr>
              <w:spacing w:after="0"/>
              <w:rPr>
                <w:sz w:val="3"/>
                <w:szCs w:val="3"/>
                <w:color w:val="auto"/>
              </w:rPr>
            </w:pPr>
          </w:p>
        </w:tc>
        <w:tc>
          <w:tcPr>
            <w:tcW w:w="63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74"/>
        </w:trPr>
        <w:tc>
          <w:tcPr>
            <w:tcW w:w="222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Servicing and Core</w:t>
            </w:r>
          </w:p>
        </w:tc>
        <w:tc>
          <w:tcPr>
            <w:tcW w:w="6380" w:type="dxa"/>
            <w:vAlign w:val="bottom"/>
            <w:tcBorders>
              <w:right w:val="single" w:sz="8" w:color="auto"/>
            </w:tcBorders>
          </w:tcPr>
          <w:p>
            <w:pPr>
              <w:ind w:left="340"/>
              <w:spacing w:after="0" w:line="17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Associate &amp; Care Technologies:</w:t>
            </w:r>
            <w:r>
              <w:rPr>
                <w:rFonts w:ascii="Times New Roman" w:cs="Times New Roman" w:eastAsia="Times New Roman" w:hAnsi="Times New Roman"/>
                <w:sz w:val="18"/>
                <w:szCs w:val="18"/>
                <w:color w:val="auto"/>
              </w:rPr>
              <w:t xml:space="preserve"> Deliver and maintain tools such as VCARS,</w:t>
            </w:r>
          </w:p>
        </w:tc>
        <w:tc>
          <w:tcPr>
            <w:tcW w:w="12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Amended</w:t>
            </w:r>
          </w:p>
        </w:tc>
      </w:tr>
      <w:tr>
        <w:trPr>
          <w:trHeight w:val="207"/>
        </w:trPr>
        <w:tc>
          <w:tcPr>
            <w:tcW w:w="2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Processing Engineering</w:t>
            </w:r>
          </w:p>
        </w:tc>
        <w:tc>
          <w:tcPr>
            <w:tcW w:w="63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IVR, Collections systems, and other operational technologies to support Care</w:t>
            </w:r>
          </w:p>
        </w:tc>
        <w:tc>
          <w:tcPr>
            <w:tcW w:w="1220" w:type="dxa"/>
            <w:vAlign w:val="bottom"/>
            <w:tcBorders>
              <w:right w:val="single" w:sz="8" w:color="auto"/>
            </w:tcBorders>
          </w:tcPr>
          <w:p>
            <w:pPr>
              <w:spacing w:after="0"/>
              <w:rPr>
                <w:sz w:val="17"/>
                <w:szCs w:val="17"/>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199" w:lineRule="exact"/>
              <w:rPr>
                <w:sz w:val="20"/>
                <w:szCs w:val="20"/>
                <w:color w:val="auto"/>
              </w:rPr>
            </w:pPr>
            <w:r>
              <w:rPr>
                <w:rFonts w:ascii="Times New Roman" w:cs="Times New Roman" w:eastAsia="Times New Roman" w:hAnsi="Times New Roman"/>
                <w:sz w:val="18"/>
                <w:szCs w:val="18"/>
                <w:color w:val="auto"/>
              </w:rPr>
              <w:t>and Collections associates.</w:t>
            </w:r>
          </w:p>
        </w:tc>
        <w:tc>
          <w:tcPr>
            <w:tcW w:w="1220" w:type="dxa"/>
            <w:vAlign w:val="bottom"/>
            <w:tcBorders>
              <w:right w:val="single" w:sz="8" w:color="auto"/>
            </w:tcBorders>
          </w:tcPr>
          <w:p>
            <w:pPr>
              <w:spacing w:after="0"/>
              <w:rPr>
                <w:sz w:val="17"/>
                <w:szCs w:val="17"/>
                <w:color w:val="auto"/>
              </w:rPr>
            </w:pPr>
          </w:p>
        </w:tc>
      </w:tr>
      <w:tr>
        <w:trPr>
          <w:trHeight w:val="207"/>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Core Processing &amp; Engineering:</w:t>
            </w:r>
            <w:r>
              <w:rPr>
                <w:rFonts w:ascii="Times New Roman" w:cs="Times New Roman" w:eastAsia="Times New Roman" w:hAnsi="Times New Roman"/>
                <w:sz w:val="18"/>
                <w:szCs w:val="18"/>
                <w:color w:val="auto"/>
              </w:rPr>
              <w:t xml:space="preserve"> Operate and engineer the Jack Henry,</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Fiserv, and in-house lending platforms, including parameter management,</w:t>
            </w:r>
          </w:p>
        </w:tc>
        <w:tc>
          <w:tcPr>
            <w:tcW w:w="1220" w:type="dxa"/>
            <w:vAlign w:val="bottom"/>
            <w:tcBorders>
              <w:right w:val="single" w:sz="8" w:color="auto"/>
            </w:tcBorders>
          </w:tcPr>
          <w:p>
            <w:pPr>
              <w:spacing w:after="0"/>
              <w:rPr>
                <w:sz w:val="17"/>
                <w:szCs w:val="17"/>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199" w:lineRule="exact"/>
              <w:rPr>
                <w:sz w:val="20"/>
                <w:szCs w:val="20"/>
                <w:color w:val="auto"/>
              </w:rPr>
            </w:pPr>
            <w:r>
              <w:rPr>
                <w:rFonts w:ascii="Times New Roman" w:cs="Times New Roman" w:eastAsia="Times New Roman" w:hAnsi="Times New Roman"/>
                <w:sz w:val="18"/>
                <w:szCs w:val="18"/>
                <w:color w:val="auto"/>
              </w:rPr>
              <w:t>APIs, regression testing, and modernization efforts.</w:t>
            </w:r>
          </w:p>
        </w:tc>
        <w:tc>
          <w:tcPr>
            <w:tcW w:w="1220" w:type="dxa"/>
            <w:vAlign w:val="bottom"/>
            <w:tcBorders>
              <w:right w:val="single" w:sz="8" w:color="auto"/>
            </w:tcBorders>
          </w:tcPr>
          <w:p>
            <w:pPr>
              <w:spacing w:after="0"/>
              <w:rPr>
                <w:sz w:val="17"/>
                <w:szCs w:val="17"/>
                <w:color w:val="auto"/>
              </w:rPr>
            </w:pPr>
          </w:p>
        </w:tc>
      </w:tr>
      <w:tr>
        <w:trPr>
          <w:trHeight w:val="207"/>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 &amp; Financial Servicing Engineering:</w:t>
            </w:r>
            <w:r>
              <w:rPr>
                <w:rFonts w:ascii="Times New Roman" w:cs="Times New Roman" w:eastAsia="Times New Roman" w:hAnsi="Times New Roman"/>
                <w:sz w:val="18"/>
                <w:szCs w:val="18"/>
                <w:color w:val="auto"/>
              </w:rPr>
              <w:t xml:space="preserve"> Oversee secure, accurate</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card and lending payment processing and financial servicing flows across all</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relevant systems.</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340"/>
              <w:spacing w:after="0" w:line="202" w:lineRule="exact"/>
              <w:rPr>
                <w:sz w:val="20"/>
                <w:szCs w:val="20"/>
                <w:color w:val="auto"/>
              </w:rPr>
            </w:pPr>
            <w:r>
              <w:rPr>
                <w:rFonts w:ascii="Times New Roman" w:cs="Times New Roman" w:eastAsia="Times New Roman" w:hAnsi="Times New Roman"/>
                <w:sz w:val="18"/>
                <w:szCs w:val="18"/>
                <w:color w:val="auto"/>
              </w:rPr>
              <w:t>•   Servicing AI Assistant: Provide AI-driven servicing capabilities and</w:t>
            </w:r>
          </w:p>
        </w:tc>
        <w:tc>
          <w:tcPr>
            <w:tcW w:w="1220" w:type="dxa"/>
            <w:vAlign w:val="bottom"/>
            <w:tcBorders>
              <w:right w:val="single" w:sz="8" w:color="auto"/>
            </w:tcBorders>
          </w:tcPr>
          <w:p>
            <w:pPr>
              <w:spacing w:after="0"/>
              <w:rPr>
                <w:sz w:val="17"/>
                <w:szCs w:val="17"/>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knowledge-management solutions to improve efficiency and customer</w:t>
            </w:r>
          </w:p>
        </w:tc>
        <w:tc>
          <w:tcPr>
            <w:tcW w:w="1220" w:type="dxa"/>
            <w:vAlign w:val="bottom"/>
            <w:tcBorders>
              <w:right w:val="single" w:sz="8" w:color="auto"/>
            </w:tcBorders>
          </w:tcPr>
          <w:p>
            <w:pPr>
              <w:spacing w:after="0"/>
              <w:rPr>
                <w:sz w:val="17"/>
                <w:szCs w:val="17"/>
                <w:color w:val="auto"/>
              </w:rPr>
            </w:pP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199" w:lineRule="exact"/>
              <w:rPr>
                <w:sz w:val="20"/>
                <w:szCs w:val="20"/>
                <w:color w:val="auto"/>
              </w:rPr>
            </w:pPr>
            <w:r>
              <w:rPr>
                <w:rFonts w:ascii="Times New Roman" w:cs="Times New Roman" w:eastAsia="Times New Roman" w:hAnsi="Times New Roman"/>
                <w:sz w:val="18"/>
                <w:szCs w:val="18"/>
                <w:color w:val="auto"/>
              </w:rPr>
              <w:t>outcomes.</w:t>
            </w:r>
          </w:p>
        </w:tc>
        <w:tc>
          <w:tcPr>
            <w:tcW w:w="1220" w:type="dxa"/>
            <w:vAlign w:val="bottom"/>
            <w:tcBorders>
              <w:right w:val="single" w:sz="8" w:color="auto"/>
            </w:tcBorders>
          </w:tcPr>
          <w:p>
            <w:pPr>
              <w:spacing w:after="0"/>
              <w:rPr>
                <w:sz w:val="17"/>
                <w:szCs w:val="17"/>
                <w:color w:val="auto"/>
              </w:rPr>
            </w:pPr>
          </w:p>
        </w:tc>
      </w:tr>
      <w:tr>
        <w:trPr>
          <w:trHeight w:val="193"/>
        </w:trPr>
        <w:tc>
          <w:tcPr>
            <w:tcW w:w="2220" w:type="dxa"/>
            <w:vAlign w:val="bottom"/>
            <w:tcBorders>
              <w:left w:val="single" w:sz="8" w:color="auto"/>
              <w:right w:val="single" w:sz="8" w:color="auto"/>
            </w:tcBorders>
          </w:tcPr>
          <w:p>
            <w:pPr>
              <w:spacing w:after="0"/>
              <w:rPr>
                <w:sz w:val="16"/>
                <w:szCs w:val="16"/>
                <w:color w:val="auto"/>
              </w:rPr>
            </w:pPr>
          </w:p>
        </w:tc>
        <w:tc>
          <w:tcPr>
            <w:tcW w:w="6380" w:type="dxa"/>
            <w:vAlign w:val="bottom"/>
            <w:tcBorders>
              <w:right w:val="single" w:sz="8" w:color="auto"/>
            </w:tcBorders>
          </w:tcPr>
          <w:p>
            <w:pPr>
              <w:ind w:left="340"/>
              <w:spacing w:after="0" w:line="193"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Telephony Infrastructure &amp; Communications</w:t>
            </w:r>
            <w:r>
              <w:rPr>
                <w:rFonts w:ascii="Times New Roman" w:cs="Times New Roman" w:eastAsia="Times New Roman" w:hAnsi="Times New Roman"/>
                <w:sz w:val="18"/>
                <w:szCs w:val="18"/>
                <w:color w:val="auto"/>
              </w:rPr>
              <w:t>: Deliver reliable voice</w:t>
            </w:r>
          </w:p>
        </w:tc>
        <w:tc>
          <w:tcPr>
            <w:tcW w:w="1220" w:type="dxa"/>
            <w:vAlign w:val="bottom"/>
            <w:tcBorders>
              <w:right w:val="single" w:sz="8" w:color="auto"/>
            </w:tcBorders>
          </w:tcPr>
          <w:p>
            <w:pPr>
              <w:spacing w:after="0"/>
              <w:rPr>
                <w:sz w:val="16"/>
                <w:szCs w:val="16"/>
                <w:color w:val="auto"/>
              </w:rPr>
            </w:pPr>
          </w:p>
        </w:tc>
      </w:tr>
      <w:tr>
        <w:trPr>
          <w:trHeight w:val="203"/>
        </w:trPr>
        <w:tc>
          <w:tcPr>
            <w:tcW w:w="2220" w:type="dxa"/>
            <w:vAlign w:val="bottom"/>
            <w:tcBorders>
              <w:left w:val="single" w:sz="8" w:color="auto"/>
              <w:right w:val="single" w:sz="8" w:color="auto"/>
            </w:tcBorders>
          </w:tcPr>
          <w:p>
            <w:pPr>
              <w:spacing w:after="0"/>
              <w:rPr>
                <w:sz w:val="17"/>
                <w:szCs w:val="17"/>
                <w:color w:val="auto"/>
              </w:rPr>
            </w:pPr>
          </w:p>
        </w:tc>
        <w:tc>
          <w:tcPr>
            <w:tcW w:w="638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infrastructure, communications platforms, and operational support for Care</w:t>
            </w:r>
          </w:p>
        </w:tc>
        <w:tc>
          <w:tcPr>
            <w:tcW w:w="1220" w:type="dxa"/>
            <w:vAlign w:val="bottom"/>
            <w:tcBorders>
              <w:right w:val="single" w:sz="8" w:color="auto"/>
            </w:tcBorders>
          </w:tcPr>
          <w:p>
            <w:pPr>
              <w:spacing w:after="0"/>
              <w:rPr>
                <w:sz w:val="17"/>
                <w:szCs w:val="17"/>
                <w:color w:val="auto"/>
              </w:rPr>
            </w:pP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63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Collections environments.</w:t>
            </w:r>
          </w:p>
        </w:tc>
        <w:tc>
          <w:tcPr>
            <w:tcW w:w="1220" w:type="dxa"/>
            <w:vAlign w:val="bottom"/>
            <w:tcBorders>
              <w:right w:val="single" w:sz="8" w:color="auto"/>
            </w:tcBorders>
          </w:tcPr>
          <w:p>
            <w:pPr>
              <w:spacing w:after="0"/>
              <w:rPr>
                <w:sz w:val="20"/>
                <w:szCs w:val="20"/>
                <w:color w:val="auto"/>
              </w:rPr>
            </w:pPr>
          </w:p>
        </w:tc>
      </w:tr>
      <w:tr>
        <w:trPr>
          <w:trHeight w:val="283"/>
        </w:trPr>
        <w:tc>
          <w:tcPr>
            <w:tcW w:w="2220" w:type="dxa"/>
            <w:vAlign w:val="bottom"/>
            <w:tcBorders>
              <w:left w:val="single" w:sz="8" w:color="auto"/>
              <w:bottom w:val="single" w:sz="8" w:color="auto"/>
              <w:right w:val="single" w:sz="8" w:color="auto"/>
            </w:tcBorders>
          </w:tcPr>
          <w:p>
            <w:pPr>
              <w:spacing w:after="0"/>
              <w:rPr>
                <w:sz w:val="24"/>
                <w:szCs w:val="24"/>
                <w:color w:val="auto"/>
              </w:rPr>
            </w:pPr>
          </w:p>
        </w:tc>
        <w:tc>
          <w:tcPr>
            <w:tcW w:w="63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Addendum to</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Comenity Servicing LLC/Comenity Bank</w:t>
      </w:r>
    </w:p>
    <w:p>
      <w:pPr>
        <w:spacing w:after="0" w:line="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0908"/>
          </w:cols>
          <w:pgMar w:left="652" w:top="1409"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4" w:lineRule="exact"/>
        <w:rPr>
          <w:sz w:val="20"/>
          <w:szCs w:val="20"/>
          <w:color w:val="auto"/>
        </w:rPr>
      </w:pPr>
    </w:p>
    <w:p>
      <w:pPr>
        <w:ind w:left="660" w:right="280" w:hanging="328"/>
        <w:spacing w:after="0" w:line="258" w:lineRule="auto"/>
        <w:tabs>
          <w:tab w:leader="none" w:pos="663" w:val="left"/>
        </w:tabs>
        <w:numPr>
          <w:ilvl w:val="0"/>
          <w:numId w:val="7"/>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Additions</w:t>
      </w:r>
      <w:r>
        <w:rPr>
          <w:rFonts w:ascii="Times New Roman" w:cs="Times New Roman" w:eastAsia="Times New Roman" w:hAnsi="Times New Roman"/>
          <w:sz w:val="22"/>
          <w:szCs w:val="22"/>
          <w:color w:val="auto"/>
        </w:rPr>
        <w:t xml:space="preserve">. Set forth below are additional Performance Standards, all of which shall be incorporated into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the Agreement.</w:t>
      </w:r>
    </w:p>
    <w:p>
      <w:pPr>
        <w:spacing w:after="0" w:line="1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b w:val="1"/>
          <w:bCs w:val="1"/>
          <w:u w:val="single" w:color="auto"/>
          <w:color w:val="auto"/>
        </w:rPr>
        <w:t>SECTION I: PERFORMANCE STANDARDS APPLICABLE TO ALL COMENITY BANK PRODUCTS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380" w:type="dxa"/>
            <w:vAlign w:val="bottom"/>
            <w:tcBorders>
              <w:top w:val="single" w:sz="8" w:color="auto"/>
              <w:left w:val="single" w:sz="8" w:color="auto"/>
              <w:right w:val="single" w:sz="8" w:color="auto"/>
            </w:tcBorders>
            <w:shd w:val="clear" w:color="auto" w:fill="BFBFBF"/>
          </w:tcPr>
          <w:p>
            <w:pPr>
              <w:ind w:left="600"/>
              <w:spacing w:after="0" w:line="169" w:lineRule="exact"/>
              <w:rPr>
                <w:sz w:val="20"/>
                <w:szCs w:val="20"/>
                <w:color w:val="auto"/>
              </w:rPr>
            </w:pPr>
            <w:r>
              <w:rPr>
                <w:rFonts w:ascii="Times New Roman" w:cs="Times New Roman" w:eastAsia="Times New Roman" w:hAnsi="Times New Roman"/>
                <w:sz w:val="16"/>
                <w:szCs w:val="16"/>
                <w:b w:val="1"/>
                <w:bCs w:val="1"/>
                <w:color w:val="auto"/>
              </w:rPr>
              <w:t>Service Category</w:t>
            </w:r>
          </w:p>
        </w:tc>
        <w:tc>
          <w:tcPr>
            <w:tcW w:w="6020" w:type="dxa"/>
            <w:vAlign w:val="bottom"/>
            <w:tcBorders>
              <w:top w:val="single" w:sz="8" w:color="auto"/>
              <w:right w:val="single" w:sz="8" w:color="auto"/>
            </w:tcBorders>
            <w:shd w:val="clear" w:color="auto" w:fill="BFBFBF"/>
          </w:tcPr>
          <w:p>
            <w:pPr>
              <w:ind w:left="2200"/>
              <w:spacing w:after="0" w:line="169" w:lineRule="exact"/>
              <w:rPr>
                <w:sz w:val="20"/>
                <w:szCs w:val="20"/>
                <w:color w:val="auto"/>
              </w:rPr>
            </w:pPr>
            <w:r>
              <w:rPr>
                <w:rFonts w:ascii="Times New Roman" w:cs="Times New Roman" w:eastAsia="Times New Roman" w:hAnsi="Times New Roman"/>
                <w:sz w:val="16"/>
                <w:szCs w:val="16"/>
                <w:b w:val="1"/>
                <w:bCs w:val="1"/>
                <w:color w:val="auto"/>
              </w:rPr>
              <w:t>Performance Standard</w:t>
            </w:r>
          </w:p>
        </w:tc>
        <w:tc>
          <w:tcPr>
            <w:tcW w:w="1020" w:type="dxa"/>
            <w:vAlign w:val="bottom"/>
            <w:tcBorders>
              <w:top w:val="single" w:sz="8" w:color="auto"/>
              <w:right w:val="single" w:sz="8" w:color="auto"/>
            </w:tcBorders>
            <w:shd w:val="clear" w:color="auto" w:fill="BFBFB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Measuring</w:t>
            </w:r>
          </w:p>
        </w:tc>
        <w:tc>
          <w:tcPr>
            <w:tcW w:w="1840" w:type="dxa"/>
            <w:vAlign w:val="bottom"/>
            <w:tcBorders>
              <w:top w:val="single" w:sz="8" w:color="auto"/>
              <w:right w:val="single" w:sz="8" w:color="auto"/>
            </w:tcBorders>
            <w:shd w:val="clear" w:color="auto" w:fill="BFBFBF"/>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Amended/ Added</w:t>
            </w:r>
          </w:p>
        </w:tc>
      </w:tr>
      <w:tr>
        <w:trPr>
          <w:trHeight w:val="250"/>
        </w:trPr>
        <w:tc>
          <w:tcPr>
            <w:tcW w:w="2380" w:type="dxa"/>
            <w:vAlign w:val="bottom"/>
            <w:tcBorders>
              <w:left w:val="single" w:sz="8" w:color="auto"/>
              <w:bottom w:val="single" w:sz="8" w:color="BFBFBF"/>
              <w:right w:val="single" w:sz="8" w:color="auto"/>
            </w:tcBorders>
            <w:shd w:val="clear" w:color="auto" w:fill="BFBFBF"/>
          </w:tcPr>
          <w:p>
            <w:pPr>
              <w:spacing w:after="0"/>
              <w:rPr>
                <w:sz w:val="21"/>
                <w:szCs w:val="21"/>
                <w:color w:val="auto"/>
              </w:rPr>
            </w:pPr>
          </w:p>
        </w:tc>
        <w:tc>
          <w:tcPr>
            <w:tcW w:w="6020" w:type="dxa"/>
            <w:vAlign w:val="bottom"/>
            <w:tcBorders>
              <w:bottom w:val="single" w:sz="8" w:color="BFBFBF"/>
              <w:right w:val="single" w:sz="8" w:color="auto"/>
            </w:tcBorders>
            <w:shd w:val="clear" w:color="auto" w:fill="BFBFBF"/>
          </w:tcPr>
          <w:p>
            <w:pPr>
              <w:spacing w:after="0"/>
              <w:rPr>
                <w:sz w:val="21"/>
                <w:szCs w:val="21"/>
                <w:color w:val="auto"/>
              </w:rPr>
            </w:pPr>
          </w:p>
        </w:tc>
        <w:tc>
          <w:tcPr>
            <w:tcW w:w="102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40" w:type="dxa"/>
            <w:vAlign w:val="bottom"/>
            <w:tcBorders>
              <w:bottom w:val="single" w:sz="8" w:color="BFBFBF"/>
              <w:right w:val="single" w:sz="8" w:color="auto"/>
            </w:tcBorders>
            <w:shd w:val="clear" w:color="auto" w:fill="BFBFBF"/>
          </w:tcPr>
          <w:p>
            <w:pPr>
              <w:spacing w:after="0"/>
              <w:rPr>
                <w:sz w:val="21"/>
                <w:szCs w:val="21"/>
                <w:color w:val="auto"/>
              </w:rPr>
            </w:pPr>
          </w:p>
        </w:tc>
      </w:tr>
      <w:tr>
        <w:trPr>
          <w:trHeight w:val="232"/>
        </w:trPr>
        <w:tc>
          <w:tcPr>
            <w:tcW w:w="2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Digital Engineering</w:t>
            </w:r>
          </w:p>
        </w:tc>
        <w:tc>
          <w:tcPr>
            <w:tcW w:w="6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PLP Services - Maintain 99.9% Rewards Website Fulfillment availability.</w:t>
            </w:r>
          </w:p>
        </w:tc>
        <w:tc>
          <w:tcPr>
            <w:tcW w:w="1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Added</w:t>
            </w:r>
          </w:p>
        </w:tc>
      </w:tr>
      <w:tr>
        <w:trPr>
          <w:trHeight w:val="113"/>
        </w:trPr>
        <w:tc>
          <w:tcPr>
            <w:tcW w:w="2380" w:type="dxa"/>
            <w:vAlign w:val="bottom"/>
            <w:tcBorders>
              <w:left w:val="single" w:sz="8" w:color="auto"/>
              <w:right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r>
      <w:tr>
        <w:trPr>
          <w:trHeight w:val="228"/>
        </w:trPr>
        <w:tc>
          <w:tcPr>
            <w:tcW w:w="2380" w:type="dxa"/>
            <w:vAlign w:val="bottom"/>
            <w:tcBorders>
              <w:left w:val="single" w:sz="8" w:color="auto"/>
              <w:right w:val="single" w:sz="8" w:color="auto"/>
            </w:tcBorders>
          </w:tcPr>
          <w:p>
            <w:pPr>
              <w:spacing w:after="0"/>
              <w:rPr>
                <w:sz w:val="19"/>
                <w:szCs w:val="19"/>
                <w:color w:val="auto"/>
              </w:rPr>
            </w:pPr>
          </w:p>
        </w:tc>
        <w:tc>
          <w:tcPr>
            <w:tcW w:w="6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Maintain 99.9% availability of PLP (Rewards).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Added</w:t>
            </w:r>
          </w:p>
        </w:tc>
      </w:tr>
      <w:tr>
        <w:trPr>
          <w:trHeight w:val="130"/>
        </w:trPr>
        <w:tc>
          <w:tcPr>
            <w:tcW w:w="2380" w:type="dxa"/>
            <w:vAlign w:val="bottom"/>
            <w:tcBorders>
              <w:left w:val="single" w:sz="8" w:color="auto"/>
              <w:bottom w:val="single" w:sz="8" w:color="auto"/>
              <w:right w:val="single" w:sz="8" w:color="auto"/>
            </w:tcBorders>
          </w:tcPr>
          <w:p>
            <w:pPr>
              <w:spacing w:after="0"/>
              <w:rPr>
                <w:sz w:val="11"/>
                <w:szCs w:val="11"/>
                <w:color w:val="auto"/>
              </w:rPr>
            </w:pPr>
          </w:p>
        </w:tc>
        <w:tc>
          <w:tcPr>
            <w:tcW w:w="6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r>
    </w:tbl>
    <w:p>
      <w:pPr>
        <w:spacing w:after="0" w:line="3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u w:val="single" w:color="auto"/>
          <w:color w:val="auto"/>
        </w:rPr>
        <w:t>Deletions.</w:t>
      </w:r>
      <w:r>
        <w:rPr>
          <w:rFonts w:ascii="Times New Roman" w:cs="Times New Roman" w:eastAsia="Times New Roman" w:hAnsi="Times New Roman"/>
          <w:sz w:val="22"/>
          <w:szCs w:val="22"/>
          <w:color w:val="auto"/>
        </w:rPr>
        <w:t xml:space="preserve"> Set forth below are Performance Standards which shall be deleted from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the Agreement.</w:t>
      </w:r>
    </w:p>
    <w:p>
      <w:pPr>
        <w:spacing w:after="0" w:line="215" w:lineRule="exact"/>
        <w:rPr>
          <w:rFonts w:ascii="Arial" w:cs="Arial" w:eastAsia="Arial" w:hAnsi="Arial"/>
          <w:sz w:val="20"/>
          <w:szCs w:val="20"/>
          <w:color w:val="auto"/>
        </w:rPr>
      </w:pPr>
    </w:p>
    <w:p>
      <w:pPr>
        <w:ind w:left="1060"/>
        <w:spacing w:after="0"/>
        <w:rPr>
          <w:rFonts w:ascii="Arial" w:cs="Arial" w:eastAsia="Arial" w:hAnsi="Arial"/>
          <w:sz w:val="20"/>
          <w:szCs w:val="20"/>
          <w:color w:val="auto"/>
        </w:rPr>
      </w:pPr>
      <w:r>
        <w:rPr>
          <w:rFonts w:ascii="Times New Roman" w:cs="Times New Roman" w:eastAsia="Times New Roman" w:hAnsi="Times New Roman"/>
          <w:sz w:val="22"/>
          <w:szCs w:val="22"/>
          <w:b w:val="1"/>
          <w:bCs w:val="1"/>
          <w:u w:val="single" w:color="auto"/>
          <w:color w:val="auto"/>
        </w:rPr>
        <w:t>SECTION I: PERFORMANCE STANDARDS APPLICABLE TO ALL COMENITY BANK PRODUCTS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900" w:type="dxa"/>
            <w:vAlign w:val="bottom"/>
            <w:tcBorders>
              <w:top w:val="single" w:sz="8" w:color="auto"/>
              <w:left w:val="single" w:sz="8" w:color="auto"/>
            </w:tcBorders>
            <w:gridSpan w:val="2"/>
            <w:shd w:val="clear" w:color="auto" w:fill="BFBFBF"/>
          </w:tcPr>
          <w:p>
            <w:pPr>
              <w:ind w:left="600"/>
              <w:spacing w:after="0" w:line="182" w:lineRule="exact"/>
              <w:rPr>
                <w:sz w:val="20"/>
                <w:szCs w:val="20"/>
                <w:color w:val="auto"/>
              </w:rPr>
            </w:pPr>
            <w:r>
              <w:rPr>
                <w:rFonts w:ascii="Times New Roman" w:cs="Times New Roman" w:eastAsia="Times New Roman" w:hAnsi="Times New Roman"/>
                <w:sz w:val="16"/>
                <w:szCs w:val="16"/>
                <w:b w:val="1"/>
                <w:bCs w:val="1"/>
                <w:color w:val="auto"/>
              </w:rPr>
              <w:t>Service Category</w:t>
            </w:r>
          </w:p>
        </w:tc>
        <w:tc>
          <w:tcPr>
            <w:tcW w:w="460" w:type="dxa"/>
            <w:vAlign w:val="bottom"/>
            <w:tcBorders>
              <w:top w:val="single" w:sz="8" w:color="auto"/>
              <w:right w:val="single" w:sz="8" w:color="auto"/>
            </w:tcBorders>
            <w:shd w:val="clear" w:color="auto" w:fill="BFBFBF"/>
          </w:tcPr>
          <w:p>
            <w:pPr>
              <w:spacing w:after="0"/>
              <w:rPr>
                <w:sz w:val="15"/>
                <w:szCs w:val="15"/>
                <w:color w:val="auto"/>
              </w:rPr>
            </w:pPr>
          </w:p>
        </w:tc>
        <w:tc>
          <w:tcPr>
            <w:tcW w:w="6060" w:type="dxa"/>
            <w:vAlign w:val="bottom"/>
            <w:tcBorders>
              <w:top w:val="single" w:sz="8" w:color="auto"/>
              <w:right w:val="single" w:sz="8" w:color="auto"/>
            </w:tcBorders>
            <w:shd w:val="clear" w:color="auto" w:fill="BFBFBF"/>
          </w:tcPr>
          <w:p>
            <w:pPr>
              <w:ind w:left="2220"/>
              <w:spacing w:after="0" w:line="182" w:lineRule="exact"/>
              <w:rPr>
                <w:sz w:val="20"/>
                <w:szCs w:val="20"/>
                <w:color w:val="auto"/>
              </w:rPr>
            </w:pPr>
            <w:r>
              <w:rPr>
                <w:rFonts w:ascii="Times New Roman" w:cs="Times New Roman" w:eastAsia="Times New Roman" w:hAnsi="Times New Roman"/>
                <w:sz w:val="16"/>
                <w:szCs w:val="16"/>
                <w:b w:val="1"/>
                <w:bCs w:val="1"/>
                <w:color w:val="auto"/>
              </w:rPr>
              <w:t>Performance Standard</w:t>
            </w:r>
          </w:p>
        </w:tc>
        <w:tc>
          <w:tcPr>
            <w:tcW w:w="960" w:type="dxa"/>
            <w:vAlign w:val="bottom"/>
            <w:tcBorders>
              <w:top w:val="single" w:sz="8" w:color="auto"/>
              <w:right w:val="single" w:sz="8" w:color="auto"/>
            </w:tcBorders>
            <w:shd w:val="clear" w:color="auto" w:fill="BFBFBF"/>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Measuring</w:t>
            </w:r>
          </w:p>
        </w:tc>
        <w:tc>
          <w:tcPr>
            <w:tcW w:w="1880" w:type="dxa"/>
            <w:vAlign w:val="bottom"/>
            <w:tcBorders>
              <w:top w:val="single" w:sz="8" w:color="auto"/>
              <w:right w:val="single" w:sz="8" w:color="auto"/>
            </w:tcBorders>
            <w:shd w:val="clear" w:color="auto" w:fill="BFBFBF"/>
          </w:tcPr>
          <w:p>
            <w:pPr>
              <w:ind w:left="660"/>
              <w:spacing w:after="0" w:line="182" w:lineRule="exact"/>
              <w:rPr>
                <w:sz w:val="20"/>
                <w:szCs w:val="20"/>
                <w:color w:val="auto"/>
              </w:rPr>
            </w:pPr>
            <w:r>
              <w:rPr>
                <w:rFonts w:ascii="Times New Roman" w:cs="Times New Roman" w:eastAsia="Times New Roman" w:hAnsi="Times New Roman"/>
                <w:sz w:val="16"/>
                <w:szCs w:val="16"/>
                <w:b w:val="1"/>
                <w:bCs w:val="1"/>
                <w:color w:val="auto"/>
              </w:rPr>
              <w:t>Deleted</w:t>
            </w:r>
          </w:p>
        </w:tc>
      </w:tr>
      <w:tr>
        <w:trPr>
          <w:trHeight w:val="225"/>
        </w:trPr>
        <w:tc>
          <w:tcPr>
            <w:tcW w:w="980" w:type="dxa"/>
            <w:vAlign w:val="bottom"/>
            <w:tcBorders>
              <w:left w:val="single" w:sz="8" w:color="auto"/>
              <w:bottom w:val="single" w:sz="8" w:color="auto"/>
            </w:tcBorders>
            <w:shd w:val="clear" w:color="auto" w:fill="BFBFBF"/>
          </w:tcPr>
          <w:p>
            <w:pPr>
              <w:spacing w:after="0"/>
              <w:rPr>
                <w:sz w:val="19"/>
                <w:szCs w:val="19"/>
                <w:color w:val="auto"/>
              </w:rPr>
            </w:pPr>
          </w:p>
        </w:tc>
        <w:tc>
          <w:tcPr>
            <w:tcW w:w="920" w:type="dxa"/>
            <w:vAlign w:val="bottom"/>
            <w:tcBorders>
              <w:bottom w:val="single" w:sz="8" w:color="auto"/>
            </w:tcBorders>
            <w:shd w:val="clear" w:color="auto" w:fill="BFBFBF"/>
          </w:tcPr>
          <w:p>
            <w:pPr>
              <w:spacing w:after="0"/>
              <w:rPr>
                <w:sz w:val="19"/>
                <w:szCs w:val="19"/>
                <w:color w:val="auto"/>
              </w:rPr>
            </w:pPr>
          </w:p>
        </w:tc>
        <w:tc>
          <w:tcPr>
            <w:tcW w:w="460" w:type="dxa"/>
            <w:vAlign w:val="bottom"/>
            <w:tcBorders>
              <w:bottom w:val="single" w:sz="8" w:color="auto"/>
              <w:right w:val="single" w:sz="8" w:color="auto"/>
            </w:tcBorders>
            <w:shd w:val="clear" w:color="auto" w:fill="BFBFBF"/>
          </w:tcPr>
          <w:p>
            <w:pPr>
              <w:spacing w:after="0"/>
              <w:rPr>
                <w:sz w:val="19"/>
                <w:szCs w:val="19"/>
                <w:color w:val="auto"/>
              </w:rPr>
            </w:pPr>
          </w:p>
        </w:tc>
        <w:tc>
          <w:tcPr>
            <w:tcW w:w="6060" w:type="dxa"/>
            <w:vAlign w:val="bottom"/>
            <w:tcBorders>
              <w:bottom w:val="single" w:sz="8" w:color="auto"/>
              <w:right w:val="single" w:sz="8" w:color="auto"/>
            </w:tcBorders>
            <w:shd w:val="clear" w:color="auto" w:fill="BFBFBF"/>
          </w:tcPr>
          <w:p>
            <w:pPr>
              <w:spacing w:after="0"/>
              <w:rPr>
                <w:sz w:val="19"/>
                <w:szCs w:val="19"/>
                <w:color w:val="auto"/>
              </w:rPr>
            </w:pPr>
          </w:p>
        </w:tc>
        <w:tc>
          <w:tcPr>
            <w:tcW w:w="9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80" w:type="dxa"/>
            <w:vAlign w:val="bottom"/>
            <w:tcBorders>
              <w:bottom w:val="single" w:sz="8" w:color="auto"/>
              <w:right w:val="single" w:sz="8" w:color="auto"/>
            </w:tcBorders>
            <w:shd w:val="clear" w:color="auto" w:fill="BFBFBF"/>
          </w:tcPr>
          <w:p>
            <w:pPr>
              <w:spacing w:after="0"/>
              <w:rPr>
                <w:sz w:val="19"/>
                <w:szCs w:val="19"/>
                <w:color w:val="auto"/>
              </w:rPr>
            </w:pPr>
          </w:p>
        </w:tc>
      </w:tr>
      <w:tr>
        <w:trPr>
          <w:trHeight w:val="194"/>
        </w:trPr>
        <w:tc>
          <w:tcPr>
            <w:tcW w:w="980" w:type="dxa"/>
            <w:vAlign w:val="bottom"/>
            <w:tcBorders>
              <w:lef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Servicing</w:t>
            </w:r>
          </w:p>
        </w:tc>
        <w:tc>
          <w:tcPr>
            <w:tcW w:w="92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and</w:t>
            </w:r>
          </w:p>
        </w:tc>
        <w:tc>
          <w:tcPr>
            <w:tcW w:w="460" w:type="dxa"/>
            <w:vAlign w:val="bottom"/>
            <w:tcBorders>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Core</w:t>
            </w:r>
          </w:p>
        </w:tc>
        <w:tc>
          <w:tcPr>
            <w:tcW w:w="6060" w:type="dxa"/>
            <w:vAlign w:val="bottom"/>
            <w:tcBorders>
              <w:right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PLP Services - Maintain 99.9% Rewards Website Fulfillment availability.</w:t>
            </w:r>
          </w:p>
        </w:tc>
        <w:tc>
          <w:tcPr>
            <w:tcW w:w="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M</w:t>
            </w:r>
          </w:p>
        </w:tc>
        <w:tc>
          <w:tcPr>
            <w:tcW w:w="1880" w:type="dxa"/>
            <w:vAlign w:val="bottom"/>
            <w:tcBorders>
              <w:right w:val="single" w:sz="8" w:color="auto"/>
            </w:tcBorders>
          </w:tcPr>
          <w:p>
            <w:pPr>
              <w:ind w:left="640"/>
              <w:spacing w:after="0" w:line="194" w:lineRule="exact"/>
              <w:rPr>
                <w:sz w:val="20"/>
                <w:szCs w:val="20"/>
                <w:color w:val="auto"/>
              </w:rPr>
            </w:pPr>
            <w:r>
              <w:rPr>
                <w:rFonts w:ascii="Times New Roman" w:cs="Times New Roman" w:eastAsia="Times New Roman" w:hAnsi="Times New Roman"/>
                <w:sz w:val="18"/>
                <w:szCs w:val="18"/>
                <w:color w:val="auto"/>
              </w:rPr>
              <w:t>Deleted</w:t>
            </w:r>
          </w:p>
        </w:tc>
      </w:tr>
      <w:tr>
        <w:trPr>
          <w:trHeight w:val="225"/>
        </w:trPr>
        <w:tc>
          <w:tcPr>
            <w:tcW w:w="19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Processing Engineering</w:t>
            </w:r>
          </w:p>
        </w:tc>
        <w:tc>
          <w:tcPr>
            <w:tcW w:w="460" w:type="dxa"/>
            <w:vAlign w:val="bottom"/>
            <w:tcBorders>
              <w:right w:val="single" w:sz="8" w:color="auto"/>
            </w:tcBorders>
          </w:tcPr>
          <w:p>
            <w:pPr>
              <w:spacing w:after="0"/>
              <w:rPr>
                <w:sz w:val="19"/>
                <w:szCs w:val="19"/>
                <w:color w:val="auto"/>
              </w:rPr>
            </w:pPr>
          </w:p>
        </w:tc>
        <w:tc>
          <w:tcPr>
            <w:tcW w:w="60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r>
      <w:tr>
        <w:trPr>
          <w:trHeight w:val="228"/>
        </w:trPr>
        <w:tc>
          <w:tcPr>
            <w:tcW w:w="980" w:type="dxa"/>
            <w:vAlign w:val="bottom"/>
            <w:tcBorders>
              <w:lef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 99.9% availability of PLP (Rewards).</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88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Deleted</w:t>
            </w:r>
          </w:p>
        </w:tc>
      </w:tr>
      <w:tr>
        <w:trPr>
          <w:trHeight w:val="130"/>
        </w:trPr>
        <w:tc>
          <w:tcPr>
            <w:tcW w:w="980" w:type="dxa"/>
            <w:vAlign w:val="bottom"/>
            <w:tcBorders>
              <w:left w:val="single" w:sz="8" w:color="auto"/>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0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Sixth Addendum to</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Sixth Amended and Restated Service Agreement</w:t>
      </w:r>
    </w:p>
    <w:p>
      <w:pPr>
        <w:spacing w:after="0" w:line="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Comenity Servicing LLC/Comenity Bank</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B-1</w:t>
      </w:r>
    </w:p>
    <w:sectPr>
      <w:pgSz w:w="11900" w:h="16838" w:orient="portrait"/>
      <w:cols w:equalWidth="0" w:num="1">
        <w:col w:w="11260"/>
      </w:cols>
      <w:pgMar w:left="320" w:top="14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2026-04-01T11:48:19Z</dcterms:created>
  <dcterms:modified xsi:type="dcterms:W3CDTF">2026-04-01T11:48:19Z</dcterms:modified>
</cp:coreProperties>
</file>