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May 1, 2026 to May 31, 2026</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6"/>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8"/>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7"/>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7"/>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6"/>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6"/>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7"/>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8"/>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6"/>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7"/>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8"/>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May 1, 2026 to May 31,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6, 2026. The CIK number of the depositor is 0001139552.</w:t>
      </w:r>
    </w:p>
    <w:p>
      <w:pPr>
        <w:spacing w:after="0" w:line="212"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620"/>
        <w:spacing w:after="0" w:line="226" w:lineRule="exact"/>
        <w:rPr>
          <w:sz w:val="20"/>
          <w:szCs w:val="20"/>
          <w:color w:val="auto"/>
        </w:rPr>
      </w:pPr>
      <w:r>
        <w:rPr>
          <w:rFonts w:ascii="Times New Roman" w:cs="Times New Roman" w:eastAsia="Times New Roman" w:hAnsi="Times New Roman"/>
          <w:sz w:val="18"/>
          <w:szCs w:val="18"/>
          <w:color w:val="auto"/>
        </w:rPr>
        <w:t xml:space="preserve">For each of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15, 2026, the Series 2023-A asset-backed term notes matured and were repaid.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2024-A and Series 2024-</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for the June 15, 2026 Payment Date.</w:t>
            </w:r>
          </w:p>
        </w:tc>
        <w:tc>
          <w:tcPr>
            <w:tcW w:w="0" w:type="dxa"/>
            <w:vAlign w:val="bottom"/>
          </w:tcPr>
          <w:p>
            <w:pPr>
              <w:spacing w:after="0"/>
              <w:rPr>
                <w:sz w:val="1"/>
                <w:szCs w:val="1"/>
                <w:color w:val="auto"/>
              </w:rPr>
            </w:pPr>
          </w:p>
        </w:tc>
      </w:tr>
    </w:tbl>
    <w:p>
      <w:pPr>
        <w:sectPr>
          <w:pgSz w:w="11900" w:h="16838" w:orient="portrait"/>
          <w:cols w:equalWidth="0" w:num="1">
            <w:col w:w="11080"/>
          </w:cols>
          <w:pgMar w:left="320" w:top="9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494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Dated: June 15, 2026</w:t>
            </w: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240" w:type="dxa"/>
            <w:vAlign w:val="bottom"/>
          </w:tcPr>
          <w:p>
            <w:pPr>
              <w:spacing w:after="0"/>
              <w:rPr>
                <w:sz w:val="21"/>
                <w:szCs w:val="21"/>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240" w:type="dxa"/>
            <w:vAlign w:val="bottom"/>
          </w:tcPr>
          <w:p>
            <w:pPr>
              <w:spacing w:after="0"/>
              <w:rPr>
                <w:sz w:val="20"/>
                <w:szCs w:val="20"/>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1238" w:right="3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2024-A and Series 2024-</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for the June 15, 2026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June 15, 2026 and with respect to the performance of the Trust during the month of May 2026 is set forth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Capitalized terms herein are defined in the Indenture and the Indenture Supplements.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166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May-26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5"/>
        </w:trPr>
        <w:tc>
          <w:tcPr>
            <w:tcW w:w="61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6/11/2026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61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6/15/2026</w:t>
            </w:r>
          </w:p>
        </w:tc>
        <w:tc>
          <w:tcPr>
            <w:tcW w:w="1840" w:type="dxa"/>
            <w:vAlign w:val="bottom"/>
            <w:tcBorders>
              <w:bottom w:val="single" w:sz="8" w:color="auto"/>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5/31/2026</w:t>
            </w:r>
          </w:p>
        </w:tc>
      </w:tr>
      <w:tr>
        <w:trPr>
          <w:trHeight w:val="318"/>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57"/>
        </w:trPr>
        <w:tc>
          <w:tcPr>
            <w:tcW w:w="61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$184,932,000.00</w:t>
            </w:r>
          </w:p>
        </w:tc>
      </w:tr>
      <w:tr>
        <w:trPr>
          <w:trHeight w:val="277"/>
        </w:trPr>
        <w:tc>
          <w:tcPr>
            <w:tcW w:w="6100" w:type="dxa"/>
            <w:vAlign w:val="bottom"/>
            <w:tcBorders>
              <w:right w:val="single" w:sz="8" w:color="CCEEFF"/>
            </w:tcBorders>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27.00 %</w:t>
            </w:r>
          </w:p>
        </w:tc>
      </w:tr>
      <w:tr>
        <w:trPr>
          <w:trHeight w:val="223"/>
        </w:trPr>
        <w:tc>
          <w:tcPr>
            <w:tcW w:w="610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660" w:type="dxa"/>
            <w:vAlign w:val="bottom"/>
            <w:tcBorders>
              <w:right w:val="single" w:sz="8" w:color="CCEEFF"/>
            </w:tcBorders>
            <w:shd w:val="clear" w:color="auto" w:fill="CCEEFF"/>
          </w:tcPr>
          <w:p>
            <w:pPr>
              <w:spacing w:after="0"/>
              <w:rPr>
                <w:sz w:val="19"/>
                <w:szCs w:val="19"/>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6"/>
        </w:trPr>
        <w:tc>
          <w:tcPr>
            <w:tcW w:w="6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7"/>
        </w:trPr>
        <w:tc>
          <w:tcPr>
            <w:tcW w:w="6100" w:type="dxa"/>
            <w:vAlign w:val="bottom"/>
            <w:tcBorders>
              <w:right w:val="single" w:sz="8" w:color="CCEEFF"/>
            </w:tcBorders>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216"/>
        </w:trPr>
        <w:tc>
          <w:tcPr>
            <w:tcW w:w="6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bl>
    <w:p>
      <w:pPr>
        <w:sectPr>
          <w:pgSz w:w="11900" w:h="16838" w:orient="portrait"/>
          <w:cols w:equalWidth="0" w:num="1">
            <w:col w:w="11260"/>
          </w:cols>
          <w:pgMar w:left="320" w:top="117"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7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Initial Collateral Amount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Initial Excess Collateral Amount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7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Principal Payments made to Noteholders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Principal Accumulation Account Balances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Unreimbursed Investor Charge-offs and Reallocated Principal Collections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7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 Collateral Amount - End of Current Monthly Period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Excess Collateral Amount - End of Current Monthly Period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 Required Excess Collateral Amount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7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 Beginning Class A Note Principal Balance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Beginning Class M Note Principal Balance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 Beginning Class B Note Principal Balance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Beginning Class C Note Principal Balance, if applicable</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 Total Beginning Note Principal Balance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7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 Ending Class A Note Principal Balance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 Ending Class M Note Principal Balance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 Ending Class B Note Principal Balance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 Ending Class C Note Principal Balance, if applicable</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 Total Ending Note Principal Balance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23"/>
        </w:trPr>
        <w:tc>
          <w:tcPr>
            <w:tcW w:w="7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Allocation Percentage- Finance Charges Collections and Default Amounts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13.78 %</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13.78 %</w:t>
            </w:r>
          </w:p>
        </w:tc>
      </w:tr>
      <w:tr>
        <w:trPr>
          <w:trHeight w:val="223"/>
        </w:trPr>
        <w:tc>
          <w:tcPr>
            <w:tcW w:w="7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 Allocation Percentage- Principal Collections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13.78 %</w:t>
            </w:r>
          </w:p>
        </w:tc>
        <w:tc>
          <w:tcPr>
            <w:tcW w:w="8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13.78 %</w:t>
            </w:r>
          </w:p>
        </w:tc>
      </w:tr>
      <w:tr>
        <w:trPr>
          <w:trHeight w:val="55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75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$4,970,296,880.64</w:t>
            </w:r>
          </w:p>
        </w:tc>
        <w:tc>
          <w:tcPr>
            <w:tcW w:w="20" w:type="dxa"/>
            <w:vAlign w:val="bottom"/>
          </w:tcPr>
          <w:p>
            <w:pPr>
              <w:spacing w:after="0"/>
              <w:rPr>
                <w:sz w:val="17"/>
                <w:szCs w:val="17"/>
                <w:color w:val="auto"/>
              </w:rPr>
            </w:pPr>
          </w:p>
        </w:tc>
      </w:tr>
      <w:tr>
        <w:trPr>
          <w:trHeight w:val="216"/>
        </w:trPr>
        <w:tc>
          <w:tcPr>
            <w:tcW w:w="75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$679,079,151.50</w:t>
            </w:r>
          </w:p>
        </w:tc>
        <w:tc>
          <w:tcPr>
            <w:tcW w:w="20" w:type="dxa"/>
            <w:vAlign w:val="bottom"/>
          </w:tcPr>
          <w:p>
            <w:pPr>
              <w:spacing w:after="0"/>
              <w:rPr>
                <w:sz w:val="17"/>
                <w:szCs w:val="17"/>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$37,431,948.10</w:t>
            </w:r>
          </w:p>
        </w:tc>
        <w:tc>
          <w:tcPr>
            <w:tcW w:w="20" w:type="dxa"/>
            <w:vAlign w:val="bottom"/>
          </w:tcPr>
          <w:p>
            <w:pPr>
              <w:spacing w:after="0"/>
              <w:rPr>
                <w:sz w:val="16"/>
                <w:szCs w:val="16"/>
                <w:color w:val="auto"/>
              </w:rPr>
            </w:pP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$64,034,011.04</w:t>
            </w:r>
          </w:p>
        </w:tc>
        <w:tc>
          <w:tcPr>
            <w:tcW w:w="20" w:type="dxa"/>
            <w:vAlign w:val="bottom"/>
          </w:tcPr>
          <w:p>
            <w:pPr>
              <w:spacing w:after="0"/>
              <w:rPr>
                <w:sz w:val="18"/>
                <w:szCs w:val="18"/>
                <w:color w:val="auto"/>
              </w:rPr>
            </w:pP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$781,147,099.14</w:t>
            </w:r>
          </w:p>
        </w:tc>
        <w:tc>
          <w:tcPr>
            <w:tcW w:w="20" w:type="dxa"/>
            <w:vAlign w:val="bottom"/>
          </w:tcPr>
          <w:p>
            <w:pPr>
              <w:spacing w:after="0"/>
              <w:rPr>
                <w:sz w:val="16"/>
                <w:szCs w:val="16"/>
                <w:color w:val="auto"/>
              </w:rPr>
            </w:pP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216"/>
        </w:trPr>
        <w:tc>
          <w:tcPr>
            <w:tcW w:w="75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$4,970,898,869.14</w:t>
            </w:r>
          </w:p>
        </w:tc>
        <w:tc>
          <w:tcPr>
            <w:tcW w:w="20" w:type="dxa"/>
            <w:vAlign w:val="bottom"/>
          </w:tcPr>
          <w:p>
            <w:pPr>
              <w:spacing w:after="0"/>
              <w:rPr>
                <w:sz w:val="17"/>
                <w:szCs w:val="17"/>
                <w:color w:val="auto"/>
              </w:rPr>
            </w:pPr>
          </w:p>
        </w:tc>
      </w:tr>
      <w:tr>
        <w:trPr>
          <w:trHeight w:val="216"/>
        </w:trPr>
        <w:tc>
          <w:tcPr>
            <w:tcW w:w="75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$8,461,144.22</w:t>
            </w:r>
          </w:p>
        </w:tc>
        <w:tc>
          <w:tcPr>
            <w:tcW w:w="20" w:type="dxa"/>
            <w:vAlign w:val="bottom"/>
          </w:tcPr>
          <w:p>
            <w:pPr>
              <w:spacing w:after="0"/>
              <w:rPr>
                <w:sz w:val="17"/>
                <w:szCs w:val="17"/>
                <w:color w:val="auto"/>
              </w:rPr>
            </w:pPr>
          </w:p>
        </w:tc>
      </w:tr>
      <w:tr>
        <w:trPr>
          <w:trHeight w:val="216"/>
        </w:trPr>
        <w:tc>
          <w:tcPr>
            <w:tcW w:w="75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$696,544,704.87</w:t>
            </w:r>
          </w:p>
        </w:tc>
        <w:tc>
          <w:tcPr>
            <w:tcW w:w="20" w:type="dxa"/>
            <w:vAlign w:val="bottom"/>
          </w:tcPr>
          <w:p>
            <w:pPr>
              <w:spacing w:after="0"/>
              <w:rPr>
                <w:sz w:val="17"/>
                <w:szCs w:val="17"/>
                <w:color w:val="auto"/>
              </w:rPr>
            </w:pPr>
          </w:p>
        </w:tc>
      </w:tr>
      <w:tr>
        <w:trPr>
          <w:trHeight w:val="18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$716,590,656.01</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2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2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$679,079,151.50</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$143,495,405.49</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$822,574,556.99</w:t>
            </w: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16.55 %</w:t>
            </w:r>
          </w:p>
        </w:tc>
        <w:tc>
          <w:tcPr>
            <w:tcW w:w="20" w:type="dxa"/>
            <w:vAlign w:val="bottom"/>
          </w:tcPr>
          <w:p>
            <w:pPr>
              <w:spacing w:after="0"/>
              <w:rPr>
                <w:sz w:val="16"/>
                <w:szCs w:val="16"/>
                <w:color w:val="auto"/>
              </w:rPr>
            </w:pP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3620" w:type="dxa"/>
            <w:vAlign w:val="bottom"/>
          </w:tcPr>
          <w:p>
            <w:pPr>
              <w:spacing w:after="0"/>
              <w:rPr>
                <w:sz w:val="24"/>
                <w:szCs w:val="24"/>
                <w:color w:val="auto"/>
              </w:rPr>
            </w:pPr>
          </w:p>
        </w:tc>
        <w:tc>
          <w:tcPr>
            <w:tcW w:w="22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PRINCIPAL</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OF PRINCIPAL</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22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RECEIVABLES</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RECEIVABLES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ACCOUNTS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OF</w:t>
            </w:r>
          </w:p>
        </w:tc>
      </w:tr>
      <w:tr>
        <w:trPr>
          <w:trHeight w:val="23"/>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$162,831,701.00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191,041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0.51 %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$70,926,886.59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75,289</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0.20 %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$49,614,130.15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0.12 %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$45,957,860.36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37,776</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0.10 %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$37,723,403.39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0.76 %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0.09 %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$32,587,088.58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0.66 %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27,971</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0.07 %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$399,641,070.07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8.04 %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409,358</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$165,882,482.48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None</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$37,431,948.10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$8,461,144.22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$28,970,803.88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$1,783,603,768.30</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$1,960,756,091.36</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$198,835,954.77</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$4,970,898,869.14</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$109,050,000.00</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$2,719,692,869.14</w:t>
            </w:r>
          </w:p>
        </w:tc>
        <w:tc>
          <w:tcPr>
            <w:tcW w:w="20" w:type="dxa"/>
            <w:vAlign w:val="bottom"/>
          </w:tcPr>
          <w:p>
            <w:pPr>
              <w:spacing w:after="0"/>
              <w:rPr>
                <w:sz w:val="18"/>
                <w:szCs w:val="18"/>
                <w:color w:val="auto"/>
              </w:rPr>
            </w:pPr>
          </w:p>
        </w:tc>
      </w:tr>
      <w:tr>
        <w:trPr>
          <w:trHeight w:val="817"/>
        </w:trPr>
        <w:tc>
          <w:tcPr>
            <w:tcW w:w="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8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BEGINNING ACCOUNT BALANCES: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$10,196,315.04</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$9,842,136.82</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$2,851,030.00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7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5640" w:type="dxa"/>
            <w:vAlign w:val="bottom"/>
            <w:tcBorders>
              <w:top w:val="single" w:sz="8" w:color="CCEEFF"/>
            </w:tcBorders>
            <w:gridSpan w:val="3"/>
          </w:tcPr>
          <w:p>
            <w:pPr>
              <w:spacing w:after="0"/>
              <w:rPr>
                <w:sz w:val="16"/>
                <w:szCs w:val="16"/>
                <w:color w:val="auto"/>
              </w:rPr>
            </w:pPr>
          </w:p>
        </w:tc>
        <w:tc>
          <w:tcPr>
            <w:tcW w:w="17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$10,057,659.88</w:t>
            </w:r>
          </w:p>
        </w:tc>
        <w:tc>
          <w:tcPr>
            <w:tcW w:w="8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$9,703,481.86</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$2,851,030.00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$33,116.23</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$32,259.34</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$8,468.22</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$56,788.37</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$56,788.29</w:t>
            </w: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bottom w:val="single" w:sz="8" w:color="auto"/>
            </w:tcBorders>
          </w:tcPr>
          <w:p>
            <w:pPr>
              <w:spacing w:after="0"/>
              <w:rPr>
                <w:sz w:val="19"/>
                <w:szCs w:val="19"/>
                <w:color w:val="auto"/>
              </w:rPr>
            </w:pPr>
          </w:p>
        </w:tc>
        <w:tc>
          <w:tcPr>
            <w:tcW w:w="7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$19,872,792.92</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$19,863,438.86</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$2,279,166.67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$1,141,555.00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$5,158,318.93</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$5,158,311.40</w:t>
            </w: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$11,293,752.32</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$11,638,574.13</w:t>
            </w: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$93,580,671.67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$93,580,535.04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77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$5,158,318.93</w:t>
            </w:r>
          </w:p>
        </w:tc>
        <w:tc>
          <w:tcPr>
            <w:tcW w:w="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$5,158,311.40</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1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$98,738,990.60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$98,738,846.44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7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0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$5,158,318.93</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$5,158,311.40</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$5,158,318.93</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$5,158,311.40</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$5,158,318.93</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$5,158,311.40</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Investor Charge-off (a - 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8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698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 amounts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plus amounts on deposit in the principal accumulation account)</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195"/>
        </w:trPr>
        <w:tc>
          <w:tcPr>
            <w:tcW w:w="20" w:type="dxa"/>
            <w:vAlign w:val="bottom"/>
          </w:tcPr>
          <w:p>
            <w:pPr>
              <w:spacing w:after="0"/>
              <w:rPr>
                <w:sz w:val="16"/>
                <w:szCs w:val="16"/>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365"/>
        </w:trPr>
        <w:tc>
          <w:tcPr>
            <w:tcW w:w="20" w:type="dxa"/>
            <w:vAlign w:val="bottom"/>
          </w:tcPr>
          <w:p>
            <w:pPr>
              <w:spacing w:after="0"/>
              <w:rPr>
                <w:sz w:val="24"/>
                <w:szCs w:val="24"/>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34.80 %</w:t>
            </w:r>
          </w:p>
        </w:tc>
      </w:tr>
      <w:tr>
        <w:trPr>
          <w:trHeight w:val="195"/>
        </w:trPr>
        <w:tc>
          <w:tcPr>
            <w:tcW w:w="20" w:type="dxa"/>
            <w:vAlign w:val="bottom"/>
          </w:tcPr>
          <w:p>
            <w:pPr>
              <w:spacing w:after="0"/>
              <w:rPr>
                <w:sz w:val="16"/>
                <w:szCs w:val="16"/>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34.66 %</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34.47 %</w:t>
            </w:r>
          </w:p>
        </w:tc>
      </w:tr>
      <w:tr>
        <w:trPr>
          <w:trHeight w:val="364"/>
        </w:trPr>
        <w:tc>
          <w:tcPr>
            <w:tcW w:w="20" w:type="dxa"/>
            <w:vAlign w:val="bottom"/>
          </w:tcPr>
          <w:p>
            <w:pPr>
              <w:spacing w:after="0"/>
              <w:rPr>
                <w:sz w:val="24"/>
                <w:szCs w:val="24"/>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Portfolio Yield</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plus amounts on deposit in the principal accumulation account)</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(i) Portfolio Yield (current month)</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25.76 %</w:t>
            </w:r>
          </w:p>
        </w:tc>
      </w:tr>
      <w:tr>
        <w:trPr>
          <w:trHeight w:val="195"/>
        </w:trPr>
        <w:tc>
          <w:tcPr>
            <w:tcW w:w="20" w:type="dxa"/>
            <w:vAlign w:val="bottom"/>
          </w:tcPr>
          <w:p>
            <w:pPr>
              <w:spacing w:after="0"/>
              <w:rPr>
                <w:sz w:val="16"/>
                <w:szCs w:val="16"/>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 Portfolio Yield (prior month)</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25.58 %</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(k) Portfolio Yield (2 months prior)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Portfolio Yield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25.35 %</w:t>
            </w:r>
          </w:p>
        </w:tc>
      </w:tr>
      <w:tr>
        <w:trPr>
          <w:trHeight w:val="364"/>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600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(Portfolio Yield less Base Rate)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 Portfolio Adjusted Yield (current month)</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20.39 %</w:t>
            </w:r>
          </w:p>
        </w:tc>
      </w:tr>
      <w:tr>
        <w:trPr>
          <w:trHeight w:val="195"/>
        </w:trPr>
        <w:tc>
          <w:tcPr>
            <w:tcW w:w="20" w:type="dxa"/>
            <w:vAlign w:val="bottom"/>
          </w:tcPr>
          <w:p>
            <w:pPr>
              <w:spacing w:after="0"/>
              <w:rPr>
                <w:sz w:val="16"/>
                <w:szCs w:val="16"/>
                <w:color w:val="auto"/>
              </w:rPr>
            </w:pPr>
          </w:p>
        </w:tc>
        <w:tc>
          <w:tcPr>
            <w:tcW w:w="7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 Portfolio Adjusted Yield (prior month)</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20.21 %</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(o) Portfolio Adjusted Yield (2 months prior)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7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 Portfolio Adjusted Yield (3 month average)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19.98 %</w:t>
            </w: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7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8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Cumulative Class A principal distributed to PAA (as of prior distribution date)</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deposited in the Principal Accumulation Account (PAA)</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deposited in the PAA (a + b)</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7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78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Cumulative Class M principal distributed to PAA (as of prior distribution date)</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deposited in the Principal Accumulation Account (PAA)</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deposited in the PAA (d +e)</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7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78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Cumulative Class B principal distributed to PAA (as of prior distribution date)</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deposited in the Principal Accumulation Account (PAA)</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deposited in the PAA (g + h)</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7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78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Cumulative Class C principal distributed to PAA (as of prior distribution date)</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deposited in the Principal Accumulation Account (PAA)</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deposited in the PAA (j + k)</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7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78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Ending PAA balance (c + f + i + l)</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XI. PRINCIPAL REPAYMENT</w:t>
            </w:r>
          </w:p>
        </w:tc>
        <w:tc>
          <w:tcPr>
            <w:tcW w:w="1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7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8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Payments (to be paid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Paid (a + b)</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78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Class M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Payments (to be paid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Paid (d + e)</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8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Class B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Payments (to be made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Paid (g + h)</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8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Payments (to be made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Paid (j + k)</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2"/>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8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Total Principal Paid (c + f + i + l)</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ectPr>
          <w:pgSz w:w="11900" w:h="16838" w:orient="portrait"/>
          <w:cols w:equalWidth="0" w:num="1">
            <w:col w:w="11260"/>
          </w:cols>
          <w:pgMar w:left="320" w:top="117" w:right="3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3265" cy="7112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2026-06-15T07:07:09Z</dcterms:created>
  <dcterms:modified xsi:type="dcterms:W3CDTF">2026-06-15T07:07:09Z</dcterms:modified>
</cp:coreProperties>
</file>