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10-D</w:t>
      </w:r>
    </w:p>
    <w:p>
      <w:pPr>
        <w:spacing w:after="0" w:line="3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ASSET-BACKED ISSUER</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DISTRIBUTION REPORT PURSUANT TO SECTION 13 OR 15(D) OF</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monthly distribution period from April 1, 2026 to April 30, 2026</w:t>
      </w:r>
    </w:p>
    <w:p>
      <w:pPr>
        <w:spacing w:after="0" w:line="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issuing entity: 333-113669</w:t>
      </w: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0001282663</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World Financial Network Credit Card Master Note Trust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issuing entity as specified in its charter)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333-60418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0001139552</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WFN Credit Company, LLC</w:t>
      </w:r>
    </w:p>
    <w:p>
      <w:pPr>
        <w:jc w:val="center"/>
        <w:spacing w:after="0"/>
        <w:rPr>
          <w:sz w:val="20"/>
          <w:szCs w:val="20"/>
          <w:color w:val="auto"/>
        </w:rPr>
      </w:pPr>
      <w:r>
        <w:rPr>
          <w:rFonts w:ascii="Times New Roman" w:cs="Times New Roman" w:eastAsia="Times New Roman" w:hAnsi="Times New Roman"/>
          <w:sz w:val="14"/>
          <w:szCs w:val="14"/>
          <w:color w:val="auto"/>
        </w:rPr>
        <w:t>(Exact name of depositor as specified in its charter)</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sponsor (if applicable): 0001007254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Comenity Bank</w:t>
      </w:r>
    </w:p>
    <w:p>
      <w:pPr>
        <w:jc w:val="center"/>
        <w:spacing w:after="0"/>
        <w:rPr>
          <w:sz w:val="20"/>
          <w:szCs w:val="20"/>
          <w:color w:val="auto"/>
        </w:rPr>
      </w:pPr>
      <w:r>
        <w:rPr>
          <w:rFonts w:ascii="Times New Roman" w:cs="Times New Roman" w:eastAsia="Times New Roman" w:hAnsi="Times New Roman"/>
          <w:sz w:val="14"/>
          <w:szCs w:val="14"/>
          <w:color w:val="auto"/>
        </w:rPr>
        <w:t>(Exact name of sponsor as specified in its charter)</w:t>
      </w:r>
    </w:p>
    <w:p>
      <w:pPr>
        <w:spacing w:after="0" w:line="2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L. Morgan (214) 494-3000</w:t>
      </w: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filing)</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80" w:type="dxa"/>
            <w:vAlign w:val="bottom"/>
          </w:tcPr>
          <w:p>
            <w:pPr>
              <w:spacing w:after="0"/>
              <w:rPr>
                <w:sz w:val="19"/>
                <w:szCs w:val="19"/>
                <w:color w:val="auto"/>
              </w:rPr>
            </w:pPr>
          </w:p>
        </w:tc>
        <w:tc>
          <w:tcPr>
            <w:tcW w:w="1920" w:type="dxa"/>
            <w:vAlign w:val="bottom"/>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31-1772814</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60" w:type="dxa"/>
            <w:vAlign w:val="bottom"/>
            <w:gridSpan w:val="3"/>
          </w:tcPr>
          <w:p>
            <w:pPr>
              <w:jc w:val="center"/>
              <w:ind w:right="89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 of the issuing entity)</w:t>
            </w:r>
          </w:p>
        </w:tc>
        <w:tc>
          <w:tcPr>
            <w:tcW w:w="3200" w:type="dxa"/>
            <w:vAlign w:val="bottom"/>
            <w:gridSpan w:val="2"/>
          </w:tcPr>
          <w:p>
            <w:pPr>
              <w:jc w:val="center"/>
              <w:ind w:right="4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66"/>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8"/>
                <w:szCs w:val="18"/>
                <w:b w:val="1"/>
                <w:bCs w:val="1"/>
                <w:color w:val="auto"/>
                <w:w w:val="98"/>
              </w:rPr>
              <w:t>One Righter Parkway, Suite 100</w:t>
            </w: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2960" w:type="dxa"/>
            <w:vAlign w:val="bottom"/>
          </w:tcPr>
          <w:p>
            <w:pPr>
              <w:jc w:val="center"/>
              <w:ind w:right="1135"/>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180" w:type="dxa"/>
            <w:vAlign w:val="bottom"/>
          </w:tcPr>
          <w:p>
            <w:pPr>
              <w:spacing w:after="0"/>
              <w:rPr>
                <w:sz w:val="22"/>
                <w:szCs w:val="22"/>
                <w:color w:val="auto"/>
              </w:rPr>
            </w:pPr>
          </w:p>
        </w:tc>
        <w:tc>
          <w:tcPr>
            <w:tcW w:w="19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19803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5380" w:type="dxa"/>
            <w:vAlign w:val="bottom"/>
            <w:gridSpan w:val="2"/>
          </w:tcPr>
          <w:p>
            <w:pPr>
              <w:jc w:val="center"/>
              <w:ind w:left="1125"/>
              <w:spacing w:after="0"/>
              <w:rPr>
                <w:sz w:val="20"/>
                <w:szCs w:val="20"/>
                <w:color w:val="auto"/>
              </w:rPr>
            </w:pPr>
            <w:r>
              <w:rPr>
                <w:rFonts w:ascii="Times New Roman" w:cs="Times New Roman" w:eastAsia="Times New Roman" w:hAnsi="Times New Roman"/>
                <w:sz w:val="14"/>
                <w:szCs w:val="14"/>
                <w:color w:val="auto"/>
              </w:rPr>
              <w:t>(Address of principal executive offices of issuing entity)</w:t>
            </w:r>
          </w:p>
        </w:tc>
        <w:tc>
          <w:tcPr>
            <w:tcW w:w="2180" w:type="dxa"/>
            <w:vAlign w:val="bottom"/>
          </w:tcPr>
          <w:p>
            <w:pPr>
              <w:spacing w:after="0"/>
              <w:rPr>
                <w:sz w:val="16"/>
                <w:szCs w:val="16"/>
                <w:color w:val="auto"/>
              </w:rPr>
            </w:pP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4"/>
                <w:szCs w:val="14"/>
                <w:color w:val="auto"/>
              </w:rPr>
              <w:t>(Zip Code)</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2420" w:type="dxa"/>
            <w:vAlign w:val="bottom"/>
          </w:tcPr>
          <w:p>
            <w:pPr>
              <w:spacing w:after="0"/>
              <w:rPr>
                <w:sz w:val="24"/>
                <w:szCs w:val="24"/>
                <w:color w:val="auto"/>
              </w:rPr>
            </w:pPr>
          </w:p>
        </w:tc>
        <w:tc>
          <w:tcPr>
            <w:tcW w:w="5140" w:type="dxa"/>
            <w:vAlign w:val="bottom"/>
            <w:gridSpan w:val="2"/>
          </w:tcPr>
          <w:p>
            <w:pPr>
              <w:jc w:val="right"/>
              <w:ind w:right="1376"/>
              <w:spacing w:after="0"/>
              <w:rPr>
                <w:sz w:val="20"/>
                <w:szCs w:val="20"/>
                <w:color w:val="auto"/>
              </w:rPr>
            </w:pPr>
            <w:r>
              <w:rPr>
                <w:rFonts w:ascii="Times New Roman" w:cs="Times New Roman" w:eastAsia="Times New Roman" w:hAnsi="Times New Roman"/>
                <w:sz w:val="18"/>
                <w:szCs w:val="18"/>
                <w:b w:val="1"/>
                <w:bCs w:val="1"/>
                <w:color w:val="auto"/>
              </w:rPr>
              <w:t>(302) 529-6140</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(Telephone number, including area code)</w:t>
            </w:r>
          </w:p>
        </w:tc>
        <w:tc>
          <w:tcPr>
            <w:tcW w:w="1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80" w:type="dxa"/>
            <w:vAlign w:val="bottom"/>
          </w:tcPr>
          <w:p>
            <w:pPr>
              <w:jc w:val="center"/>
              <w:ind w:right="1776"/>
              <w:spacing w:after="0"/>
              <w:rPr>
                <w:sz w:val="20"/>
                <w:szCs w:val="20"/>
                <w:color w:val="auto"/>
              </w:rPr>
            </w:pPr>
            <w:r>
              <w:rPr>
                <w:rFonts w:ascii="Times New Roman" w:cs="Times New Roman" w:eastAsia="Times New Roman" w:hAnsi="Times New Roman"/>
                <w:sz w:val="18"/>
                <w:szCs w:val="18"/>
                <w:b w:val="1"/>
                <w:bCs w:val="1"/>
                <w:color w:val="auto"/>
              </w:rPr>
              <w:t>N/A</w:t>
            </w:r>
          </w:p>
        </w:tc>
        <w:tc>
          <w:tcPr>
            <w:tcW w:w="1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5140" w:type="dxa"/>
            <w:vAlign w:val="bottom"/>
            <w:gridSpan w:val="2"/>
          </w:tcPr>
          <w:p>
            <w:pPr>
              <w:jc w:val="center"/>
              <w:ind w:left="1015"/>
              <w:spacing w:after="0"/>
              <w:rPr>
                <w:sz w:val="20"/>
                <w:szCs w:val="20"/>
                <w:color w:val="auto"/>
              </w:rPr>
            </w:pPr>
            <w:r>
              <w:rPr>
                <w:rFonts w:ascii="Times New Roman" w:cs="Times New Roman" w:eastAsia="Times New Roman" w:hAnsi="Times New Roman"/>
                <w:sz w:val="14"/>
                <w:szCs w:val="14"/>
                <w:color w:val="auto"/>
              </w:rPr>
              <w:t>(Former Name, former address, if changed since last report)</w:t>
            </w:r>
          </w:p>
        </w:tc>
        <w:tc>
          <w:tcPr>
            <w:tcW w:w="1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514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_________________________</w:t>
            </w:r>
          </w:p>
        </w:tc>
        <w:tc>
          <w:tcPr>
            <w:tcW w:w="1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8"/>
        </w:trPr>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Registered/reporting pursuant to (check one)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960" w:type="dxa"/>
            <w:vAlign w:val="bottom"/>
          </w:tcPr>
          <w:p>
            <w:pPr>
              <w:jc w:val="center"/>
              <w:ind w:left="2015"/>
              <w:spacing w:after="0"/>
              <w:rPr>
                <w:sz w:val="20"/>
                <w:szCs w:val="20"/>
                <w:color w:val="auto"/>
              </w:rPr>
            </w:pPr>
            <w:r>
              <w:rPr>
                <w:rFonts w:ascii="Times New Roman" w:cs="Times New Roman" w:eastAsia="Times New Roman" w:hAnsi="Times New Roman"/>
                <w:sz w:val="14"/>
                <w:szCs w:val="14"/>
                <w:b w:val="1"/>
                <w:bCs w:val="1"/>
                <w:color w:val="auto"/>
              </w:rPr>
              <w:t>Section 12(b)</w:t>
            </w:r>
          </w:p>
        </w:tc>
        <w:tc>
          <w:tcPr>
            <w:tcW w:w="21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Section 12(g)</w:t>
            </w:r>
          </w:p>
        </w:tc>
        <w:tc>
          <w:tcPr>
            <w:tcW w:w="1920" w:type="dxa"/>
            <w:vAlign w:val="bottom"/>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Section 15(d)</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242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(If Section 12(b)</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2023-A,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2024-A, Class A, Class M, Class B</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Series 2024-B, Class A</w:t>
            </w:r>
          </w:p>
        </w:tc>
        <w:tc>
          <w:tcPr>
            <w:tcW w:w="2960" w:type="dxa"/>
            <w:vAlign w:val="bottom"/>
          </w:tcPr>
          <w:p>
            <w:pPr>
              <w:jc w:val="center"/>
              <w:ind w:left="2015"/>
              <w:spacing w:after="0" w:line="181" w:lineRule="exact"/>
              <w:rPr>
                <w:sz w:val="20"/>
                <w:szCs w:val="20"/>
                <w:color w:val="auto"/>
              </w:rPr>
            </w:pPr>
            <w:r>
              <w:rPr>
                <w:rFonts w:ascii="MS PGothic" w:cs="MS PGothic" w:eastAsia="MS PGothic" w:hAnsi="MS PGothic"/>
                <w:sz w:val="18"/>
                <w:szCs w:val="18"/>
                <w:color w:val="auto"/>
                <w:w w:val="99"/>
              </w:rPr>
              <w:t>☐</w:t>
            </w:r>
          </w:p>
        </w:tc>
        <w:tc>
          <w:tcPr>
            <w:tcW w:w="2180" w:type="dxa"/>
            <w:vAlign w:val="bottom"/>
          </w:tcPr>
          <w:p>
            <w:pPr>
              <w:jc w:val="center"/>
              <w:ind w:right="136"/>
              <w:spacing w:after="0" w:line="181" w:lineRule="exact"/>
              <w:rPr>
                <w:sz w:val="20"/>
                <w:szCs w:val="20"/>
                <w:color w:val="auto"/>
              </w:rPr>
            </w:pPr>
            <w:r>
              <w:rPr>
                <w:rFonts w:ascii="MS PGothic" w:cs="MS PGothic" w:eastAsia="MS PGothic" w:hAnsi="MS PGothic"/>
                <w:sz w:val="18"/>
                <w:szCs w:val="18"/>
                <w:color w:val="auto"/>
                <w:w w:val="88"/>
              </w:rPr>
              <w:t>☐</w:t>
            </w:r>
          </w:p>
        </w:tc>
        <w:tc>
          <w:tcPr>
            <w:tcW w:w="1920" w:type="dxa"/>
            <w:vAlign w:val="bottom"/>
          </w:tcPr>
          <w:p>
            <w:pPr>
              <w:jc w:val="center"/>
              <w:ind w:right="397"/>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4"/>
          <w:szCs w:val="24"/>
          <w:color w:val="auto"/>
        </w:rPr>
      </w:pPr>
    </w:p>
    <w:p>
      <w:pPr>
        <w:ind w:firstLine="217"/>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w:t>
      </w:r>
    </w:p>
    <w:p>
      <w:pPr>
        <w:sectPr>
          <w:pgSz w:w="11900" w:h="16838" w:orient="portrait"/>
          <w:cols w:equalWidth="0" w:num="1">
            <w:col w:w="11220"/>
          </w:cols>
          <w:pgMar w:left="340" w:top="1060" w:right="33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Distribution and Pool Performance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herein and in Exhibit 99.1.</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assets securitized by the depositor and held by World Financial Network Credit Card Master Note Trust were the subject of a demand to repurchase or replace for breach of the representations and warranties during the distribution period from April 1, 2026 to April 30,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depositor filed its most recent Form ABS-15G on February 6, 2026. The CIK number of the depositor is 0001139552.</w:t>
      </w:r>
    </w:p>
    <w:p>
      <w:pPr>
        <w:spacing w:after="0" w:line="212" w:lineRule="exact"/>
        <w:rPr>
          <w:sz w:val="20"/>
          <w:szCs w:val="20"/>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Are there any material modifications, extensions or waivers to pool asset terms, fees, penalties or payments during the distribution period or that have cumulatively become material over time?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breaches of pool asset representations and warranties or transaction covenants?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Are there any material changes in the solicitation, credit-granting, underwriting, origination or pool selection criteria or procedures?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For each of Series 2023-A, Series 2024-A, and Series 2024-B is the applicable Portfolio Yield averaged over any three consecutive Monthly Periods less than the applicable Base Rate averaged over such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8"/>
          <w:szCs w:val="18"/>
          <w:color w:val="auto"/>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Excess Funding Account was less than the Required Principal Balance on any business day during the distribution period?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Submission of Matters to a Vote of Security 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May 15, 2026 Payment Date.</w:t>
            </w:r>
          </w:p>
        </w:tc>
        <w:tc>
          <w:tcPr>
            <w:tcW w:w="0" w:type="dxa"/>
            <w:vAlign w:val="bottom"/>
          </w:tcPr>
          <w:p>
            <w:pPr>
              <w:spacing w:after="0"/>
              <w:rPr>
                <w:sz w:val="1"/>
                <w:szCs w:val="1"/>
                <w:color w:val="auto"/>
              </w:rPr>
            </w:pPr>
          </w:p>
        </w:tc>
      </w:tr>
    </w:tbl>
    <w:p>
      <w:pPr>
        <w:sectPr>
          <w:pgSz w:w="11900" w:h="16838" w:orient="portrait"/>
          <w:cols w:equalWidth="0" w:num="1">
            <w:col w:w="11080"/>
          </w:cols>
          <w:pgMar w:left="320" w:top="9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494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w w:val="98"/>
              </w:rPr>
              <w:t>WFN Credit Company, LLC, as depositor</w:t>
            </w:r>
          </w:p>
        </w:tc>
      </w:tr>
      <w:tr>
        <w:trPr>
          <w:trHeight w:val="62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2026</w:t>
            </w: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Wai Chung</w:t>
            </w:r>
          </w:p>
        </w:tc>
        <w:tc>
          <w:tcPr>
            <w:tcW w:w="1400" w:type="dxa"/>
            <w:vAlign w:val="bottom"/>
          </w:tcPr>
          <w:p>
            <w:pPr>
              <w:spacing w:after="0"/>
              <w:rPr>
                <w:sz w:val="24"/>
                <w:szCs w:val="24"/>
                <w:color w:val="auto"/>
              </w:rPr>
            </w:pPr>
          </w:p>
        </w:tc>
      </w:tr>
      <w:tr>
        <w:trPr>
          <w:trHeight w:val="245"/>
        </w:trPr>
        <w:tc>
          <w:tcPr>
            <w:tcW w:w="3240" w:type="dxa"/>
            <w:vAlign w:val="bottom"/>
          </w:tcPr>
          <w:p>
            <w:pPr>
              <w:spacing w:after="0"/>
              <w:rPr>
                <w:sz w:val="21"/>
                <w:szCs w:val="21"/>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 Chung</w:t>
            </w:r>
          </w:p>
        </w:tc>
      </w:tr>
      <w:tr>
        <w:trPr>
          <w:trHeight w:val="234"/>
        </w:trPr>
        <w:tc>
          <w:tcPr>
            <w:tcW w:w="3240" w:type="dxa"/>
            <w:vAlign w:val="bottom"/>
          </w:tcPr>
          <w:p>
            <w:pPr>
              <w:spacing w:after="0"/>
              <w:rPr>
                <w:sz w:val="20"/>
                <w:szCs w:val="20"/>
                <w:color w:val="auto"/>
              </w:rPr>
            </w:pPr>
          </w:p>
        </w:tc>
        <w:tc>
          <w:tcPr>
            <w:tcW w:w="25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r>
    </w:tbl>
    <w:p>
      <w:pPr>
        <w:sectPr>
          <w:pgSz w:w="11900" w:h="16838" w:orient="portrait"/>
          <w:cols w:equalWidth="0" w:num="1">
            <w:col w:w="11240"/>
          </w:cols>
          <w:pgMar w:left="320" w:top="98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437"/>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3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8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No.</w:t>
            </w:r>
          </w:p>
        </w:tc>
        <w:tc>
          <w:tcPr>
            <w:tcW w:w="9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rPr>
              <w:t>99.</w:t>
            </w:r>
            <w:r>
              <w:rPr>
                <w:rFonts w:ascii="Times New Roman" w:cs="Times New Roman" w:eastAsia="Times New Roman" w:hAnsi="Times New Roman"/>
                <w:sz w:val="18"/>
                <w:szCs w:val="18"/>
                <w:u w:val="single" w:color="auto"/>
                <w:color w:val="auto"/>
              </w:rPr>
              <w:t>1</w:t>
            </w:r>
          </w:p>
        </w:tc>
        <w:tc>
          <w:tcPr>
            <w:tcW w:w="300" w:type="dxa"/>
            <w:vAlign w:val="bottom"/>
          </w:tcPr>
          <w:p>
            <w:pPr>
              <w:spacing w:after="0"/>
              <w:rPr>
                <w:sz w:val="16"/>
                <w:szCs w:val="16"/>
                <w:color w:val="auto"/>
              </w:rPr>
            </w:pPr>
          </w:p>
        </w:tc>
        <w:tc>
          <w:tcPr>
            <w:tcW w:w="9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Monthly Noteholder’s Statement for World Financial Network Credit Card Master Note Trust, Series 2023-A, Series 2024-A,</w:t>
            </w: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Series 2024-B for the May 15, 2026 Payment Date.</w:t>
            </w:r>
          </w:p>
        </w:tc>
        <w:tc>
          <w:tcPr>
            <w:tcW w:w="0" w:type="dxa"/>
            <w:vAlign w:val="bottom"/>
          </w:tcPr>
          <w:p>
            <w:pPr>
              <w:spacing w:after="0"/>
              <w:rPr>
                <w:sz w:val="1"/>
                <w:szCs w:val="1"/>
                <w:color w:val="auto"/>
              </w:rPr>
            </w:pPr>
          </w:p>
        </w:tc>
      </w:tr>
    </w:tbl>
    <w:p>
      <w:pPr>
        <w:sectPr>
          <w:pgSz w:w="11900" w:h="16838" w:orient="portrait"/>
          <w:cols w:equalWidth="0" w:num="1">
            <w:col w:w="10420"/>
          </w:cols>
          <w:pgMar w:left="320" w:top="981" w:right="11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2023-A Indenture Supplement, dated as of May 16, 2023,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to be prepared with respect to the Distribution Date of May 15, 2026 and with respect to the performance of the Trust during the month of April 2026 is set forth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Capitalized terms herein are defined in the Indenture and the Indenture Supplements.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Monthly Period:</w:t>
            </w:r>
          </w:p>
        </w:tc>
        <w:tc>
          <w:tcPr>
            <w:tcW w:w="1660" w:type="dxa"/>
            <w:vAlign w:val="bottom"/>
            <w:tcBorders>
              <w:top w:val="single" w:sz="8" w:color="auto"/>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Apr-26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Period:</w:t>
            </w:r>
          </w:p>
        </w:tc>
        <w:tc>
          <w:tcPr>
            <w:tcW w:w="16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5"/>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Determination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5/13/2026</w:t>
            </w:r>
          </w:p>
        </w:tc>
        <w:tc>
          <w:tcPr>
            <w:tcW w:w="18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 of Days in Month:</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6100" w:type="dxa"/>
            <w:vAlign w:val="bottom"/>
            <w:tcBorders>
              <w:right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660" w:type="dxa"/>
            <w:vAlign w:val="bottom"/>
            <w:tcBorders>
              <w:bottom w:val="single" w:sz="8" w:color="auto"/>
              <w:right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5/15/2026</w:t>
            </w:r>
          </w:p>
        </w:tc>
        <w:tc>
          <w:tcPr>
            <w:tcW w:w="1840" w:type="dxa"/>
            <w:vAlign w:val="bottom"/>
            <w:tcBorders>
              <w:bottom w:val="single" w:sz="8" w:color="auto"/>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4/30/2026</w:t>
            </w:r>
          </w:p>
        </w:tc>
      </w:tr>
      <w:tr>
        <w:trPr>
          <w:trHeight w:val="318"/>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 DEAL PARAMETERS</w:t>
            </w: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57"/>
        </w:trPr>
        <w:tc>
          <w:tcPr>
            <w:tcW w:w="5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Initial Note Principal Balance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 Class M Initial Note Principal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Class B Initial Note Principal Balance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6"/>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 Class C Initial Note Principal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03"/>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Total Initial Note Principal Balance</w:t>
            </w: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$500,000,000.00</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 Initial Excess Collateral Amount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$184,932,000.00</w:t>
            </w: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 Class A Initial Note Principal Balance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Class M Initial Note Principal Balance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 Class B Initial Note Principal Balance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Initial Note Principal Balance %, if applicable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(k) Excess Collateral Amount %</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60" w:type="dxa"/>
            <w:vAlign w:val="bottom"/>
            <w:tcBorders>
              <w:right w:val="single" w:sz="8" w:color="CCEEFF"/>
            </w:tcBorders>
            <w:shd w:val="clear" w:color="auto" w:fill="CCEEFF"/>
          </w:tcPr>
          <w:p>
            <w:pPr>
              <w:spacing w:after="0"/>
              <w:rPr>
                <w:sz w:val="19"/>
                <w:szCs w:val="19"/>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 Required Retained Transferor Percentage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Additional Minimum Transferor % (2% Nov-Jan; 0% otherwise)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Class A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 Class A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 Class A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 Class A Margin,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7"/>
        </w:trPr>
        <w:tc>
          <w:tcPr>
            <w:tcW w:w="5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60" w:type="dxa"/>
            <w:vAlign w:val="bottom"/>
            <w:tcBorders>
              <w:right w:val="single" w:sz="8" w:color="CCEEFF"/>
            </w:tcBorders>
            <w:shd w:val="clear" w:color="auto" w:fill="CCEEFF"/>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 Class M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 Class M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 Class M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 Class B Note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 Class B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Class B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 Class C Note Interest Rate, if applicable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r>
      <w:tr>
        <w:trPr>
          <w:trHeight w:val="195"/>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(y) Class C Swap Rate, if applicable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0"/>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 Class C Swap Rate plus Spread, if applicable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610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 Servicing Fee Percentage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bl>
    <w:p>
      <w:pPr>
        <w:sectPr>
          <w:pgSz w:w="11900" w:h="16838" w:orient="portrait"/>
          <w:cols w:equalWidth="0" w:num="1">
            <w:col w:w="11260"/>
          </w:cols>
          <w:pgMar w:left="320" w:top="117"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 COLLATERAL AMOUNTS AND ALLOCATION PERCENTAGES</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5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Initial Collateral Amount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$479,454,000.00</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Initial Excess Collateral Amount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Principal Payments made to Noteholders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Principal Accumulation Account Balances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$266,096,666.66</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Unreimbursed Investor Charge-offs and Reallocated Principal Collections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 Collateral Amount - End of Current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$213,357,333.34</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$684,933,000.00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$684,932,000.00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Excess Collateral Amount - End of Current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 Required Excess Collateral Amount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$80,309,000.00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$114,727,000.00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$184,932,000.00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 Beginning Class A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Beginning Class M Note Principal Balance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 Beginning Class B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Beginning Class C Note Principal Balance, if applicable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 Total Beginning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 Ending Class A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 Ending Class M Note Principal Balance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$44,521,000.00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 Ending Class B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 Ending Class C Note Principal Balance, if applicable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8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 Total Ending Note Principal Balance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$570,206,000.00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$500,000,000.00</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Allocation Percentage- Finance Charges Collections and Default Amounts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13.66 %</w:t>
            </w:r>
          </w:p>
        </w:tc>
      </w:tr>
      <w:tr>
        <w:trPr>
          <w:trHeight w:val="223"/>
        </w:trPr>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 Allocation Percentage- Principal Collections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9.55 %</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13.64 %</w:t>
            </w:r>
          </w:p>
        </w:tc>
      </w:tr>
      <w:tr>
        <w:trPr>
          <w:trHeight w:val="55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III. RECEIVABLES IN THE TRUST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57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Beginning of the Month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$5,031,858,873.51</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 Collection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$686,646,478.64</w:t>
            </w:r>
          </w:p>
        </w:tc>
        <w:tc>
          <w:tcPr>
            <w:tcW w:w="20" w:type="dxa"/>
            <w:vAlign w:val="bottom"/>
          </w:tcPr>
          <w:p>
            <w:pPr>
              <w:spacing w:after="0"/>
              <w:rPr>
                <w:sz w:val="17"/>
                <w:szCs w:val="17"/>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Defaulted Receivables (principal charge-offs):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$37,716,535.73</w:t>
            </w:r>
          </w:p>
        </w:tc>
        <w:tc>
          <w:tcPr>
            <w:tcW w:w="20" w:type="dxa"/>
            <w:vAlign w:val="bottom"/>
          </w:tcPr>
          <w:p>
            <w:pPr>
              <w:spacing w:after="0"/>
              <w:rPr>
                <w:sz w:val="16"/>
                <w:szCs w:val="16"/>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Dilution (Principal net of Debit Adjustments):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$55,104,006.50</w:t>
            </w:r>
          </w:p>
        </w:tc>
        <w:tc>
          <w:tcPr>
            <w:tcW w:w="20" w:type="dxa"/>
            <w:vAlign w:val="bottom"/>
          </w:tcPr>
          <w:p>
            <w:pPr>
              <w:spacing w:after="0"/>
              <w:rPr>
                <w:sz w:val="18"/>
                <w:szCs w:val="18"/>
                <w:color w:val="auto"/>
              </w:rPr>
            </w:pPr>
          </w:p>
        </w:tc>
      </w:tr>
      <w:tr>
        <w:trPr>
          <w:trHeight w:val="19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 Sales (principal receivables generated):</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$717,905,028.00</w:t>
            </w:r>
          </w:p>
        </w:tc>
        <w:tc>
          <w:tcPr>
            <w:tcW w:w="20" w:type="dxa"/>
            <w:vAlign w:val="bottom"/>
          </w:tcPr>
          <w:p>
            <w:pPr>
              <w:spacing w:after="0"/>
              <w:rPr>
                <w:sz w:val="16"/>
                <w:szCs w:val="16"/>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Net (Removal)/Addition of Principal Receivables: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End of Month Principal Receivables (a - b - c - d + e + f)</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$4,970,296,880.64</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 Recoveries of previously Charged-off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$8,694,084.77</w:t>
            </w:r>
          </w:p>
        </w:tc>
        <w:tc>
          <w:tcPr>
            <w:tcW w:w="20" w:type="dxa"/>
            <w:vAlign w:val="bottom"/>
          </w:tcPr>
          <w:p>
            <w:pPr>
              <w:spacing w:after="0"/>
              <w:rPr>
                <w:sz w:val="17"/>
                <w:szCs w:val="17"/>
                <w:color w:val="auto"/>
              </w:rPr>
            </w:pPr>
          </w:p>
        </w:tc>
      </w:tr>
      <w:tr>
        <w:trPr>
          <w:trHeight w:val="216"/>
        </w:trPr>
        <w:tc>
          <w:tcPr>
            <w:tcW w:w="57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Beginning of the Month Finance Charge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$683,419,284.56</w:t>
            </w:r>
          </w:p>
        </w:tc>
        <w:tc>
          <w:tcPr>
            <w:tcW w:w="20" w:type="dxa"/>
            <w:vAlign w:val="bottom"/>
          </w:tcPr>
          <w:p>
            <w:pPr>
              <w:spacing w:after="0"/>
              <w:rPr>
                <w:sz w:val="17"/>
                <w:szCs w:val="17"/>
                <w:color w:val="auto"/>
              </w:rPr>
            </w:pPr>
          </w:p>
        </w:tc>
      </w:tr>
      <w:tr>
        <w:trPr>
          <w:trHeight w:val="18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End of the Month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$696,544,704.87</w:t>
            </w: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MONTHLY NOTEHOLDER'S STATEMENT</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WORLD FINANCIAL NETWORK CREDIT CARD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80" w:type="dxa"/>
            <w:vAlign w:val="bottom"/>
            <w:gridSpan w:val="4"/>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54"/>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IV.RECEIVABLES PERFORMANCE SUMMARY</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51"/>
        </w:trPr>
        <w:tc>
          <w:tcPr>
            <w:tcW w:w="2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COLLECTIONS: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Collections of Principal Receivables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$686,646,478.64</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 Collections of Finance Charge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$144,154,810.76</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 Total Collections (a+b).</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$830,801,289.40</w:t>
            </w:r>
          </w:p>
        </w:tc>
        <w:tc>
          <w:tcPr>
            <w:tcW w:w="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Monthly Payment Rate (% of Beginning Principal Receivables)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16.51 %</w:t>
            </w:r>
          </w:p>
        </w:tc>
        <w:tc>
          <w:tcPr>
            <w:tcW w:w="20" w:type="dxa"/>
            <w:vAlign w:val="bottom"/>
          </w:tcPr>
          <w:p>
            <w:pPr>
              <w:spacing w:after="0"/>
              <w:rPr>
                <w:sz w:val="16"/>
                <w:szCs w:val="16"/>
                <w:color w:val="auto"/>
              </w:rPr>
            </w:pPr>
          </w:p>
        </w:tc>
      </w:tr>
      <w:tr>
        <w:trPr>
          <w:trHeight w:val="284"/>
        </w:trPr>
        <w:tc>
          <w:tcPr>
            <w:tcW w:w="20" w:type="dxa"/>
            <w:vAlign w:val="bottom"/>
          </w:tcPr>
          <w:p>
            <w:pPr>
              <w:spacing w:after="0"/>
              <w:rPr>
                <w:sz w:val="24"/>
                <w:szCs w:val="24"/>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DELINQUENCIES AND LOSSES:</w:t>
            </w:r>
          </w:p>
        </w:tc>
        <w:tc>
          <w:tcPr>
            <w:tcW w:w="3620" w:type="dxa"/>
            <w:vAlign w:val="bottom"/>
          </w:tcPr>
          <w:p>
            <w:pPr>
              <w:spacing w:after="0"/>
              <w:rPr>
                <w:sz w:val="24"/>
                <w:szCs w:val="24"/>
                <w:color w:val="auto"/>
              </w:rPr>
            </w:pP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PRINCIPAL</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 OF PRINCIPAL</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 of the month delinquencies:</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RECEIVABLES</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RECEIVABLES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ACCOUNTS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OF</w:t>
            </w:r>
          </w:p>
        </w:tc>
      </w:tr>
      <w:tr>
        <w:trPr>
          <w:trHeight w:val="23"/>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1-30 days delinquent (CA1)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$171,826,427.74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200,314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0.53 %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31-60 days delinquent (CA2)</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$66,252,013.40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65,905</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0.18 %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 61-90 days delinquent (CA3)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$54,146,299.17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0.13 %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91-120 days delinquent (CA4)</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$47,631,682.91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40,868</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0.11 %</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 121-150 days delinquent (CA5)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$38,278,494.43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0.09 %</w:t>
            </w: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 151+ days delinquent (CA6)</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$33,971,500.93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0.68 %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29,462</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0.08 %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 Total delinquencies (e +f + g + h + i + j)</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$412,106,418.58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8.29 %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416,488</w:t>
            </w:r>
          </w:p>
        </w:tc>
        <w:tc>
          <w:tcPr>
            <w:tcW w:w="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1.11 %</w:t>
            </w: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Total 60+ days delinquent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$174,027,977.44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Lowest Delinquency Trigger (all series)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 Investor Requests for Communications</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None</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5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 Number of Charged-Off Accounts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 Gross Charge-Offs (principal charge-offs):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$37,716,535.73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Number of Charged-Off Accounts with Recoveries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Recoveries (includes principal, finance charges and fees)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$8,694,084.77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 Gross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 Net Principal Charge-Offs (Gross Charge-Offs - recoveries)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$29,022,450.96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2"/>
        </w:trPr>
        <w:tc>
          <w:tcPr>
            <w:tcW w:w="20" w:type="dxa"/>
            <w:vAlign w:val="bottom"/>
            <w:shd w:val="clear" w:color="auto" w:fill="CCEEFF"/>
          </w:tcPr>
          <w:p>
            <w:pPr>
              <w:spacing w:after="0"/>
              <w:rPr>
                <w:sz w:val="12"/>
                <w:szCs w:val="12"/>
                <w:color w:val="auto"/>
              </w:rPr>
            </w:pPr>
          </w:p>
        </w:tc>
        <w:tc>
          <w:tcPr>
            <w:tcW w:w="57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(u) Net Principal Charge-Off Rate</w:t>
            </w: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 of Total Principal Receivables - End of Monthly Period) - annualized</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 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(ii)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(iii) Two Months Prior Monthly Period</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(iv) Three Months Prior Monthly Period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(v) Three -Month Average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(vi) Four-Month Average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 Average Net Charge Off (net principal charge-offs/number of charged-off accounts)</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 TRANSFEROR INTEREST AND SELLER'S INTEREST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Required Retained Transferor Percentage</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Additional Minimum Transferor Percentage (2% Nov-Jan; 0% otherwise)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2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 Beginning Transferor's Amount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$1,879,910,625.04</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(d) Ending Transferor's Amount (including Excess Funding/Principal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$1,783,603,768.30</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 Minimum Transferor's Amount</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$198,811,875.23</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(f) Excess Funding Account Balance at end of Monthly Period</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 Collections and Principal Accounts Balance at end of Monthly Period</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$175,695,887.67</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Sum of Principal Receivables, Excess Funding, Collections and Principal Accounts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$5,145,992,768.31</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Required Seller's Interest (as of the most recent RR measurement date)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$119,803,416.67</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Seller's Interest (as of the most recent RR measurement date)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$2,333,981,111.03</w:t>
            </w:r>
          </w:p>
        </w:tc>
        <w:tc>
          <w:tcPr>
            <w:tcW w:w="20" w:type="dxa"/>
            <w:vAlign w:val="bottom"/>
          </w:tcPr>
          <w:p>
            <w:pPr>
              <w:spacing w:after="0"/>
              <w:rPr>
                <w:sz w:val="18"/>
                <w:szCs w:val="18"/>
                <w:color w:val="auto"/>
              </w:rPr>
            </w:pPr>
          </w:p>
        </w:tc>
      </w:tr>
      <w:tr>
        <w:trPr>
          <w:trHeight w:val="817"/>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VI. TRUST ACCOUNT BALANCES AND EARNINGS</w:t>
            </w:r>
          </w:p>
        </w:tc>
        <w:tc>
          <w:tcPr>
            <w:tcW w:w="8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80" w:type="dxa"/>
            <w:vAlign w:val="bottom"/>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BEGINNING ACCOUNT BALANCES: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 Finance Charge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$7,005,424.00</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$13,046,263.70</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$9,841,055.48</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 Cash Collateral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 Reserve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$1,995,725.00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 Principal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$58,474,390.90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 Principal Accumulation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$133,048,333.33</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60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ENDING ACCOUNT BALANCES:</w:t>
            </w: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 Finance Charge Account</w:t>
            </w:r>
          </w:p>
        </w:tc>
        <w:tc>
          <w:tcPr>
            <w:tcW w:w="3880" w:type="dxa"/>
            <w:vAlign w:val="bottom"/>
            <w:tcBorders>
              <w:top w:val="single" w:sz="8" w:color="CCEEFF"/>
            </w:tcBorders>
            <w:gridSpan w:val="3"/>
          </w:tcPr>
          <w:p>
            <w:pPr>
              <w:spacing w:after="0"/>
              <w:rPr>
                <w:sz w:val="16"/>
                <w:szCs w:val="16"/>
                <w:color w:val="auto"/>
              </w:rPr>
            </w:pP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$5,374,502.18</w:t>
            </w:r>
          </w:p>
        </w:tc>
        <w:tc>
          <w:tcPr>
            <w:tcW w:w="8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$10,196,315.04</w:t>
            </w:r>
          </w:p>
        </w:tc>
        <w:tc>
          <w:tcPr>
            <w:tcW w:w="8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$9,842,136.82</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(h) Cash Collateral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 Spread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(j) Reserve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$1,995,725.00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$2,851,030.00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(k) Principal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$61,660,657.28</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(l)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$266,096,666.66</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6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INTEREST AND EARNINGS: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 Interest and Earnings on Finance Charge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$16,250.24</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$38,027.36</w:t>
            </w:r>
          </w:p>
        </w:tc>
        <w:tc>
          <w:tcPr>
            <w:tcW w:w="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$31,201.11</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 Interest and Earnings on Cash Collateral Account,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 Interest and Earnings on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 Interest and Earnings on Reserve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$5,742.52</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$2,184.60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(q) Interest and Earnings on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$586,473.99</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 Interest and Earnings on Principal Account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$172,091.93</w:t>
            </w:r>
          </w:p>
        </w:tc>
        <w:tc>
          <w:tcPr>
            <w:tcW w:w="8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 Interest and Earnings on Collection Account (allocated)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$27,101.02</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$87,001.39</w:t>
            </w: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$87,001.26</w:t>
            </w: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VII. ALLOCATION and APPLICATION of COLLECTIONS</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APPLICATIONS OF FINANCE CHARGE COLLECTIONS: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 Floating Allocation of Finance Charges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$6,933,969.18</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$19,794,273.61</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$19,785,233.92</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 Class A Monthly Interest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$1,464,166.67</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$2,279,166.67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$1,925,000.00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 Class A Swap Payment Due to (from) Swap Provider, if applicable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 Class M Monthly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$136,866.29</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 Class M Swap Payment Due to (from) Swap Provider, if applicable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 Class B Monthly Interest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 Class B Swap Payment Due to (from) Swap Provider, if applicable</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 Servicing Fee (Collateral Amount*2%/12)</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$355,595.56</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$1,141,555.00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$1,141,553.33</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 Class C Monthly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 Class C Swap Payment Due to (from) Swap Provider, if applicable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 Investor Default Amounts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$1,615,339.09</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$5,185,662.14</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$5,185,654.57</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 Uncovered Dilution Amounts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 Unreimbursed Investor Chargeoffs &amp; Reallocated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 Required to be Deposited into Cash Collateral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 Required Reserve Account Amount, if applicable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 Required to be Deposited into the Spread Account, if applicable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(q) Required Payments and Deposits Relating to Interest Rate Swaps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 Other Payments Required to be made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23"/>
        </w:trPr>
        <w:tc>
          <w:tcPr>
            <w:tcW w:w="2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Excess Finance Charge Collections (a-b-c-d-e-f-g-h-i-j-k-l-m-n-o-p-q-r)</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$3,362,001.57</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$11,187,889.80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$11,533,026.02</w:t>
            </w: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APPLICATION OF PRINCIPAL COLLECTIONS:</w:t>
            </w: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 Investor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$65,569,969.37</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$93,671,208.98</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$93,671,072.22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 Less Reallocated Principal Collections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 Plus Shared Principal Collections from other Principal Sharing Series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$65,863,024.88</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60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 Plus Aggregate amount of Finance Charge Collections applied to cover Defaults and Uncovered</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$1,615,339.09</w:t>
            </w:r>
          </w:p>
        </w:tc>
        <w:tc>
          <w:tcPr>
            <w:tcW w:w="8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$5,185,662.14</w:t>
            </w:r>
          </w:p>
        </w:tc>
        <w:tc>
          <w:tcPr>
            <w:tcW w:w="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$5,185,654.57</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and to be treated as Available Principal Collections</w:t>
            </w:r>
          </w:p>
        </w:tc>
        <w:tc>
          <w:tcPr>
            <w:tcW w:w="1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(x) Available Principal Collections (t+u+v+w)</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$133,048,333.34</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$98,856,871.12</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$98,856,726.79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(y) Deposits to Principal Accumulation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$133,048,333.34</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(z) Monthly Principal applied for payments to the Class A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(aa) Monthly Principal applied for payments to the Class M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(ab) Monthly Principal applied for payments to the Class B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 Monthly Principal applied for payments to the Class C Noteholders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 Shared Principal Collections applied to other Principal Sharing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$15,161,473.27</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$15,161,451.13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VIII. INVESTOR CHARGE-OFFS</w:t>
            </w: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203"/>
        </w:trPr>
        <w:tc>
          <w:tcPr>
            <w:tcW w:w="5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0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Investor Defaults and Uncovered Dilution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$1,615,339.09</w:t>
            </w: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$5,185,662.14</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$5,185,654.57</w:t>
            </w:r>
          </w:p>
        </w:tc>
      </w:tr>
      <w:tr>
        <w:trPr>
          <w:trHeight w:val="19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 Reimbursed from Available Funds</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$1,615,339.09</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$5,185,662.14</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$5,185,654.57</w:t>
            </w: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Reimbursed from Excess Funding Account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95"/>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 Total reimbursed in respect of Investor Defaults and Dilution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$1,615,339.09</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$5,185,662.14</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$5,185,654.57</w:t>
            </w: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Investor Charge-off (a - 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IX. YIELD and BASE RATE</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Series 2023-A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r>
      <w:tr>
        <w:trPr>
          <w:trHeight w:val="351"/>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518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(Monthly interest, any net swap payments and monthly servicing fees divided by collateral</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amounts plus amounts on deposit in the principal accumulation account)</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 Base Rate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 Base Rate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 Base Rate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(d) 3 Month Average Base Rate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365"/>
        </w:trPr>
        <w:tc>
          <w:tcPr>
            <w:tcW w:w="2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Gross Portfolio Yield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allocable to each series divided by the collateral amount)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 Gross Portfolio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 Gross Portfolio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35.31 %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 Gross Portfolio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(h) 3 Month Average Gross Portfolio Yield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34.54 %</w:t>
            </w:r>
          </w:p>
        </w:tc>
      </w:tr>
      <w:tr>
        <w:trPr>
          <w:trHeight w:val="364"/>
        </w:trPr>
        <w:tc>
          <w:tcPr>
            <w:tcW w:w="20" w:type="dxa"/>
            <w:vAlign w:val="bottom"/>
          </w:tcPr>
          <w:p>
            <w:pPr>
              <w:spacing w:after="0"/>
              <w:rPr>
                <w:sz w:val="24"/>
                <w:szCs w:val="24"/>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Portfolio Yield</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(Finance charge collections less defaults allocable to each series divided by the collateral amount</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plus amounts on deposit in the principal accumulation account)</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(i) Portfolio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(j) Portfolio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(k) Portfolio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 3 Month Average Portfolio Yield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25.35 %</w:t>
            </w:r>
          </w:p>
        </w:tc>
      </w:tr>
      <w:tr>
        <w:trPr>
          <w:trHeight w:val="364"/>
        </w:trPr>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Excess Spread Percentage</w:t>
            </w:r>
          </w:p>
        </w:tc>
        <w:tc>
          <w:tcPr>
            <w:tcW w:w="420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(Portfolio Yield less Base Rate)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 Portfolio Adjusted Yield (current month)</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20.21 %</w:t>
            </w:r>
          </w:p>
        </w:tc>
      </w:tr>
      <w:tr>
        <w:trPr>
          <w:trHeight w:val="195"/>
        </w:trPr>
        <w:tc>
          <w:tcPr>
            <w:tcW w:w="20" w:type="dxa"/>
            <w:vAlign w:val="bottom"/>
          </w:tcPr>
          <w:p>
            <w:pPr>
              <w:spacing w:after="0"/>
              <w:rPr>
                <w:sz w:val="16"/>
                <w:szCs w:val="16"/>
                <w:color w:val="auto"/>
              </w:rPr>
            </w:pPr>
          </w:p>
        </w:tc>
        <w:tc>
          <w:tcPr>
            <w:tcW w:w="58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 Portfolio Adjusted Yield (prior month)</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18.73 %</w:t>
            </w:r>
          </w:p>
        </w:tc>
        <w:tc>
          <w:tcPr>
            <w:tcW w:w="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19.34 %</w:t>
            </w:r>
          </w:p>
        </w:tc>
      </w:tr>
      <w:tr>
        <w:trPr>
          <w:trHeight w:val="210"/>
        </w:trPr>
        <w:tc>
          <w:tcPr>
            <w:tcW w:w="20" w:type="dxa"/>
            <w:vAlign w:val="bottom"/>
            <w:shd w:val="clear" w:color="auto" w:fill="CCEEFF"/>
          </w:tcPr>
          <w:p>
            <w:pPr>
              <w:spacing w:after="0"/>
              <w:rPr>
                <w:sz w:val="18"/>
                <w:szCs w:val="18"/>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(o) Portfolio Adjusted Yield (2 months prior)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19.76 %</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20.38 %</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58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 Portfolio Adjusted Yield (3 month average)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19.36 %</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The Series 2023-A controlled accumulation period commenced in February 2026.</w:t>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 PRINCIPAL ACCUMULATION ACCOUNT</w:t>
            </w:r>
          </w:p>
        </w:tc>
        <w:tc>
          <w:tcPr>
            <w:tcW w:w="1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Cumulative Class A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$233,333,333.34</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$116,666,666.66</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deposited in the PAA (a + b)</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$350,000,000.00</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Cumulative Class M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$20,776,666.66</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$10,388,333.34</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deposited in the PAA (d +e)</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$31,165,000.00</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6"/>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Cumulative Class B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$11,986,666.66</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$5,993,333.34</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deposited in the PAA (g + h)</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$17,980,000.00</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Cumulative Class C principal distributed to PAA (as of prior distribution date)</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deposited in the Principal Accumulation Account (PAA)</w:t>
            </w: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deposited in the PAA (j + k)</w:t>
            </w:r>
          </w:p>
        </w:tc>
        <w:tc>
          <w:tcPr>
            <w:tcW w:w="1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57"/>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60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Ending PAA balance (c + f + i + l)</w:t>
            </w:r>
          </w:p>
        </w:tc>
        <w:tc>
          <w:tcPr>
            <w:tcW w:w="182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$399,145,000.00</w:t>
            </w: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XI. PRINCIPAL REPAYMENT</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Series 2023-A</w:t>
            </w:r>
          </w:p>
        </w:tc>
        <w:tc>
          <w:tcPr>
            <w:tcW w:w="1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Series 2024-A</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Series 2024-B</w:t>
            </w:r>
          </w:p>
        </w:tc>
        <w:tc>
          <w:tcPr>
            <w:tcW w:w="20" w:type="dxa"/>
            <w:vAlign w:val="bottom"/>
          </w:tcPr>
          <w:p>
            <w:pPr>
              <w:spacing w:after="0"/>
              <w:rPr>
                <w:sz w:val="19"/>
                <w:szCs w:val="19"/>
                <w:color w:val="auto"/>
              </w:rPr>
            </w:pPr>
          </w:p>
        </w:tc>
      </w:tr>
      <w:tr>
        <w:trPr>
          <w:trHeight w:val="203"/>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 Class A Principal Paid (as of prior distribution dates)</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right w:val="single" w:sz="8" w:color="CCEEFF"/>
            </w:tcBorders>
            <w:shd w:val="clear" w:color="auto" w:fill="CCEEFF"/>
          </w:tcPr>
          <w:p>
            <w:pPr>
              <w:spacing w:after="0"/>
              <w:rPr>
                <w:sz w:val="17"/>
                <w:szCs w:val="17"/>
                <w:color w:val="auto"/>
              </w:rPr>
            </w:pP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(b) Class A Principal Payments (to be paid on current distribution date)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Total Class A Principal Paid (a + b)</w:t>
            </w: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$350,000,000.00</w:t>
            </w:r>
          </w:p>
        </w:tc>
        <w:tc>
          <w:tcPr>
            <w:tcW w:w="100" w:type="dxa"/>
            <w:vAlign w:val="bottom"/>
            <w:tcBorders>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 Class M Principal Paid (as of prior distribution dates)</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right w:val="single" w:sz="8" w:color="CCEEFF"/>
            </w:tcBorders>
            <w:shd w:val="clear" w:color="auto" w:fill="CCEEFF"/>
          </w:tcPr>
          <w:p>
            <w:pPr>
              <w:spacing w:after="0"/>
              <w:rPr>
                <w:sz w:val="17"/>
                <w:szCs w:val="17"/>
                <w:color w:val="auto"/>
              </w:rPr>
            </w:pP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 Class M Principal Payments (to be paid on current distribution date)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 Total Class M Principal Paid (d + e)</w:t>
            </w: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$31,165,000.00</w:t>
            </w:r>
          </w:p>
        </w:tc>
        <w:tc>
          <w:tcPr>
            <w:tcW w:w="100" w:type="dxa"/>
            <w:vAlign w:val="bottom"/>
            <w:tcBorders>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 Class B Principal Paid (as of prior distribution dates)</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right w:val="single" w:sz="8" w:color="CCEEFF"/>
            </w:tcBorders>
            <w:shd w:val="clear" w:color="auto" w:fill="CCEEFF"/>
          </w:tcPr>
          <w:p>
            <w:pPr>
              <w:spacing w:after="0"/>
              <w:rPr>
                <w:sz w:val="17"/>
                <w:szCs w:val="17"/>
                <w:color w:val="auto"/>
              </w:rPr>
            </w:pP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(h) Class B Principal Payments (to be made on current distribution date)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 Total Class B Principal Paid (g + h)</w:t>
            </w: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$17,980,000.00</w:t>
            </w:r>
          </w:p>
        </w:tc>
        <w:tc>
          <w:tcPr>
            <w:tcW w:w="100" w:type="dxa"/>
            <w:vAlign w:val="bottom"/>
            <w:tcBorders>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Class C Principal Paid (as of prior distribution dates)</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right w:val="single" w:sz="8" w:color="CCEEFF"/>
            </w:tcBorders>
            <w:shd w:val="clear" w:color="auto" w:fill="CCEEFF"/>
          </w:tcPr>
          <w:p>
            <w:pPr>
              <w:spacing w:after="0"/>
              <w:rPr>
                <w:sz w:val="17"/>
                <w:szCs w:val="17"/>
                <w:color w:val="auto"/>
              </w:rPr>
            </w:pP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(k) Class C Principal Payments (to be made on current distribution date)</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 Total Class C Principal Paid (j + k)</w:t>
            </w:r>
          </w:p>
        </w:tc>
        <w:tc>
          <w:tcPr>
            <w:tcW w:w="1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Borders>
              <w:right w:val="single" w:sz="8" w:color="auto"/>
            </w:tcBorders>
            <w:shd w:val="clear" w:color="auto" w:fill="CCEEFF"/>
          </w:tcPr>
          <w:p>
            <w:pPr>
              <w:spacing w:after="0"/>
              <w:rPr>
                <w:sz w:val="17"/>
                <w:szCs w:val="17"/>
                <w:color w:val="auto"/>
              </w:rPr>
            </w:pPr>
          </w:p>
        </w:tc>
        <w:tc>
          <w:tcPr>
            <w:tcW w:w="1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Borders>
              <w:bottom w:val="single" w:sz="8" w:color="auto"/>
            </w:tcBorders>
            <w:shd w:val="clear" w:color="auto" w:fill="000000"/>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 Total Principal Paid (c + f + i + l)</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$399,145,000.00</w:t>
            </w:r>
          </w:p>
        </w:tc>
        <w:tc>
          <w:tcPr>
            <w:tcW w:w="100" w:type="dxa"/>
            <w:vAlign w:val="bottom"/>
            <w:tcBorders>
              <w:right w:val="single" w:sz="8" w:color="CCEEFF"/>
            </w:tcBorders>
            <w:shd w:val="clear" w:color="auto" w:fill="CCEEFF"/>
          </w:tcPr>
          <w:p>
            <w:pPr>
              <w:spacing w:after="0"/>
              <w:rPr>
                <w:sz w:val="17"/>
                <w:szCs w:val="17"/>
                <w:color w:val="auto"/>
              </w:rPr>
            </w:pPr>
          </w:p>
        </w:tc>
        <w:tc>
          <w:tcPr>
            <w:tcW w:w="1740" w:type="dxa"/>
            <w:vAlign w:val="bottom"/>
            <w:tcBorders>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 w:type="dxa"/>
            <w:vAlign w:val="bottom"/>
          </w:tcPr>
          <w:p>
            <w:pPr>
              <w:spacing w:after="0"/>
              <w:rPr>
                <w:sz w:val="17"/>
                <w:szCs w:val="17"/>
                <w:color w:val="auto"/>
              </w:rPr>
            </w:pPr>
          </w:p>
        </w:tc>
      </w:tr>
    </w:tbl>
    <w:p>
      <w:pPr>
        <w:sectPr>
          <w:pgSz w:w="11900" w:h="16838" w:orient="portrait"/>
          <w:cols w:equalWidth="0" w:num="1">
            <w:col w:w="11260"/>
          </w:cols>
          <w:pgMar w:left="320" w:top="117" w:right="3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MONTHLY NOTEHOLDER'S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WORLD FINANCIAL NETWORK CREDIT CARD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MASTER NOTE TRUST SERIES 2023-A, 2024-A &amp; 2024-B</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XII.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974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1714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Solely with respect to the Series 2023-A, Series 2024-A, and Series 2024-B Notes: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Comenity Bank (the “Bank”) hereby confirms that, with reference to the EU Securitization Rules and the UK Securitization Rules, in each case as in effect on the Closing Date:</w:t>
      </w:r>
    </w:p>
    <w:p>
      <w:pPr>
        <w:spacing w:after="0" w:line="244" w:lineRule="exact"/>
        <w:rPr>
          <w:sz w:val="20"/>
          <w:szCs w:val="20"/>
          <w:color w:val="auto"/>
        </w:rPr>
      </w:pPr>
    </w:p>
    <w:p>
      <w:pPr>
        <w:ind w:right="60" w:firstLine="8"/>
        <w:spacing w:after="0" w:line="251" w:lineRule="auto"/>
        <w:tabs>
          <w:tab w:leader="none" w:pos="17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“originator” for purposes of the EU Securitization Rules and UK Securitization Rules, the Bank continues and will continue to retain on an ongoing basis a material net economic interest in the transaction constituted by the issuance of the Series 2023-A Notes,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spacing w:after="0" w:line="211" w:lineRule="exact"/>
        <w:rPr>
          <w:rFonts w:ascii="Times New Roman" w:cs="Times New Roman" w:eastAsia="Times New Roman" w:hAnsi="Times New Roman"/>
          <w:sz w:val="14"/>
          <w:szCs w:val="14"/>
          <w:color w:val="auto"/>
        </w:rPr>
      </w:pPr>
    </w:p>
    <w:p>
      <w:pPr>
        <w:ind w:right="80" w:firstLine="8"/>
        <w:spacing w:after="0" w:line="261" w:lineRule="auto"/>
        <w:tabs>
          <w:tab w:leader="none" w:pos="21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spacing w:after="0" w:line="203" w:lineRule="exact"/>
        <w:rPr>
          <w:rFonts w:ascii="Times New Roman" w:cs="Times New Roman" w:eastAsia="Times New Roman" w:hAnsi="Times New Roman"/>
          <w:sz w:val="14"/>
          <w:szCs w:val="14"/>
          <w:color w:val="auto"/>
        </w:rPr>
      </w:pPr>
    </w:p>
    <w:p>
      <w:pPr>
        <w:ind w:right="640" w:firstLine="8"/>
        <w:spacing w:after="0" w:line="282" w:lineRule="auto"/>
        <w:tabs>
          <w:tab w:leader="none" w:pos="2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 has not changed and will not change the retention option or method of calculation of the material net economic interest referred to in (i), except as permitted under the EU Securitization Rules and the UK Securitization Rules.</w:t>
      </w:r>
    </w:p>
    <w:p>
      <w:pPr>
        <w:spacing w:after="0" w:line="18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w:t>
      </w:r>
    </w:p>
    <w:p>
      <w:pPr>
        <w:spacing w:after="0" w:line="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803265" cy="711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03265" cy="7118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Comenity Bank, as Servicer</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Wai Chung</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Wai Chung</w:t>
            </w:r>
          </w:p>
        </w:tc>
        <w:tc>
          <w:tcPr>
            <w:tcW w:w="0" w:type="dxa"/>
            <w:vAlign w:val="bottom"/>
          </w:tcPr>
          <w:p>
            <w:pPr>
              <w:spacing w:after="0"/>
              <w:rPr>
                <w:sz w:val="1"/>
                <w:szCs w:val="1"/>
                <w:color w:val="auto"/>
              </w:rPr>
            </w:pPr>
          </w:p>
        </w:tc>
      </w:tr>
      <w:tr>
        <w:trPr>
          <w:trHeight w:val="19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2026-05-15T06:34:14Z</dcterms:created>
  <dcterms:modified xsi:type="dcterms:W3CDTF">2026-05-15T06:34:14Z</dcterms:modified>
</cp:coreProperties>
</file>