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March 23, 2022</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ALLIANCE DATA SYSTEMS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3"/>
        </w:trPr>
        <w:tc>
          <w:tcPr>
            <w:tcW w:w="248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Delaware</w:t>
            </w:r>
          </w:p>
        </w:tc>
        <w:tc>
          <w:tcPr>
            <w:tcW w:w="52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001-15749</w:t>
            </w:r>
          </w:p>
        </w:tc>
        <w:tc>
          <w:tcPr>
            <w:tcW w:w="1920" w:type="dxa"/>
            <w:vAlign w:val="bottom"/>
          </w:tcPr>
          <w:p>
            <w:pPr>
              <w:jc w:val="center"/>
              <w:ind w:left="212"/>
              <w:spacing w:after="0"/>
              <w:rPr>
                <w:sz w:val="20"/>
                <w:szCs w:val="20"/>
                <w:color w:val="auto"/>
              </w:rPr>
            </w:pPr>
            <w:r>
              <w:rPr>
                <w:rFonts w:ascii="Arial" w:cs="Arial" w:eastAsia="Arial" w:hAnsi="Arial"/>
                <w:sz w:val="22"/>
                <w:szCs w:val="22"/>
                <w:b w:val="1"/>
                <w:bCs w:val="1"/>
                <w:color w:val="auto"/>
                <w:w w:val="88"/>
              </w:rPr>
              <w:t>31-1429215</w:t>
            </w:r>
          </w:p>
        </w:tc>
      </w:tr>
      <w:tr>
        <w:trPr>
          <w:trHeight w:val="243"/>
        </w:trPr>
        <w:tc>
          <w:tcPr>
            <w:tcW w:w="2480" w:type="dxa"/>
            <w:vAlign w:val="bottom"/>
          </w:tcPr>
          <w:p>
            <w:pPr>
              <w:jc w:val="center"/>
              <w:ind w:right="32"/>
              <w:spacing w:after="0" w:line="243" w:lineRule="exact"/>
              <w:rPr>
                <w:sz w:val="20"/>
                <w:szCs w:val="20"/>
                <w:color w:val="auto"/>
              </w:rPr>
            </w:pPr>
            <w:r>
              <w:rPr>
                <w:rFonts w:ascii="Arial" w:cs="Arial" w:eastAsia="Arial" w:hAnsi="Arial"/>
                <w:sz w:val="22"/>
                <w:szCs w:val="22"/>
                <w:color w:val="auto"/>
                <w:w w:val="89"/>
              </w:rPr>
              <w:t>(State or Other Jurisdiction</w:t>
            </w:r>
          </w:p>
        </w:tc>
        <w:tc>
          <w:tcPr>
            <w:tcW w:w="5220" w:type="dxa"/>
            <w:vAlign w:val="bottom"/>
          </w:tcPr>
          <w:p>
            <w:pPr>
              <w:jc w:val="center"/>
              <w:ind w:right="92"/>
              <w:spacing w:after="0" w:line="243" w:lineRule="exact"/>
              <w:rPr>
                <w:sz w:val="20"/>
                <w:szCs w:val="20"/>
                <w:color w:val="auto"/>
              </w:rPr>
            </w:pPr>
            <w:r>
              <w:rPr>
                <w:rFonts w:ascii="Arial" w:cs="Arial" w:eastAsia="Arial" w:hAnsi="Arial"/>
                <w:sz w:val="22"/>
                <w:szCs w:val="22"/>
                <w:color w:val="auto"/>
                <w:w w:val="91"/>
              </w:rPr>
              <w:t>(Commission</w:t>
            </w:r>
          </w:p>
        </w:tc>
        <w:tc>
          <w:tcPr>
            <w:tcW w:w="1920" w:type="dxa"/>
            <w:vAlign w:val="bottom"/>
          </w:tcPr>
          <w:p>
            <w:pPr>
              <w:jc w:val="center"/>
              <w:ind w:left="212"/>
              <w:spacing w:after="0" w:line="243" w:lineRule="exact"/>
              <w:rPr>
                <w:sz w:val="20"/>
                <w:szCs w:val="20"/>
                <w:color w:val="auto"/>
              </w:rPr>
            </w:pPr>
            <w:r>
              <w:rPr>
                <w:rFonts w:ascii="Arial" w:cs="Arial" w:eastAsia="Arial" w:hAnsi="Arial"/>
                <w:sz w:val="22"/>
                <w:szCs w:val="22"/>
                <w:color w:val="auto"/>
                <w:w w:val="92"/>
              </w:rPr>
              <w:t>(IRS Employer</w:t>
            </w:r>
          </w:p>
        </w:tc>
      </w:tr>
      <w:tr>
        <w:trPr>
          <w:trHeight w:val="274"/>
        </w:trPr>
        <w:tc>
          <w:tcPr>
            <w:tcW w:w="2480" w:type="dxa"/>
            <w:vAlign w:val="bottom"/>
          </w:tcPr>
          <w:p>
            <w:pPr>
              <w:jc w:val="center"/>
              <w:ind w:right="12"/>
              <w:spacing w:after="0"/>
              <w:rPr>
                <w:sz w:val="20"/>
                <w:szCs w:val="20"/>
                <w:color w:val="auto"/>
              </w:rPr>
            </w:pPr>
            <w:r>
              <w:rPr>
                <w:rFonts w:ascii="Arial" w:cs="Arial" w:eastAsia="Arial" w:hAnsi="Arial"/>
                <w:sz w:val="22"/>
                <w:szCs w:val="22"/>
                <w:color w:val="auto"/>
                <w:w w:val="92"/>
              </w:rPr>
              <w:t>of Incorporation)</w:t>
            </w:r>
          </w:p>
        </w:tc>
        <w:tc>
          <w:tcPr>
            <w:tcW w:w="5220" w:type="dxa"/>
            <w:vAlign w:val="bottom"/>
          </w:tcPr>
          <w:p>
            <w:pPr>
              <w:jc w:val="center"/>
              <w:ind w:right="92"/>
              <w:spacing w:after="0"/>
              <w:rPr>
                <w:sz w:val="20"/>
                <w:szCs w:val="20"/>
                <w:color w:val="auto"/>
              </w:rPr>
            </w:pPr>
            <w:r>
              <w:rPr>
                <w:rFonts w:ascii="Arial" w:cs="Arial" w:eastAsia="Arial" w:hAnsi="Arial"/>
                <w:sz w:val="22"/>
                <w:szCs w:val="22"/>
                <w:color w:val="auto"/>
                <w:w w:val="92"/>
              </w:rPr>
              <w:t>File Number)</w:t>
            </w:r>
          </w:p>
        </w:tc>
        <w:tc>
          <w:tcPr>
            <w:tcW w:w="1920" w:type="dxa"/>
            <w:vAlign w:val="bottom"/>
          </w:tcPr>
          <w:p>
            <w:pPr>
              <w:jc w:val="center"/>
              <w:ind w:left="212"/>
              <w:spacing w:after="0"/>
              <w:rPr>
                <w:sz w:val="20"/>
                <w:szCs w:val="20"/>
                <w:color w:val="auto"/>
              </w:rPr>
            </w:pPr>
            <w:r>
              <w:rPr>
                <w:rFonts w:ascii="Arial" w:cs="Arial" w:eastAsia="Arial" w:hAnsi="Arial"/>
                <w:sz w:val="22"/>
                <w:szCs w:val="22"/>
                <w:color w:val="auto"/>
                <w:w w:val="93"/>
              </w:rPr>
              <w:t>Identification No.)</w:t>
            </w:r>
          </w:p>
        </w:tc>
      </w:tr>
      <w:tr>
        <w:trPr>
          <w:trHeight w:val="692"/>
        </w:trPr>
        <w:tc>
          <w:tcPr>
            <w:tcW w:w="2480" w:type="dxa"/>
            <w:vAlign w:val="bottom"/>
          </w:tcPr>
          <w:p>
            <w:pPr>
              <w:spacing w:after="0"/>
              <w:rPr>
                <w:sz w:val="24"/>
                <w:szCs w:val="24"/>
                <w:color w:val="auto"/>
              </w:rPr>
            </w:pPr>
          </w:p>
        </w:tc>
        <w:tc>
          <w:tcPr>
            <w:tcW w:w="5220" w:type="dxa"/>
            <w:vAlign w:val="bottom"/>
          </w:tcPr>
          <w:p>
            <w:pPr>
              <w:jc w:val="center"/>
              <w:ind w:right="72"/>
              <w:spacing w:after="0"/>
              <w:rPr>
                <w:sz w:val="20"/>
                <w:szCs w:val="20"/>
                <w:color w:val="auto"/>
              </w:rPr>
            </w:pPr>
            <w:r>
              <w:rPr>
                <w:rFonts w:ascii="Arial" w:cs="Arial" w:eastAsia="Arial" w:hAnsi="Arial"/>
                <w:sz w:val="22"/>
                <w:szCs w:val="22"/>
                <w:b w:val="1"/>
                <w:bCs w:val="1"/>
                <w:color w:val="auto"/>
                <w:w w:val="97"/>
              </w:rPr>
              <w:t>3095 LOYALTY CIRCLE</w:t>
            </w:r>
          </w:p>
        </w:tc>
        <w:tc>
          <w:tcPr>
            <w:tcW w:w="1920" w:type="dxa"/>
            <w:vAlign w:val="bottom"/>
          </w:tcPr>
          <w:p>
            <w:pPr>
              <w:spacing w:after="0"/>
              <w:rPr>
                <w:sz w:val="24"/>
                <w:szCs w:val="24"/>
                <w:color w:val="auto"/>
              </w:rPr>
            </w:pPr>
          </w:p>
        </w:tc>
      </w:tr>
      <w:tr>
        <w:trPr>
          <w:trHeight w:val="249"/>
        </w:trPr>
        <w:tc>
          <w:tcPr>
            <w:tcW w:w="2480" w:type="dxa"/>
            <w:vAlign w:val="bottom"/>
          </w:tcPr>
          <w:p>
            <w:pPr>
              <w:spacing w:after="0"/>
              <w:rPr>
                <w:sz w:val="21"/>
                <w:szCs w:val="21"/>
                <w:color w:val="auto"/>
              </w:rPr>
            </w:pPr>
          </w:p>
        </w:tc>
        <w:tc>
          <w:tcPr>
            <w:tcW w:w="5220" w:type="dxa"/>
            <w:vAlign w:val="bottom"/>
          </w:tcPr>
          <w:p>
            <w:pPr>
              <w:jc w:val="center"/>
              <w:ind w:right="72"/>
              <w:spacing w:after="0" w:line="249" w:lineRule="exact"/>
              <w:rPr>
                <w:sz w:val="20"/>
                <w:szCs w:val="20"/>
                <w:color w:val="auto"/>
              </w:rPr>
            </w:pPr>
            <w:r>
              <w:rPr>
                <w:rFonts w:ascii="Arial" w:cs="Arial" w:eastAsia="Arial" w:hAnsi="Arial"/>
                <w:sz w:val="22"/>
                <w:szCs w:val="22"/>
                <w:b w:val="1"/>
                <w:bCs w:val="1"/>
                <w:color w:val="auto"/>
                <w:w w:val="93"/>
              </w:rPr>
              <w:t>COLUMBUS, Ohio 43219</w:t>
            </w:r>
          </w:p>
        </w:tc>
        <w:tc>
          <w:tcPr>
            <w:tcW w:w="1920" w:type="dxa"/>
            <w:vAlign w:val="bottom"/>
          </w:tcPr>
          <w:p>
            <w:pPr>
              <w:spacing w:after="0"/>
              <w:rPr>
                <w:sz w:val="21"/>
                <w:szCs w:val="21"/>
                <w:color w:val="auto"/>
              </w:rPr>
            </w:pPr>
          </w:p>
        </w:tc>
      </w:tr>
      <w:tr>
        <w:trPr>
          <w:trHeight w:val="274"/>
        </w:trPr>
        <w:tc>
          <w:tcPr>
            <w:tcW w:w="2480" w:type="dxa"/>
            <w:vAlign w:val="bottom"/>
          </w:tcPr>
          <w:p>
            <w:pPr>
              <w:spacing w:after="0"/>
              <w:rPr>
                <w:sz w:val="23"/>
                <w:szCs w:val="23"/>
                <w:color w:val="auto"/>
              </w:rPr>
            </w:pPr>
          </w:p>
        </w:tc>
        <w:tc>
          <w:tcPr>
            <w:tcW w:w="5220" w:type="dxa"/>
            <w:vAlign w:val="bottom"/>
          </w:tcPr>
          <w:p>
            <w:pPr>
              <w:jc w:val="center"/>
              <w:ind w:right="72"/>
              <w:spacing w:after="0"/>
              <w:rPr>
                <w:sz w:val="20"/>
                <w:szCs w:val="20"/>
                <w:color w:val="auto"/>
              </w:rPr>
            </w:pPr>
            <w:r>
              <w:rPr>
                <w:rFonts w:ascii="Arial" w:cs="Arial" w:eastAsia="Arial" w:hAnsi="Arial"/>
                <w:sz w:val="22"/>
                <w:szCs w:val="22"/>
                <w:color w:val="auto"/>
                <w:w w:val="90"/>
              </w:rPr>
              <w:t>(Address and Zip Code of Principal Executive Offices)</w:t>
            </w:r>
          </w:p>
        </w:tc>
        <w:tc>
          <w:tcPr>
            <w:tcW w:w="1920" w:type="dxa"/>
            <w:vAlign w:val="bottom"/>
          </w:tcPr>
          <w:p>
            <w:pPr>
              <w:spacing w:after="0"/>
              <w:rPr>
                <w:sz w:val="23"/>
                <w:szCs w:val="23"/>
                <w:color w:val="auto"/>
              </w:rPr>
            </w:pPr>
          </w:p>
        </w:tc>
      </w:tr>
      <w:tr>
        <w:trPr>
          <w:trHeight w:val="455"/>
        </w:trPr>
        <w:tc>
          <w:tcPr>
            <w:tcW w:w="2480" w:type="dxa"/>
            <w:vAlign w:val="bottom"/>
          </w:tcPr>
          <w:p>
            <w:pPr>
              <w:spacing w:after="0"/>
              <w:rPr>
                <w:sz w:val="24"/>
                <w:szCs w:val="24"/>
                <w:color w:val="auto"/>
              </w:rPr>
            </w:pPr>
          </w:p>
        </w:tc>
        <w:tc>
          <w:tcPr>
            <w:tcW w:w="5220" w:type="dxa"/>
            <w:vAlign w:val="bottom"/>
          </w:tcPr>
          <w:p>
            <w:pPr>
              <w:jc w:val="center"/>
              <w:ind w:right="72"/>
              <w:spacing w:after="0"/>
              <w:rPr>
                <w:sz w:val="20"/>
                <w:szCs w:val="20"/>
                <w:color w:val="auto"/>
              </w:rPr>
            </w:pPr>
            <w:r>
              <w:rPr>
                <w:rFonts w:ascii="Arial" w:cs="Arial" w:eastAsia="Arial" w:hAnsi="Arial"/>
                <w:sz w:val="22"/>
                <w:szCs w:val="22"/>
                <w:b w:val="1"/>
                <w:bCs w:val="1"/>
                <w:color w:val="auto"/>
                <w:w w:val="90"/>
              </w:rPr>
              <w:t>(614) 729-4000</w:t>
            </w:r>
          </w:p>
        </w:tc>
        <w:tc>
          <w:tcPr>
            <w:tcW w:w="1920" w:type="dxa"/>
            <w:vAlign w:val="bottom"/>
          </w:tcPr>
          <w:p>
            <w:pPr>
              <w:spacing w:after="0"/>
              <w:rPr>
                <w:sz w:val="24"/>
                <w:szCs w:val="24"/>
                <w:color w:val="auto"/>
              </w:rPr>
            </w:pPr>
          </w:p>
        </w:tc>
      </w:tr>
      <w:tr>
        <w:trPr>
          <w:trHeight w:val="274"/>
        </w:trPr>
        <w:tc>
          <w:tcPr>
            <w:tcW w:w="2480" w:type="dxa"/>
            <w:vAlign w:val="bottom"/>
          </w:tcPr>
          <w:p>
            <w:pPr>
              <w:spacing w:after="0"/>
              <w:rPr>
                <w:sz w:val="23"/>
                <w:szCs w:val="23"/>
                <w:color w:val="auto"/>
              </w:rPr>
            </w:pPr>
          </w:p>
        </w:tc>
        <w:tc>
          <w:tcPr>
            <w:tcW w:w="5220" w:type="dxa"/>
            <w:vAlign w:val="bottom"/>
          </w:tcPr>
          <w:p>
            <w:pPr>
              <w:jc w:val="center"/>
              <w:ind w:right="52"/>
              <w:spacing w:after="0"/>
              <w:rPr>
                <w:sz w:val="20"/>
                <w:szCs w:val="20"/>
                <w:color w:val="auto"/>
              </w:rPr>
            </w:pPr>
            <w:r>
              <w:rPr>
                <w:rFonts w:ascii="Arial" w:cs="Arial" w:eastAsia="Arial" w:hAnsi="Arial"/>
                <w:sz w:val="22"/>
                <w:szCs w:val="22"/>
                <w:color w:val="auto"/>
                <w:w w:val="89"/>
              </w:rPr>
              <w:t>(Registrant’s Telephone Number, including Area Code)</w:t>
            </w:r>
          </w:p>
        </w:tc>
        <w:tc>
          <w:tcPr>
            <w:tcW w:w="1920" w:type="dxa"/>
            <w:vAlign w:val="bottom"/>
          </w:tcPr>
          <w:p>
            <w:pPr>
              <w:spacing w:after="0"/>
              <w:rPr>
                <w:sz w:val="23"/>
                <w:szCs w:val="23"/>
                <w:color w:val="auto"/>
              </w:rPr>
            </w:pPr>
          </w:p>
        </w:tc>
      </w:tr>
    </w:tbl>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58" w:lineRule="exact"/>
        <w:rPr>
          <w:sz w:val="24"/>
          <w:szCs w:val="24"/>
          <w:color w:val="auto"/>
        </w:rPr>
      </w:pPr>
    </w:p>
    <w:p>
      <w:pPr>
        <w:ind w:right="480"/>
        <w:spacing w:after="0" w:line="250"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161" w:lineRule="exact"/>
        <w:rPr>
          <w:sz w:val="24"/>
          <w:szCs w:val="24"/>
          <w:color w:val="auto"/>
        </w:rPr>
      </w:pPr>
    </w:p>
    <w:p>
      <w:pPr>
        <w:ind w:left="1120" w:hanging="1112"/>
        <w:spacing w:after="0"/>
        <w:tabs>
          <w:tab w:leader="none" w:pos="11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w:t>
      </w:r>
    </w:p>
    <w:p>
      <w:pPr>
        <w:spacing w:after="0" w:line="206" w:lineRule="exact"/>
        <w:rPr>
          <w:rFonts w:ascii="MS PGothic" w:cs="MS PGothic" w:eastAsia="MS PGothic" w:hAnsi="MS PGothic"/>
          <w:sz w:val="22"/>
          <w:szCs w:val="22"/>
          <w:color w:val="auto"/>
        </w:rPr>
      </w:pPr>
    </w:p>
    <w:p>
      <w:pPr>
        <w:ind w:left="1120" w:hanging="1112"/>
        <w:spacing w:after="0"/>
        <w:tabs>
          <w:tab w:leader="none" w:pos="11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w:t>
      </w:r>
    </w:p>
    <w:p>
      <w:pPr>
        <w:spacing w:after="0" w:line="206" w:lineRule="exact"/>
        <w:rPr>
          <w:rFonts w:ascii="MS PGothic" w:cs="MS PGothic" w:eastAsia="MS PGothic" w:hAnsi="MS PGothic"/>
          <w:sz w:val="22"/>
          <w:szCs w:val="22"/>
          <w:color w:val="auto"/>
        </w:rPr>
      </w:pPr>
    </w:p>
    <w:p>
      <w:pPr>
        <w:ind w:left="1120" w:hanging="1112"/>
        <w:spacing w:after="0"/>
        <w:tabs>
          <w:tab w:leader="none" w:pos="11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w:t>
      </w:r>
    </w:p>
    <w:p>
      <w:pPr>
        <w:spacing w:after="0" w:line="206" w:lineRule="exact"/>
        <w:rPr>
          <w:rFonts w:ascii="MS PGothic" w:cs="MS PGothic" w:eastAsia="MS PGothic" w:hAnsi="MS PGothic"/>
          <w:sz w:val="22"/>
          <w:szCs w:val="22"/>
          <w:color w:val="auto"/>
        </w:rPr>
      </w:pPr>
    </w:p>
    <w:p>
      <w:pPr>
        <w:ind w:left="1120" w:hanging="1112"/>
        <w:spacing w:after="0"/>
        <w:tabs>
          <w:tab w:leader="none" w:pos="11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96" w:lineRule="exact"/>
        <w:rPr>
          <w:sz w:val="24"/>
          <w:szCs w:val="24"/>
          <w:color w:val="auto"/>
        </w:rPr>
      </w:pPr>
    </w:p>
    <w:tbl>
      <w:tblPr>
        <w:tblLayout w:type="fixed"/>
        <w:tblInd w:w="38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Title of each class</w:t>
            </w:r>
          </w:p>
        </w:tc>
        <w:tc>
          <w:tcPr>
            <w:tcW w:w="2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Trading symbol</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Name of each exchange on which registered</w:t>
            </w:r>
          </w:p>
        </w:tc>
      </w:tr>
      <w:tr>
        <w:trPr>
          <w:trHeight w:val="274"/>
        </w:trPr>
        <w:tc>
          <w:tcPr>
            <w:tcW w:w="4720" w:type="dxa"/>
            <w:vAlign w:val="bottom"/>
            <w:gridSpan w:val="3"/>
          </w:tcPr>
          <w:p>
            <w:pPr>
              <w:jc w:val="center"/>
              <w:ind w:right="1080"/>
              <w:spacing w:after="0"/>
              <w:rPr>
                <w:sz w:val="20"/>
                <w:szCs w:val="20"/>
                <w:color w:val="auto"/>
              </w:rPr>
            </w:pPr>
            <w:r>
              <w:rPr>
                <w:rFonts w:ascii="Arial" w:cs="Arial" w:eastAsia="Arial" w:hAnsi="Arial"/>
                <w:sz w:val="22"/>
                <w:szCs w:val="22"/>
                <w:color w:val="auto"/>
                <w:w w:val="88"/>
              </w:rPr>
              <w:t>Common Stock, par value $0.01 per share</w:t>
            </w:r>
          </w:p>
        </w:tc>
        <w:tc>
          <w:tcPr>
            <w:tcW w:w="1780" w:type="dxa"/>
            <w:vAlign w:val="bottom"/>
            <w:gridSpan w:val="2"/>
          </w:tcPr>
          <w:p>
            <w:pPr>
              <w:jc w:val="center"/>
              <w:ind w:right="400"/>
              <w:spacing w:after="0"/>
              <w:rPr>
                <w:sz w:val="20"/>
                <w:szCs w:val="20"/>
                <w:color w:val="auto"/>
              </w:rPr>
            </w:pPr>
            <w:r>
              <w:rPr>
                <w:rFonts w:ascii="Arial" w:cs="Arial" w:eastAsia="Arial" w:hAnsi="Arial"/>
                <w:sz w:val="22"/>
                <w:szCs w:val="22"/>
                <w:color w:val="auto"/>
                <w:w w:val="92"/>
              </w:rPr>
              <w:t>ADS</w:t>
            </w:r>
          </w:p>
        </w:tc>
        <w:tc>
          <w:tcPr>
            <w:tcW w:w="400" w:type="dxa"/>
            <w:vAlign w:val="bottom"/>
          </w:tcPr>
          <w:p>
            <w:pPr>
              <w:spacing w:after="0"/>
              <w:rPr>
                <w:sz w:val="23"/>
                <w:szCs w:val="23"/>
                <w:color w:val="auto"/>
              </w:rPr>
            </w:pPr>
          </w:p>
        </w:tc>
        <w:tc>
          <w:tcPr>
            <w:tcW w:w="3840" w:type="dxa"/>
            <w:vAlign w:val="bottom"/>
          </w:tcPr>
          <w:p>
            <w:pPr>
              <w:jc w:val="center"/>
              <w:spacing w:after="0"/>
              <w:rPr>
                <w:sz w:val="20"/>
                <w:szCs w:val="20"/>
                <w:color w:val="auto"/>
              </w:rPr>
            </w:pPr>
            <w:r>
              <w:rPr>
                <w:rFonts w:ascii="Arial" w:cs="Arial" w:eastAsia="Arial" w:hAnsi="Arial"/>
                <w:sz w:val="22"/>
                <w:szCs w:val="22"/>
                <w:color w:val="auto"/>
                <w:w w:val="93"/>
              </w:rPr>
              <w:t>NYSE</w:t>
            </w:r>
          </w:p>
        </w:tc>
      </w:tr>
    </w:tbl>
    <w:p>
      <w:pPr>
        <w:spacing w:after="0" w:line="212"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jc w:val="both"/>
        <w:ind w:right="10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On March 23, 2022, Alliance Data Systems Corporation (the “Company”) issued a press release announcing that the Company has changed its name to Bread Financial Holdings, Inc. A copy of this press release is attached hereto as Exhibit 99.1.</w:t>
      </w:r>
    </w:p>
    <w:p>
      <w:pPr>
        <w:spacing w:after="0" w:line="132" w:lineRule="exact"/>
        <w:rPr>
          <w:sz w:val="20"/>
          <w:szCs w:val="20"/>
          <w:color w:val="auto"/>
        </w:rPr>
      </w:pPr>
    </w:p>
    <w:p>
      <w:pPr>
        <w:ind w:right="140" w:firstLine="648"/>
        <w:spacing w:after="0" w:line="328" w:lineRule="auto"/>
        <w:rPr>
          <w:sz w:val="20"/>
          <w:szCs w:val="20"/>
          <w:color w:val="auto"/>
        </w:rPr>
      </w:pPr>
      <w:r>
        <w:rPr>
          <w:rFonts w:ascii="Arial" w:cs="Arial" w:eastAsia="Arial" w:hAnsi="Arial"/>
          <w:sz w:val="19"/>
          <w:szCs w:val="19"/>
          <w:color w:val="auto"/>
        </w:rPr>
        <w:t>The Company also announced that it intends for its common stock to cease trading under the ticker symbol “ADS” and begin trading under its new ticker symbol, “BFH”, on the New York Stock Exchange, effective April 4, 2022.</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2"/>
              </w:rPr>
              <w:t>Exhibit</w:t>
            </w:r>
          </w:p>
        </w:tc>
        <w:tc>
          <w:tcPr>
            <w:tcW w:w="7300" w:type="dxa"/>
            <w:vAlign w:val="bottom"/>
            <w:gridSpan w:val="3"/>
            <w:vMerge w:val="restart"/>
          </w:tcPr>
          <w:p>
            <w:pPr>
              <w:ind w:left="320"/>
              <w:spacing w:after="0"/>
              <w:rPr>
                <w:sz w:val="20"/>
                <w:szCs w:val="20"/>
                <w:color w:val="auto"/>
              </w:rPr>
            </w:pPr>
            <w:r>
              <w:rPr>
                <w:rFonts w:ascii="Arial" w:cs="Arial" w:eastAsia="Arial" w:hAnsi="Arial"/>
                <w:sz w:val="22"/>
                <w:szCs w:val="22"/>
                <w:b w:val="1"/>
                <w:bCs w:val="1"/>
                <w:color w:val="auto"/>
              </w:rPr>
              <w:t>Document Description</w:t>
            </w:r>
          </w:p>
        </w:tc>
        <w:tc>
          <w:tcPr>
            <w:tcW w:w="0" w:type="dxa"/>
            <w:vAlign w:val="bottom"/>
          </w:tcPr>
          <w:p>
            <w:pPr>
              <w:spacing w:after="0"/>
              <w:rPr>
                <w:sz w:val="1"/>
                <w:szCs w:val="1"/>
                <w:color w:val="auto"/>
              </w:rPr>
            </w:pPr>
          </w:p>
        </w:tc>
      </w:tr>
      <w:tr>
        <w:trPr>
          <w:trHeight w:val="223"/>
        </w:trPr>
        <w:tc>
          <w:tcPr>
            <w:tcW w:w="700" w:type="dxa"/>
            <w:vAlign w:val="bottom"/>
            <w:gridSpan w:val="3"/>
          </w:tcPr>
          <w:p>
            <w:pPr>
              <w:spacing w:after="0" w:line="223" w:lineRule="exact"/>
              <w:rPr>
                <w:sz w:val="20"/>
                <w:szCs w:val="20"/>
                <w:color w:val="auto"/>
              </w:rPr>
            </w:pPr>
            <w:r>
              <w:rPr>
                <w:rFonts w:ascii="Arial" w:cs="Arial" w:eastAsia="Arial" w:hAnsi="Arial"/>
                <w:sz w:val="22"/>
                <w:szCs w:val="22"/>
                <w:b w:val="1"/>
                <w:bCs w:val="1"/>
                <w:color w:val="auto"/>
              </w:rPr>
              <w:t>No.</w:t>
            </w:r>
          </w:p>
        </w:tc>
        <w:tc>
          <w:tcPr>
            <w:tcW w:w="7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gridSpan w:val="3"/>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99.</w:t>
              </w:r>
              <w:r>
                <w:rPr>
                  <w:rFonts w:ascii="Arial" w:cs="Arial" w:eastAsia="Arial" w:hAnsi="Arial"/>
                  <w:sz w:val="22"/>
                  <w:szCs w:val="22"/>
                  <w:u w:val="single" w:color="auto"/>
                  <w:color w:val="0000EE"/>
                </w:rPr>
                <w:t>1</w:t>
              </w:r>
            </w:hyperlink>
          </w:p>
        </w:tc>
        <w:tc>
          <w:tcPr>
            <w:tcW w:w="7300" w:type="dxa"/>
            <w:vAlign w:val="bottom"/>
            <w:gridSpan w:val="3"/>
          </w:tcPr>
          <w:p>
            <w:pPr>
              <w:ind w:left="320"/>
              <w:spacing w:after="0"/>
              <w:rPr>
                <w:sz w:val="20"/>
                <w:szCs w:val="20"/>
                <w:color w:val="auto"/>
              </w:rPr>
            </w:pPr>
            <w:r>
              <w:rPr>
                <w:rFonts w:ascii="Arial" w:cs="Arial" w:eastAsia="Arial" w:hAnsi="Arial"/>
                <w:sz w:val="22"/>
                <w:szCs w:val="22"/>
                <w:color w:val="auto"/>
              </w:rPr>
              <w:t>Press release dated March 23, 2022.</w:t>
            </w:r>
          </w:p>
        </w:tc>
        <w:tc>
          <w:tcPr>
            <w:tcW w:w="0" w:type="dxa"/>
            <w:vAlign w:val="bottom"/>
          </w:tcPr>
          <w:p>
            <w:pPr>
              <w:spacing w:after="0"/>
              <w:rPr>
                <w:sz w:val="1"/>
                <w:szCs w:val="1"/>
                <w:color w:val="auto"/>
              </w:rPr>
            </w:pPr>
          </w:p>
        </w:tc>
      </w:tr>
      <w:tr>
        <w:trPr>
          <w:trHeight w:val="490"/>
        </w:trPr>
        <w:tc>
          <w:tcPr>
            <w:tcW w:w="380" w:type="dxa"/>
            <w:vAlign w:val="bottom"/>
            <w:tcBorders>
              <w:top w:val="single" w:sz="8" w:color="0000EE"/>
            </w:tcBorders>
            <w:gridSpan w:val="2"/>
          </w:tcPr>
          <w:p>
            <w:pPr>
              <w:spacing w:after="0"/>
              <w:rPr>
                <w:sz w:val="20"/>
                <w:szCs w:val="20"/>
                <w:color w:val="auto"/>
              </w:rPr>
            </w:pPr>
            <w:r>
              <w:rPr>
                <w:rFonts w:ascii="Arial" w:cs="Arial" w:eastAsia="Arial" w:hAnsi="Arial"/>
                <w:sz w:val="22"/>
                <w:szCs w:val="22"/>
                <w:color w:val="auto"/>
                <w:w w:val="97"/>
              </w:rPr>
              <w:t>104</w:t>
            </w:r>
          </w:p>
        </w:tc>
        <w:tc>
          <w:tcPr>
            <w:tcW w:w="320" w:type="dxa"/>
            <w:vAlign w:val="bottom"/>
          </w:tcPr>
          <w:p>
            <w:pPr>
              <w:spacing w:after="0"/>
              <w:rPr>
                <w:sz w:val="24"/>
                <w:szCs w:val="24"/>
                <w:color w:val="auto"/>
              </w:rPr>
            </w:pPr>
          </w:p>
        </w:tc>
        <w:tc>
          <w:tcPr>
            <w:tcW w:w="7300" w:type="dxa"/>
            <w:vAlign w:val="bottom"/>
            <w:gridSpan w:val="3"/>
          </w:tcPr>
          <w:p>
            <w:pPr>
              <w:ind w:left="320"/>
              <w:spacing w:after="0"/>
              <w:rPr>
                <w:sz w:val="20"/>
                <w:szCs w:val="20"/>
                <w:color w:val="auto"/>
              </w:rPr>
            </w:pPr>
            <w:r>
              <w:rPr>
                <w:rFonts w:ascii="Arial" w:cs="Arial" w:eastAsia="Arial" w:hAnsi="Arial"/>
                <w:sz w:val="22"/>
                <w:szCs w:val="22"/>
                <w:color w:val="auto"/>
                <w:w w:val="90"/>
              </w:rPr>
              <w:t>Cover Page Interactive Data File (embedded within the Inline XBRL document).</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information contained in this report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55"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color w:val="auto"/>
        </w:rPr>
        <w:t>SIGNATURES</w:t>
      </w:r>
    </w:p>
    <w:p>
      <w:pPr>
        <w:spacing w:after="0" w:line="23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00" w:type="dxa"/>
            <w:vAlign w:val="bottom"/>
          </w:tcPr>
          <w:p>
            <w:pPr>
              <w:spacing w:after="0"/>
              <w:rPr>
                <w:sz w:val="23"/>
                <w:szCs w:val="23"/>
                <w:color w:val="auto"/>
              </w:rPr>
            </w:pPr>
          </w:p>
        </w:tc>
        <w:tc>
          <w:tcPr>
            <w:tcW w:w="5260" w:type="dxa"/>
            <w:vAlign w:val="bottom"/>
            <w:gridSpan w:val="4"/>
          </w:tcPr>
          <w:p>
            <w:pPr>
              <w:ind w:left="2200"/>
              <w:spacing w:after="0"/>
              <w:rPr>
                <w:sz w:val="20"/>
                <w:szCs w:val="20"/>
                <w:color w:val="auto"/>
              </w:rPr>
            </w:pPr>
            <w:r>
              <w:rPr>
                <w:rFonts w:ascii="Arial" w:cs="Arial" w:eastAsia="Arial" w:hAnsi="Arial"/>
                <w:sz w:val="22"/>
                <w:szCs w:val="22"/>
                <w:color w:val="auto"/>
                <w:w w:val="89"/>
              </w:rPr>
              <w:t>Alliance Data Systems Corporation</w:t>
            </w:r>
          </w:p>
        </w:tc>
      </w:tr>
      <w:tr>
        <w:trPr>
          <w:trHeight w:val="408"/>
        </w:trPr>
        <w:tc>
          <w:tcPr>
            <w:tcW w:w="4100" w:type="dxa"/>
            <w:vAlign w:val="bottom"/>
          </w:tcPr>
          <w:p>
            <w:pPr>
              <w:spacing w:after="0"/>
              <w:rPr>
                <w:sz w:val="20"/>
                <w:szCs w:val="20"/>
                <w:color w:val="auto"/>
              </w:rPr>
            </w:pPr>
            <w:r>
              <w:rPr>
                <w:rFonts w:ascii="Arial" w:cs="Arial" w:eastAsia="Arial" w:hAnsi="Arial"/>
                <w:sz w:val="22"/>
                <w:szCs w:val="22"/>
                <w:color w:val="auto"/>
              </w:rPr>
              <w:t>Date: March 23, 2022</w:t>
            </w:r>
          </w:p>
        </w:tc>
        <w:tc>
          <w:tcPr>
            <w:tcW w:w="2760" w:type="dxa"/>
            <w:vAlign w:val="bottom"/>
          </w:tcPr>
          <w:p>
            <w:pPr>
              <w:ind w:left="2200"/>
              <w:spacing w:after="0"/>
              <w:rPr>
                <w:sz w:val="20"/>
                <w:szCs w:val="20"/>
                <w:color w:val="auto"/>
              </w:rPr>
            </w:pPr>
            <w:r>
              <w:rPr>
                <w:rFonts w:ascii="Arial" w:cs="Arial" w:eastAsia="Arial" w:hAnsi="Arial"/>
                <w:sz w:val="22"/>
                <w:szCs w:val="22"/>
                <w:color w:val="auto"/>
              </w:rPr>
              <w:t>By:</w:t>
            </w:r>
          </w:p>
        </w:tc>
        <w:tc>
          <w:tcPr>
            <w:tcW w:w="2500" w:type="dxa"/>
            <w:vAlign w:val="bottom"/>
            <w:gridSpan w:val="3"/>
          </w:tcPr>
          <w:p>
            <w:pPr>
              <w:ind w:left="240"/>
              <w:spacing w:after="0"/>
              <w:rPr>
                <w:sz w:val="20"/>
                <w:szCs w:val="20"/>
                <w:color w:val="auto"/>
              </w:rPr>
            </w:pPr>
            <w:r>
              <w:rPr>
                <w:rFonts w:ascii="Arial" w:cs="Arial" w:eastAsia="Arial" w:hAnsi="Arial"/>
                <w:sz w:val="22"/>
                <w:szCs w:val="22"/>
                <w:color w:val="auto"/>
              </w:rPr>
              <w:t>/s/ Joseph L. Motes III</w:t>
            </w:r>
          </w:p>
        </w:tc>
      </w:tr>
      <w:tr>
        <w:trPr>
          <w:trHeight w:val="20"/>
        </w:trPr>
        <w:tc>
          <w:tcPr>
            <w:tcW w:w="4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0"/>
        </w:trPr>
        <w:tc>
          <w:tcPr>
            <w:tcW w:w="41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500" w:type="dxa"/>
            <w:vAlign w:val="bottom"/>
            <w:gridSpan w:val="3"/>
          </w:tcPr>
          <w:p>
            <w:pPr>
              <w:ind w:left="240"/>
              <w:spacing w:after="0"/>
              <w:rPr>
                <w:sz w:val="20"/>
                <w:szCs w:val="20"/>
                <w:color w:val="auto"/>
              </w:rPr>
            </w:pPr>
            <w:r>
              <w:rPr>
                <w:rFonts w:ascii="Arial" w:cs="Arial" w:eastAsia="Arial" w:hAnsi="Arial"/>
                <w:sz w:val="22"/>
                <w:szCs w:val="22"/>
                <w:color w:val="auto"/>
              </w:rPr>
              <w:t>Joseph L. Motes III</w:t>
            </w:r>
          </w:p>
        </w:tc>
      </w:tr>
    </w:tbl>
    <w:p>
      <w:pPr>
        <w:ind w:left="7100"/>
        <w:spacing w:after="0" w:line="230" w:lineRule="auto"/>
        <w:rPr>
          <w:sz w:val="20"/>
          <w:szCs w:val="20"/>
          <w:color w:val="auto"/>
        </w:rPr>
      </w:pPr>
      <w:r>
        <w:rPr>
          <w:rFonts w:ascii="Arial" w:cs="Arial" w:eastAsia="Arial" w:hAnsi="Arial"/>
          <w:sz w:val="22"/>
          <w:szCs w:val="22"/>
          <w:color w:val="auto"/>
        </w:rPr>
        <w:t>Executive Vice President, Chief</w:t>
      </w:r>
    </w:p>
    <w:p>
      <w:pPr>
        <w:ind w:left="7100"/>
        <w:spacing w:after="0" w:line="231" w:lineRule="auto"/>
        <w:rPr>
          <w:sz w:val="20"/>
          <w:szCs w:val="20"/>
          <w:color w:val="auto"/>
        </w:rPr>
      </w:pPr>
      <w:r>
        <w:rPr>
          <w:rFonts w:ascii="Arial" w:cs="Arial" w:eastAsia="Arial" w:hAnsi="Arial"/>
          <w:sz w:val="22"/>
          <w:szCs w:val="22"/>
          <w:color w:val="auto"/>
        </w:rPr>
        <w:t>Administrative Officer, General</w:t>
      </w:r>
    </w:p>
    <w:p>
      <w:pPr>
        <w:ind w:left="7100"/>
        <w:spacing w:after="0"/>
        <w:rPr>
          <w:sz w:val="20"/>
          <w:szCs w:val="20"/>
          <w:color w:val="auto"/>
        </w:rPr>
      </w:pPr>
      <w:r>
        <w:rPr>
          <w:rFonts w:ascii="Arial" w:cs="Arial" w:eastAsia="Arial" w:hAnsi="Arial"/>
          <w:sz w:val="22"/>
          <w:szCs w:val="22"/>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5617210</wp:posOffset>
            </wp:positionH>
            <wp:positionV relativeFrom="page">
              <wp:posOffset>88900</wp:posOffset>
            </wp:positionV>
            <wp:extent cx="172275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22755" cy="44577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61163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Alliance Data is now Bread Financial</w:t>
      </w:r>
      <w:r>
        <w:rPr>
          <w:rFonts w:ascii="Arial" w:cs="Arial" w:eastAsia="Arial" w:hAnsi="Arial"/>
          <w:sz w:val="41"/>
          <w:szCs w:val="41"/>
          <w:b w:val="1"/>
          <w:bCs w:val="1"/>
          <w:color w:val="auto"/>
          <w:vertAlign w:val="superscript"/>
        </w:rPr>
        <w:t>TM</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Rebrand reflects company’s transformation to a tech-forward provider of payment,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lending and saving solutions</w:t>
      </w:r>
    </w:p>
    <w:p>
      <w:pPr>
        <w:spacing w:after="0" w:line="200" w:lineRule="exact"/>
        <w:rPr>
          <w:sz w:val="20"/>
          <w:szCs w:val="20"/>
          <w:color w:val="auto"/>
        </w:rPr>
      </w:pPr>
    </w:p>
    <w:p>
      <w:pPr>
        <w:spacing w:after="0" w:line="261"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COLUMBUS, Ohio, March 23, 2022 – </w:t>
      </w:r>
      <w:r>
        <w:rPr>
          <w:rFonts w:ascii="Arial" w:cs="Arial" w:eastAsia="Arial" w:hAnsi="Arial"/>
          <w:sz w:val="17"/>
          <w:szCs w:val="17"/>
          <w:color w:val="auto"/>
        </w:rPr>
        <w:t>Alliance Data (NYSE: ADS) today announced it will now be known as Bread Financial, a tech-forward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services company that provides simple, personalized payment, lending and saving solutions. After a multi-year transformation to streamline its business model, Bread Financial has emerged as a modern financial services company backed by technology and platform solutions that empower today’s consumer. The company’s prior market-facing brands are now unified under the singular, cohesive </w:t>
      </w:r>
      <w:r>
        <w:rPr>
          <w:rFonts w:ascii="Arial" w:cs="Arial" w:eastAsia="Arial" w:hAnsi="Arial"/>
          <w:sz w:val="17"/>
          <w:szCs w:val="17"/>
          <w:b w:val="1"/>
          <w:bCs w:val="1"/>
          <w:color w:val="auto"/>
        </w:rPr>
        <w:t>Bread Financial</w:t>
      </w:r>
      <w:r>
        <w:rPr>
          <w:rFonts w:ascii="Arial" w:cs="Arial" w:eastAsia="Arial" w:hAnsi="Arial"/>
          <w:sz w:val="17"/>
          <w:szCs w:val="17"/>
          <w:color w:val="auto"/>
        </w:rPr>
        <w:t xml:space="preserve"> brand.</w:t>
      </w:r>
    </w:p>
    <w:p>
      <w:pPr>
        <w:sectPr>
          <w:pgSz w:w="11900" w:h="16838" w:orient="portrait"/>
          <w:cols w:equalWidth="0" w:num="1">
            <w:col w:w="11240"/>
          </w:cols>
          <w:pgMar w:left="320" w:top="1057" w:right="339" w:bottom="1440" w:gutter="0" w:footer="0" w:header="0"/>
        </w:sectPr>
      </w:pPr>
    </w:p>
    <w:p>
      <w:pPr>
        <w:spacing w:after="0" w:line="209" w:lineRule="exact"/>
        <w:rPr>
          <w:sz w:val="20"/>
          <w:szCs w:val="20"/>
          <w:color w:val="auto"/>
        </w:rPr>
      </w:pPr>
    </w:p>
    <w:p>
      <w:pPr>
        <w:ind w:left="20"/>
        <w:spacing w:after="0" w:line="255" w:lineRule="auto"/>
        <w:rPr>
          <w:sz w:val="20"/>
          <w:szCs w:val="20"/>
          <w:color w:val="auto"/>
        </w:rPr>
      </w:pPr>
      <w:r>
        <w:rPr>
          <w:rFonts w:ascii="Arial" w:cs="Arial" w:eastAsia="Arial" w:hAnsi="Arial"/>
          <w:sz w:val="18"/>
          <w:szCs w:val="18"/>
          <w:i w:val="1"/>
          <w:iCs w:val="1"/>
          <w:color w:val="auto"/>
        </w:rPr>
        <w:t>“Combining the heart and hustle of a fintech with the discipline and stability of a well-established bank, Bread Financial will remain laser focused on delivering innovative payment, lending and saving solutions that consumers now demand.” Ralph Andretta, president and CEO, Bread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-838835</wp:posOffset>
            </wp:positionV>
            <wp:extent cx="2747010" cy="963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7010" cy="963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is a turning point for the company, as our new brand represents the strategic direction of our business transformation to a modern, tech-forward financial services company,” said Ralph Andretta, president and chief executive officer, Bread Financial. “Combining the heart and hustle of a fintech with the discipline and stability of a well-established bank, Bread Financial will remain laser focused on delivering the innovative, omnichannel payment, lending and saving solutions that consumers now demand at every stage along their financial journeys.”</w:t>
      </w:r>
    </w:p>
    <w:p>
      <w:pPr>
        <w:spacing w:after="0" w:line="200" w:lineRule="exact"/>
        <w:rPr>
          <w:sz w:val="20"/>
          <w:szCs w:val="20"/>
          <w:color w:val="auto"/>
        </w:rPr>
      </w:pPr>
    </w:p>
    <w:p>
      <w:pPr>
        <w:sectPr>
          <w:pgSz w:w="11900" w:h="16838" w:orient="portrait"/>
          <w:cols w:equalWidth="0" w:num="2">
            <w:col w:w="4120" w:space="640"/>
            <w:col w:w="6480"/>
          </w:cols>
          <w:pgMar w:left="320" w:top="1057" w:right="339" w:bottom="1440" w:gutter="0" w:footer="0" w:header="0"/>
          <w:type w:val="continuous"/>
        </w:sectPr>
      </w:pPr>
    </w:p>
    <w:p>
      <w:pPr>
        <w:spacing w:after="0" w:line="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Built on the principles of choice, ease and trust, Bread Financial provides simple, personalized solutions that empower consumers to buy, borrow and save their way, including proprietary direct-to-consumer credit cards and deposits. Bread Financial also drives growth and loyalty for its partners through a digitally enabled, white-label product suite that includes private label and co-brand credit cards, installment loans and buy now, pay later (BNPL).</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“While we are changing our name and brand, as well as broadening our strategic focus to include more direct-to-consumer products, the foundational elements that drove our decades-long success will remain intact,” said Val Greer, executive vice president and chief commercial officer, Bread Financial. “Specifically, this milestone starts with our associates — the heart of our company — and our customer-focused, results-driven, award-winning culture. We will continue to build on our 30-year legacy of creating value for our partners, and as we transform, we will continue investing in data and analytics, innovative technology, and digital capabilities that meet the needs of our partners and consumers.”</w:t>
      </w:r>
    </w:p>
    <w:p>
      <w:pPr>
        <w:spacing w:after="0" w:line="20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Bread Financial’s parent company is now Bread Financial Holdings, Inc., formerly Alliance Data Systems Corporation (NYSE: ADS). The company’s common stock will begin trading under a new ticker symbol — BFH — on the New York Stock Exchange on April 4, 2022. Bread Financial’s two bank subsidiaries — Comenity Bank and Comenity Capital Bank — will retain their current names.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b w:val="1"/>
          <w:bCs w:val="1"/>
          <w:color w:val="auto"/>
        </w:rPr>
        <w:t>BreadFinancial.com</w:t>
      </w:r>
      <w:r>
        <w:rPr>
          <w:rFonts w:ascii="Arial" w:cs="Arial" w:eastAsia="Arial" w:hAnsi="Arial"/>
          <w:sz w:val="18"/>
          <w:szCs w:val="18"/>
          <w:color w:val="auto"/>
        </w:rPr>
        <w: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Bread Financial</w:t>
      </w:r>
    </w:p>
    <w:p>
      <w:pPr>
        <w:spacing w:after="0" w:line="215"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b w:val="1"/>
          <w:bCs w:val="1"/>
          <w:color w:val="auto"/>
        </w:rPr>
        <w:t>Bread Financial</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(NYSE: ADS) is a tech-forward financial services company providing simple, personalized payment, lending and saving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creates opportunities for its customers and partners through digitally enabled choices that offer ease, empowerment, financial flexibility and exceptional customer experiences. Driven by a digital-first approach, data insights and white-label technology, Bread Financial delivers growth for its partners through a comprehensive product suite, including private label and co-brand credit cards, installment lending and buy now, pay later (BNPL). Bread Financial also offers direct-to-consumer solutions that give customers more access, choice and freedom through its branded payment, lending and saving products.</w:t>
      </w:r>
    </w:p>
    <w:p>
      <w:pPr>
        <w:spacing w:after="0" w:line="2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Formerly Alliance Data, Bread Financial is an S&amp;P MidCap 400 company headquartered in Columbus, Ohio, and committed to sustainable business practices powered by its 6,000+ global associates. To learn more about Bread Financial, visit </w:t>
      </w:r>
      <w:r>
        <w:rPr>
          <w:rFonts w:ascii="Arial" w:cs="Arial" w:eastAsia="Arial" w:hAnsi="Arial"/>
          <w:sz w:val="18"/>
          <w:szCs w:val="18"/>
          <w:b w:val="1"/>
          <w:bCs w:val="1"/>
          <w:color w:val="auto"/>
        </w:rPr>
        <w:t>BreadFinancial.com</w:t>
      </w:r>
      <w:r>
        <w:rPr>
          <w:rFonts w:ascii="Arial" w:cs="Arial" w:eastAsia="Arial" w:hAnsi="Arial"/>
          <w:sz w:val="18"/>
          <w:szCs w:val="18"/>
          <w:color w:val="auto"/>
        </w:rPr>
        <w:t xml:space="preserve"> or follow us on </w:t>
      </w:r>
      <w:r>
        <w:rPr>
          <w:rFonts w:ascii="Arial" w:cs="Arial" w:eastAsia="Arial" w:hAnsi="Arial"/>
          <w:sz w:val="18"/>
          <w:szCs w:val="18"/>
          <w:b w:val="1"/>
          <w:bCs w:val="1"/>
          <w:color w:val="auto"/>
        </w:rPr>
        <w:t>Facebook</w:t>
      </w:r>
      <w:r>
        <w:rPr>
          <w:rFonts w:ascii="Arial" w:cs="Arial" w:eastAsia="Arial" w:hAnsi="Arial"/>
          <w:sz w:val="18"/>
          <w:szCs w:val="18"/>
          <w:color w:val="auto"/>
        </w:rPr>
        <w:t xml:space="preserve">, </w:t>
      </w:r>
      <w:r>
        <w:rPr>
          <w:rFonts w:ascii="Arial" w:cs="Arial" w:eastAsia="Arial" w:hAnsi="Arial"/>
          <w:sz w:val="18"/>
          <w:szCs w:val="18"/>
          <w:b w:val="1"/>
          <w:bCs w:val="1"/>
          <w:color w:val="auto"/>
        </w:rPr>
        <w:t>LinkedIn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Twitter </w:t>
      </w:r>
      <w:r>
        <w:rPr>
          <w:rFonts w:ascii="Arial" w:cs="Arial" w:eastAsia="Arial" w:hAnsi="Arial"/>
          <w:sz w:val="18"/>
          <w:szCs w:val="18"/>
          <w:color w:val="auto"/>
        </w:rPr>
        <w:t>and</w:t>
      </w:r>
      <w:r>
        <w:rPr>
          <w:rFonts w:ascii="Arial" w:cs="Arial" w:eastAsia="Arial" w:hAnsi="Arial"/>
          <w:sz w:val="18"/>
          <w:szCs w:val="18"/>
          <w:b w:val="1"/>
          <w:bCs w:val="1"/>
          <w:color w:val="auto"/>
        </w:rPr>
        <w:t xml:space="preserve"> Instagram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release contains forward-looking statements within the meaning of Section 27A of the Securities Act of 1933 and Section 21E of the Securities Exchange Act of 1934.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initiation or completion of strategic initiatives including our ability to realize the intended benefits of the spinoff of our LoyaltyOne segment, future dividend declarations, and future economic conditions, including, but not limited to, market conditions and COVID-19 impacts related to relief measures for impacted borrowers and depositors, labor shortages due to quarantine, and reduction in demand from clients. We believe that our expectations are based on reasonable assumptions. Forward-looking statements, however, are subject to a number of risks and uncertainties that could cause actual results to differ materially from the projections, anticipated results or other expectations expressed in this release, and no assurances can be given that our expectations will prove to have been correct. These risks and uncertainties include, but are not limited to, factors set forth in the Risk Factors section in our Annual Report on Form 10-K for the most recently ended fiscal year, which may be updated in Item 1A of, or elsewhere in, our Quarterly Reports on Form 10-Q filed for periods subsequent to such Form 10-K. Our forward-looking statements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Bread Financial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Brian Vereb —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614-528-4516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Brian.Vereb@alliancedata.com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Shelley Whiddon —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214-494-3811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Shelley.Whiddon@alliancedata.com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Rachel Stultz —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614-729-4890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Rachel.Stultz@alliancedata.com</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2</w:t>
      </w:r>
    </w:p>
    <w:sectPr>
      <w:pgSz w:w="11900" w:h="16838" w:orient="portrait"/>
      <w:cols w:equalWidth="0" w:num="1">
        <w:col w:w="11240"/>
      </w:cols>
      <w:pgMar w:left="320" w:top="8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2022-03-23T06:33:03Z</dcterms:created>
  <dcterms:modified xsi:type="dcterms:W3CDTF">2022-03-23T06:33:03Z</dcterms:modified>
</cp:coreProperties>
</file>