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0" w:after="283"/>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400" w:after="283"/>
        <w:jc w:val="center"/>
        <w:rPr>
          <w:rFonts w:ascii="Times New Roman;serif" w:hAnsi="Times New Roman;serif"/>
          <w:b/>
          <w:color w:val="000000"/>
          <w:sz w:val="24"/>
        </w:rPr>
      </w:pPr>
      <w:r>
        <w:rPr>
          <w:rFonts w:ascii="Times New Roman;serif" w:hAnsi="Times New Roman;serif"/>
          <w:b/>
          <w:color w:val="000000"/>
          <w:sz w:val="24"/>
        </w:rPr>
        <w:t>FORM 8-K</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Date of report (Date of earliest event reported):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July 23, 2026</w:t>
      </w:r>
    </w:p>
    <w:p>
      <w:pPr>
        <w:pStyle w:val="TextBody"/>
        <w:bidi w:val="0"/>
        <w:spacing w:before="240" w:after="283"/>
        <w:jc w:val="center"/>
        <w:rPr/>
      </w:pPr>
      <w:r>
        <w:rPr/>
        <w:drawing>
          <wp:inline distT="0" distB="0" distL="0" distR="0">
            <wp:extent cx="285750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7500" cy="390525"/>
                    </a:xfrm>
                    <a:prstGeom prst="rect">
                      <a:avLst/>
                    </a:prstGeom>
                  </pic:spPr>
                </pic:pic>
              </a:graphicData>
            </a:graphic>
          </wp:inline>
        </w:drawing>
      </w:r>
      <w:bookmarkStart w:id="0" w:name="i-1"/>
      <w:bookmarkEnd w:id="0"/>
    </w:p>
    <w:p>
      <w:pPr>
        <w:pStyle w:val="TextBody"/>
        <w:bidi w:val="0"/>
        <w:spacing w:lineRule="auto" w:line="288" w:before="400" w:after="283"/>
        <w:jc w:val="center"/>
        <w:rPr>
          <w:rFonts w:ascii="Times New Roman;serif" w:hAnsi="Times New Roman;serif"/>
          <w:b/>
          <w:color w:val="000000"/>
          <w:sz w:val="36"/>
        </w:rPr>
      </w:pPr>
      <w:r>
        <w:rPr>
          <w:rFonts w:ascii="Times New Roman;serif" w:hAnsi="Times New Roman;serif"/>
          <w:b/>
          <w:color w:val="000000"/>
          <w:sz w:val="36"/>
        </w:rPr>
        <w:t>BREAD FINANCIAL HOLDINGS, INC.</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(Exact Name of Registrant as Specified in Charter)</w:t>
      </w:r>
    </w:p>
    <w:tbl>
      <w:tblPr>
        <w:tblW w:w="5922" w:type="dxa"/>
        <w:jc w:val="left"/>
        <w:tblInd w:w="0" w:type="dxa"/>
        <w:tblLayout w:type="fixed"/>
        <w:tblCellMar>
          <w:top w:w="28" w:type="dxa"/>
          <w:left w:w="28" w:type="dxa"/>
          <w:bottom w:w="28" w:type="dxa"/>
          <w:right w:w="28" w:type="dxa"/>
        </w:tblCellMar>
      </w:tblPr>
      <w:tblGrid>
        <w:gridCol w:w="960"/>
        <w:gridCol w:w="844"/>
        <w:gridCol w:w="850"/>
        <w:gridCol w:w="458"/>
        <w:gridCol w:w="458"/>
        <w:gridCol w:w="463"/>
        <w:gridCol w:w="552"/>
        <w:gridCol w:w="552"/>
        <w:gridCol w:w="785"/>
      </w:tblGrid>
      <w:tr>
        <w:trPr/>
        <w:tc>
          <w:tcPr>
            <w:tcW w:w="9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Delaware</w:t>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001-15749</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31-1429215</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(State or Other Jurisdiction</w:t>
              <w:br/>
              <w:t>of Incorporation)</w:t>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(Commission</w:t>
              <w:br/>
              <w:t>File Number)</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(IRS Employer</w:t>
              <w:br/>
              <w:t>Identification No.)</w:t>
            </w:r>
          </w:p>
        </w:tc>
      </w:tr>
    </w:tbl>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3095 LOYALTY CIRCLE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COLUMBUS, Ohio 43219</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(Address and Zip Code of Principal Executive Offices)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(614) 729-4000</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(Registrant’s Telephone Number, including Area Code)</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NOT APPLICABLE</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(Former name or former address, if changed since last report)☐</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Check the appropriate box below if the Form 8-K is intended to simultaneously satisfy the filing obligation of the Registrant under any of the following provisions:</w:t>
      </w:r>
    </w:p>
    <w:tbl>
      <w:tblPr>
        <w:tblW w:w="8832" w:type="dxa"/>
        <w:jc w:val="left"/>
        <w:tblInd w:w="0" w:type="dxa"/>
        <w:tblLayout w:type="fixed"/>
        <w:tblCellMar>
          <w:top w:w="28" w:type="dxa"/>
          <w:left w:w="28" w:type="dxa"/>
          <w:bottom w:w="28" w:type="dxa"/>
          <w:right w:w="28" w:type="dxa"/>
        </w:tblCellMar>
      </w:tblPr>
      <w:tblGrid>
        <w:gridCol w:w="124"/>
        <w:gridCol w:w="109"/>
        <w:gridCol w:w="109"/>
        <w:gridCol w:w="2483"/>
        <w:gridCol w:w="2483"/>
        <w:gridCol w:w="35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c>
          <w:tcPr>
            <w:tcW w:w="35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Written communications pursuant to Rule 425 under the Securities Act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Soliciting material pursuant to Rule 14a-12 under the Exchange Act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Pre-commencement communications pursuant to Rule 14d-2(b) under the Exchange Act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Pre-commencement communications pursuant to Rule 13e-4(c) under the Exchange Act</w:t>
            </w:r>
          </w:p>
        </w:tc>
      </w:tr>
    </w:tbl>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482"/>
        <w:gridCol w:w="1708"/>
        <w:gridCol w:w="1729"/>
        <w:gridCol w:w="109"/>
        <w:gridCol w:w="109"/>
        <w:gridCol w:w="109"/>
        <w:gridCol w:w="390"/>
        <w:gridCol w:w="390"/>
        <w:gridCol w:w="391"/>
        <w:gridCol w:w="109"/>
        <w:gridCol w:w="109"/>
        <w:gridCol w:w="109"/>
        <w:gridCol w:w="719"/>
        <w:gridCol w:w="719"/>
        <w:gridCol w:w="1023"/>
      </w:tblGrid>
      <w:tr>
        <w:trPr/>
        <w:tc>
          <w:tcPr>
            <w:tcW w:w="2482"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5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Title of each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Trading symbol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Name of each exchange on which registered</w:t>
            </w:r>
          </w:p>
        </w:tc>
      </w:tr>
      <w:tr>
        <w:trPr/>
        <w:tc>
          <w:tcPr>
            <w:tcW w:w="59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BFH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NYSE</w:t>
            </w:r>
          </w:p>
        </w:tc>
      </w:tr>
      <w:tr>
        <w:trPr/>
        <w:tc>
          <w:tcPr>
            <w:tcW w:w="59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Depositary Shares, Each Representing a 1/40th Interest in a Share of 8.625% Non-Cumulative Perpetual Preferred Stock, Series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BFH PrA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NYSE</w:t>
            </w:r>
          </w:p>
        </w:tc>
      </w:tr>
      <w:tr>
        <w:trPr/>
        <w:tc>
          <w:tcPr>
            <w:tcW w:w="5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Depositary Shares, Each Representing a 1/40th Interest in a Share of 8.875% Fixed Rate Reset Non-Cumulative Perpetual Preferred Stock, 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BFH PrB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NYSE</w:t>
            </w:r>
          </w:p>
        </w:tc>
      </w:tr>
    </w:tbl>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Emerging growth company   ☐</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Item 7.01 Regulation FD Disclosure.</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On July 23, 2026, Bread Financial Holdings, Inc. issued a press release providing a performance update as of and for the period ended June 30, 2026. A copy of this press release is attached hereto as Exhibit 99.1.</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9.01 Financial Statements and Exhibits.</w:t>
      </w:r>
    </w:p>
    <w:p>
      <w:pPr>
        <w:pStyle w:val="TextBody"/>
        <w:bidi w:val="0"/>
        <w:spacing w:lineRule="auto" w:line="288" w:before="240" w:after="283"/>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(d)Exhibits</w:t>
      </w:r>
    </w:p>
    <w:tbl>
      <w:tblPr>
        <w:tblW w:w="10205" w:type="dxa"/>
        <w:jc w:val="left"/>
        <w:tblInd w:w="0" w:type="dxa"/>
        <w:tblLayout w:type="fixed"/>
        <w:tblCellMar>
          <w:top w:w="28" w:type="dxa"/>
          <w:left w:w="28" w:type="dxa"/>
          <w:bottom w:w="28" w:type="dxa"/>
          <w:right w:w="28" w:type="dxa"/>
        </w:tblCellMar>
      </w:tblPr>
      <w:tblGrid>
        <w:gridCol w:w="433"/>
        <w:gridCol w:w="381"/>
        <w:gridCol w:w="384"/>
        <w:gridCol w:w="109"/>
        <w:gridCol w:w="109"/>
        <w:gridCol w:w="109"/>
        <w:gridCol w:w="2545"/>
        <w:gridCol w:w="2541"/>
        <w:gridCol w:w="3594"/>
      </w:tblGrid>
      <w:tr>
        <w:trPr/>
        <w:tc>
          <w:tcPr>
            <w:tcW w:w="43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c>
          <w:tcPr>
            <w:tcW w:w="3594" w:type="dxa"/>
            <w:tcBorders/>
            <w:vAlign w:val="center"/>
          </w:tcPr>
          <w:p>
            <w:pPr>
              <w:pStyle w:val="TableContents"/>
              <w:bidi w:val="0"/>
              <w:spacing w:before="0" w:after="283"/>
              <w:jc w:val="left"/>
              <w:rPr>
                <w:sz w:val="4"/>
                <w:szCs w:val="4"/>
              </w:rPr>
            </w:pPr>
            <w:r>
              <w:rPr>
                <w:sz w:val="4"/>
                <w:szCs w:val="4"/>
              </w:rPr>
            </w:r>
          </w:p>
        </w:tc>
      </w:tr>
      <w:tr>
        <w:trPr/>
        <w:tc>
          <w:tcPr>
            <w:tcW w:w="11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Exhibit 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Document Description</w:t>
            </w:r>
          </w:p>
        </w:tc>
      </w:tr>
      <w:tr>
        <w:trPr/>
        <w:tc>
          <w:tcPr>
            <w:tcW w:w="11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june2026creditstatsex991-t.htm">
              <w:r>
                <w:rPr>
                  <w:rStyle w:val="InternetLink"/>
                  <w:rFonts w:ascii="Times New Roman;serif" w:hAnsi="Times New Roman;serif"/>
                  <w:b w:val="false"/>
                  <w:color w:val="0000FF"/>
                  <w:sz w:val="24"/>
                  <w:u w:val="single"/>
                </w:rPr>
                <w:t>99.1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Press release dated July 23, 2026 providing a performance update as of and for the period ended June 30, 2026.</w:t>
            </w:r>
          </w:p>
        </w:tc>
      </w:tr>
      <w:tr>
        <w:trPr/>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Cover Page Interactive Data File (embedded within the Inline XBRL document).</w:t>
            </w:r>
          </w:p>
        </w:tc>
      </w:tr>
    </w:tbl>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The information contained in this report (including Exhibit 99.1)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SIGNATURES</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as amended, the Registrant has duly caused this report to be signed on its behalf by the undersigned hereunto duly authorized.</w:t>
      </w:r>
    </w:p>
    <w:tbl>
      <w:tblPr>
        <w:tblW w:w="10205" w:type="dxa"/>
        <w:jc w:val="left"/>
        <w:tblInd w:w="0" w:type="dxa"/>
        <w:tblLayout w:type="fixed"/>
        <w:tblCellMar>
          <w:top w:w="28" w:type="dxa"/>
          <w:left w:w="28" w:type="dxa"/>
          <w:bottom w:w="28" w:type="dxa"/>
          <w:right w:w="28" w:type="dxa"/>
        </w:tblCellMar>
      </w:tblPr>
      <w:tblGrid>
        <w:gridCol w:w="658"/>
        <w:gridCol w:w="581"/>
        <w:gridCol w:w="583"/>
        <w:gridCol w:w="439"/>
        <w:gridCol w:w="439"/>
        <w:gridCol w:w="439"/>
        <w:gridCol w:w="2079"/>
        <w:gridCol w:w="2078"/>
        <w:gridCol w:w="2909"/>
      </w:tblGrid>
      <w:tr>
        <w:trPr/>
        <w:tc>
          <w:tcPr>
            <w:tcW w:w="65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2078" w:type="dxa"/>
            <w:tcBorders/>
            <w:vAlign w:val="center"/>
          </w:tcPr>
          <w:p>
            <w:pPr>
              <w:pStyle w:val="TableContents"/>
              <w:bidi w:val="0"/>
              <w:spacing w:before="0" w:after="283"/>
              <w:jc w:val="left"/>
              <w:rPr>
                <w:sz w:val="4"/>
                <w:szCs w:val="4"/>
              </w:rPr>
            </w:pPr>
            <w:r>
              <w:rPr>
                <w:sz w:val="4"/>
                <w:szCs w:val="4"/>
              </w:rPr>
            </w:r>
          </w:p>
        </w:tc>
        <w:tc>
          <w:tcPr>
            <w:tcW w:w="2909" w:type="dxa"/>
            <w:tcBorders/>
            <w:vAlign w:val="center"/>
          </w:tcPr>
          <w:p>
            <w:pPr>
              <w:pStyle w:val="TableContents"/>
              <w:bidi w:val="0"/>
              <w:spacing w:before="0" w:after="283"/>
              <w:jc w:val="left"/>
              <w:rPr>
                <w:sz w:val="4"/>
                <w:szCs w:val="4"/>
              </w:rPr>
            </w:pPr>
            <w:r>
              <w:rPr>
                <w:sz w:val="4"/>
                <w:szCs w:val="4"/>
              </w:rPr>
            </w:r>
          </w:p>
        </w:tc>
      </w:tr>
      <w:tr>
        <w:trPr/>
        <w:tc>
          <w:tcPr>
            <w:tcW w:w="1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Bread Financial Holdings, Inc.</w:t>
            </w:r>
          </w:p>
        </w:tc>
      </w:tr>
      <w:tr>
        <w:trPr/>
        <w:tc>
          <w:tcPr>
            <w:tcW w:w="1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 July 23, 2026</w:t>
            </w:r>
          </w:p>
        </w:tc>
        <w:tc>
          <w:tcPr>
            <w:tcW w:w="1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7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Joseph L. Motes III</w:t>
            </w:r>
          </w:p>
        </w:tc>
      </w:tr>
      <w:tr>
        <w:trPr/>
        <w:tc>
          <w:tcPr>
            <w:tcW w:w="1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Joseph L. Motes III</w:t>
              <w:br/>
              <w:t>Executive Vice President, Chief Legal and Administrative Officer, and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3095625" cy="4381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3095625" cy="438150"/>
                    </a:xfrm>
                    <a:prstGeom prst="rect">
                      <a:avLst/>
                    </a:prstGeom>
                  </pic:spPr>
                </pic:pic>
              </a:graphicData>
            </a:graphic>
          </wp:inline>
        </w:drawing>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BREAD FINANCIAL PROVIDES</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PERFORMANCE UPDATE FOR JUNE 2026</w:t>
      </w:r>
    </w:p>
    <w:p>
      <w:pPr>
        <w:pStyle w:val="TextBody"/>
        <w:bidi w:val="0"/>
        <w:spacing w:before="0" w:after="0"/>
        <w:jc w:val="center"/>
        <w:rPr/>
      </w:pPr>
      <w:r>
        <w:rPr/>
      </w:r>
    </w:p>
    <w:p>
      <w:pPr>
        <w:pStyle w:val="TextBody"/>
        <w:bidi w:val="0"/>
        <w:spacing w:lineRule="atLeast" w:line="288" w:before="0" w:after="0"/>
        <w:jc w:val="left"/>
        <w:rPr/>
      </w:pPr>
      <w:r>
        <w:rPr>
          <w:rFonts w:ascii="Times New Roman;serif" w:hAnsi="Times New Roman;serif"/>
          <w:b/>
          <w:color w:val="000000"/>
          <w:sz w:val="24"/>
        </w:rPr>
        <w:t>COLUMBUS, Ohio, July 23, 2026 – </w:t>
      </w:r>
      <w:r>
        <w:rPr>
          <w:rFonts w:ascii="Times New Roman;serif" w:hAnsi="Times New Roman;serif"/>
          <w:b w:val="false"/>
          <w:color w:val="000000"/>
          <w:sz w:val="24"/>
        </w:rPr>
        <w:t>Bread Financial Holdings, Inc. (NYSE: BFH), a tech-forward financial services company that provides simple, personalized payment, lending, and saving solutions to millions of U.S. consumers, provided a performance update. The following tables present the Company’s Net principal loss rate and Delinquency rate for the periods indicated:</w:t>
      </w:r>
    </w:p>
    <w:p>
      <w:pPr>
        <w:pStyle w:val="TextBody"/>
        <w:bidi w:val="0"/>
        <w:spacing w:before="0" w:after="0"/>
        <w:jc w:val="left"/>
        <w:rPr/>
      </w:pPr>
      <w:r>
        <w:rPr/>
      </w:r>
    </w:p>
    <w:tbl>
      <w:tblPr>
        <w:tblW w:w="8158" w:type="dxa"/>
        <w:jc w:val="left"/>
        <w:tblInd w:w="0" w:type="dxa"/>
        <w:tblLayout w:type="fixed"/>
        <w:tblCellMar>
          <w:top w:w="28" w:type="dxa"/>
          <w:left w:w="28" w:type="dxa"/>
          <w:bottom w:w="28" w:type="dxa"/>
          <w:right w:w="28" w:type="dxa"/>
        </w:tblCellMar>
      </w:tblPr>
      <w:tblGrid>
        <w:gridCol w:w="1821"/>
        <w:gridCol w:w="1598"/>
        <w:gridCol w:w="1605"/>
        <w:gridCol w:w="211"/>
        <w:gridCol w:w="721"/>
        <w:gridCol w:w="271"/>
        <w:gridCol w:w="109"/>
        <w:gridCol w:w="109"/>
        <w:gridCol w:w="109"/>
        <w:gridCol w:w="271"/>
        <w:gridCol w:w="927"/>
        <w:gridCol w:w="406"/>
      </w:tblGrid>
      <w:tr>
        <w:trPr/>
        <w:tc>
          <w:tcPr>
            <w:tcW w:w="1821"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w:t>
              <w:br/>
              <w:t>month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w:t>
              <w:br/>
              <w:t> three months ended</w:t>
              <w:br/>
              <w:t>June 30, 2026</w:t>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9"/>
            <w:tcBorders/>
            <w:tcMar>
              <w:top w:w="0" w:type="dxa"/>
              <w:left w:w="0" w:type="dxa"/>
              <w:bottom w:w="0" w:type="dxa"/>
              <w:right w:w="0" w:type="dxa"/>
            </w:tcMar>
            <w:vAlign w:val="center"/>
          </w:tcPr>
          <w:p>
            <w:pPr>
              <w:pStyle w:val="TableContents"/>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(dollars in millions)</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End-of-period credit card and other loans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18,477 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18,477 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Average credit card and other loans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18,197 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Year-over-year change in average credit card and other loans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principal losses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principal loss 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6.88</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6.98</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tbl>
      <w:tblPr>
        <w:tblW w:w="7083" w:type="dxa"/>
        <w:jc w:val="left"/>
        <w:tblInd w:w="0" w:type="dxa"/>
        <w:tblLayout w:type="fixed"/>
        <w:tblCellMar>
          <w:top w:w="28" w:type="dxa"/>
          <w:left w:w="28" w:type="dxa"/>
          <w:bottom w:w="28" w:type="dxa"/>
          <w:right w:w="28" w:type="dxa"/>
        </w:tblCellMar>
      </w:tblPr>
      <w:tblGrid>
        <w:gridCol w:w="1559"/>
        <w:gridCol w:w="1370"/>
        <w:gridCol w:w="1376"/>
        <w:gridCol w:w="211"/>
        <w:gridCol w:w="721"/>
        <w:gridCol w:w="271"/>
        <w:gridCol w:w="109"/>
        <w:gridCol w:w="109"/>
        <w:gridCol w:w="109"/>
        <w:gridCol w:w="211"/>
        <w:gridCol w:w="721"/>
        <w:gridCol w:w="316"/>
      </w:tblGrid>
      <w:tr>
        <w:trPr/>
        <w:tc>
          <w:tcPr>
            <w:tcW w:w="1559"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br/>
              <w:t>June 30, 2025</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(dollars in millions)</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30 days + delinquencies – principal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Period ended credit card and other loans – principal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16,102 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Delinquency 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About Bread Financial</w:t>
      </w:r>
      <w:r>
        <w:rPr>
          <w:rFonts w:ascii="Arial;sans-serif" w:hAnsi="Arial;sans-serif"/>
          <w:b/>
          <w:color w:val="12294A"/>
          <w:sz w:val="14"/>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Bread Financial</w:t>
      </w:r>
      <w:r>
        <w:rPr>
          <w:rFonts w:ascii="Times New Roman;serif" w:hAnsi="Times New Roman;serif"/>
          <w:b/>
          <w:color w:val="000000"/>
          <w:sz w:val="16"/>
        </w:rPr>
        <w:t>®</w:t>
      </w:r>
      <w:r>
        <w:rPr>
          <w:rFonts w:ascii="Times New Roman;serif" w:hAnsi="Times New Roman;serif"/>
          <w:b w:val="false"/>
          <w:color w:val="000000"/>
          <w:sz w:val="24"/>
        </w:rPr>
        <w:t>(NYSE: BFH) is a tech-forward financial services company that provides simple, personalized payment, lending and saving solutions to millions of U.S. consumers. Our payment solutions deliver growth for some of the most recognized brands in travel and entertainment, specialty apparel, health and beauty, jewelry, sporting goods, technology and electronics, as well as home and furniture through our co-brand and private label credit cards and pay-over-time products providing choice and value to our shared customers. Additionally, we offer Bread Financial general purpose credit cards and saving products that empower our customers and their passions for a better life.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Bread Financial proudly marks 30 years of success in 2026. To learn more about our global associates, our performance and our sustainability progress, visit </w:t>
      </w:r>
      <w:r>
        <w:rPr>
          <w:rFonts w:ascii="Times New Roman;serif" w:hAnsi="Times New Roman;serif"/>
          <w:b/>
          <w:color w:val="000000"/>
          <w:sz w:val="24"/>
        </w:rPr>
        <w:t>breadfinancial.com</w:t>
      </w:r>
      <w:r>
        <w:rPr>
          <w:color w:val="000000"/>
        </w:rPr>
        <w:t> </w:t>
      </w:r>
      <w:r>
        <w:rPr>
          <w:rFonts w:ascii="Times New Roman;serif" w:hAnsi="Times New Roman;serif"/>
          <w:b w:val="false"/>
          <w:color w:val="000000"/>
          <w:sz w:val="24"/>
        </w:rPr>
        <w:t>or follow us on </w:t>
      </w:r>
      <w:r>
        <w:rPr>
          <w:rFonts w:ascii="Times New Roman;serif" w:hAnsi="Times New Roman;serif"/>
          <w:b/>
          <w:color w:val="000000"/>
          <w:sz w:val="24"/>
        </w:rPr>
        <w:t xml:space="preserve">Instagram </w:t>
      </w:r>
      <w:r>
        <w:rPr>
          <w:rFonts w:ascii="Times New Roman;serif" w:hAnsi="Times New Roman;serif"/>
          <w:b w:val="false"/>
          <w:color w:val="000000"/>
          <w:sz w:val="24"/>
        </w:rPr>
        <w:t>and </w:t>
      </w:r>
      <w:r>
        <w:rPr>
          <w:rFonts w:ascii="Times New Roman;serif" w:hAnsi="Times New Roman;serif"/>
          <w:b/>
          <w:color w:val="000000"/>
          <w:sz w:val="24"/>
        </w:rPr>
        <w:t>LinkedIn</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Bread Financial Holdings, Inc.</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tLeast" w:line="288" w:before="0" w:after="0"/>
        <w:jc w:val="left"/>
        <w:rPr>
          <w:rFonts w:ascii="Times New Roman;serif" w:hAnsi="Times New Roman;serif"/>
          <w:b w:val="false"/>
          <w:color w:val="000000"/>
          <w:sz w:val="24"/>
        </w:rPr>
      </w:pPr>
      <w:r>
        <w:rPr>
          <w:rFonts w:ascii="Times New Roman;serif" w:hAnsi="Times New Roman;serif"/>
          <w:b w:val="false"/>
          <w:color w:val="000000"/>
          <w:sz w:val="24"/>
        </w:rPr>
        <w:t>July 23,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This release contains forward-looking statements within the meaning of Section 27A of the Securities Act of 1933 and Section 21E of the Securities Exchange Act of 1934. Forward-looking statements give our expectations or forecasts of future events and can generally be identified by the use of words such as “believe,” “expect,” “anticipate,” “estimate,” “intend,” “project,” “plan,” “likely,” “may,” “should” or other words or phrases of similar import. Similarly, statements that describe our business strategy, outlook, objectives, plans, intentions or goals also are forward-looking statements. Examples of forward-looking statements include, but are not limited to, statements we make regarding, and the guidance we give with respect to, our anticipated operating or financial results, future financial performance and outlook, future dividend declarations, and future economic conditions.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 xml:space="preserve">We believe that our expectations are based on reasonable assumptions. Forward-looking statements, however, are subject to a number of risks and uncertainties that are difficult to predict and, in many cases, beyond our control. Accordingly, our actual results could differ materially from the projections, anticipated results or other expectations expressed in this release, and no assurances can be given that our expectations will prove to have been correct. Factors that could cause the outcomes to differ materially include, but are not limited to, the following: macroeconomic conditions, including inflation, interest rates, labor market conditions, financial and capital market conditions, recessionary pressures or concerns over a prolonged economic slowdown, and the related impact on consumer spending behavior, payments, debt levels, savings rates and other behaviors; global political events and conditions, including significant shifts in trade policy, such as changes to, or the imposition of, tariffs and/or trade barriers and consequently any economic impacts, volatility, uncertainty and geopolitical instability resulting therefrom, as well as ongoing wars and military conflicts, and international tensions or hostilities; local or global public health issues, climate-related events, impacts to the power grid, and natural disasters; future credit performance, including the level of future delinquency and charge-off rates; loss of, or reduction in demand for services and/or products from, significant brand partners or customers in the highly competitive markets in which we operate, including competition from new and non-traditional competitors, such as financial technology companies, and with respect to new products, services and technologies, such as the emergence or increase in popularity of agentic commerce, digital payment platforms and currencies and other alternative payment and deposit solutions; the concentration of our business in U.S. consumer credit; inaccuracies in the models and estimates on which we rely, including our credit risk management models and the amount of our Allowance for credit losses; the inability to realize the intended benefits of acquisitions, dispositions and other strategic initiatives; our level of indebtedness and ability to access financial or capital markets; pending and future federal and state legislation, executive action, regulation, supervisory guidance, and regulatory and legal actions, including, but not limited to, those related to financial regulatory reform and consumer financial services practices, as well as any such actions that would place limits on credit card interest rates or late fees, interchange fees or other charges; failures or breaches in our operational or security systems, including as a result of cyberattacks, unanticipated impacts from technology modernization projects or otherwise; and any liability or other adverse impacts arising out of or related to the spinoff of our former LoyaltyOne segment or the bankruptcy filings of Loyalty Ventures Inc. (LVI) and certain of its subsidiaries, including the pending litigation against us in connection with the spinoff. The foregoing factors, along with other risks and uncertainties that could cause actual results to differ materially from those expressed or implied in forward-looking statements, are described in greater detail under the headings “Risk Factors” and “Management’s Discussion and Analysis of Financial Condition and Results of Operations” in our Annual Report on Form 10-K for the most recently ended fiscal year, which may be </w: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Bread Financial Holdings, Inc.</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tLeast" w:line="288" w:before="0" w:after="0"/>
        <w:jc w:val="left"/>
        <w:rPr>
          <w:rFonts w:ascii="Times New Roman;serif" w:hAnsi="Times New Roman;serif"/>
          <w:b w:val="false"/>
          <w:color w:val="000000"/>
          <w:sz w:val="24"/>
        </w:rPr>
      </w:pPr>
      <w:r>
        <w:rPr>
          <w:rFonts w:ascii="Times New Roman;serif" w:hAnsi="Times New Roman;serif"/>
          <w:b w:val="false"/>
          <w:color w:val="000000"/>
          <w:sz w:val="24"/>
        </w:rPr>
        <w:t>July 23,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updated in Item 1A of, or elsewhere in, our Quarterly Reports on Form 10-Q filed for periods subsequent to such Form 10-K. Our forward-looking statements speak only as of the date made, and we undertake no obligation, other than as required by applicable law, to update or revise any forward-looking statements, whether as a result of new information, subsequent events, anticipated or unanticipated circumstances or otherwise.</w:t>
      </w:r>
    </w:p>
    <w:p>
      <w:pPr>
        <w:pStyle w:val="TextBody"/>
        <w:bidi w:val="0"/>
        <w:spacing w:before="0" w:after="0"/>
        <w:jc w:val="left"/>
        <w:rPr/>
      </w:pPr>
      <w:r>
        <w:rPr/>
      </w:r>
    </w:p>
    <w:tbl>
      <w:tblPr>
        <w:tblW w:w="3961" w:type="dxa"/>
        <w:jc w:val="left"/>
        <w:tblInd w:w="0" w:type="dxa"/>
        <w:tblLayout w:type="fixed"/>
        <w:tblCellMar>
          <w:top w:w="28" w:type="dxa"/>
          <w:left w:w="28" w:type="dxa"/>
          <w:bottom w:w="28" w:type="dxa"/>
          <w:right w:w="28" w:type="dxa"/>
        </w:tblCellMar>
      </w:tblPr>
      <w:tblGrid>
        <w:gridCol w:w="304"/>
        <w:gridCol w:w="267"/>
        <w:gridCol w:w="269"/>
        <w:gridCol w:w="912"/>
        <w:gridCol w:w="912"/>
        <w:gridCol w:w="1297"/>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Contact:</w:t>
            </w:r>
          </w:p>
        </w:tc>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Investors/Analysts</w:t>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Brian Vereb</w:t>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Brian.Vereb@BreadFinancial.com</w:t>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Susan Haugen</w:t>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Susan.Haugen@BreadFinancial.com</w:t>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Media</w:t>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Rachel Stultz</w:t>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Rachel.Stultz@BreadFinancial.com</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1583</Words>
  <Characters>9048</Characters>
  <CharactersWithSpaces>10515</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