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208280</wp:posOffset>
            </wp:positionV>
            <wp:extent cx="1688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9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60" w:right="40" w:hanging="652"/>
        <w:spacing w:after="0" w:line="238" w:lineRule="auto"/>
        <w:tabs>
          <w:tab w:leader="none" w:pos="41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2" w:lineRule="exact"/>
        <w:rPr>
          <w:sz w:val="24"/>
          <w:szCs w:val="24"/>
          <w:color w:val="auto"/>
        </w:rPr>
      </w:pPr>
    </w:p>
    <w:p>
      <w:pPr>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Note Trust</w:t>
      </w:r>
    </w:p>
    <w:p>
      <w:pPr>
        <w:ind w:left="3520"/>
        <w:spacing w:after="0" w:line="224" w:lineRule="auto"/>
        <w:rPr>
          <w:sz w:val="20"/>
          <w:szCs w:val="20"/>
          <w:color w:val="auto"/>
        </w:rPr>
      </w:pPr>
      <w:r>
        <w:rPr>
          <w:rFonts w:ascii="Times New Roman" w:cs="Times New Roman" w:eastAsia="Times New Roman" w:hAnsi="Times New Roman"/>
          <w:sz w:val="18"/>
          <w:szCs w:val="18"/>
          <w:color w:val="auto"/>
        </w:rPr>
        <w:t>(Exact Name of Issuing Entity as Specified in its Charter)</w:t>
      </w:r>
    </w:p>
    <w:p>
      <w:pPr>
        <w:ind w:left="3920"/>
        <w:spacing w:after="0" w:line="204" w:lineRule="auto"/>
        <w:rPr>
          <w:sz w:val="20"/>
          <w:szCs w:val="20"/>
          <w:color w:val="auto"/>
        </w:rPr>
      </w:pPr>
      <w:r>
        <w:rPr>
          <w:rFonts w:ascii="Times New Roman" w:cs="Times New Roman" w:eastAsia="Times New Roman" w:hAnsi="Times New Roman"/>
          <w:sz w:val="18"/>
          <w:szCs w:val="18"/>
          <w:b w:val="1"/>
          <w:bCs w:val="1"/>
          <w:color w:val="auto"/>
        </w:rPr>
        <w:t>Commission File Numbers of Issuing Entity:</w:t>
      </w:r>
    </w:p>
    <w:p>
      <w:pPr>
        <w:jc w:val="center"/>
        <w:ind w:right="-279"/>
        <w:spacing w:after="0" w:line="203" w:lineRule="auto"/>
        <w:rPr>
          <w:sz w:val="20"/>
          <w:szCs w:val="20"/>
          <w:color w:val="auto"/>
        </w:rPr>
      </w:pPr>
      <w:r>
        <w:rPr>
          <w:rFonts w:ascii="Times New Roman" w:cs="Times New Roman" w:eastAsia="Times New Roman" w:hAnsi="Times New Roman"/>
          <w:sz w:val="18"/>
          <w:szCs w:val="18"/>
          <w:b w:val="1"/>
          <w:bCs w:val="1"/>
          <w:color w:val="auto"/>
        </w:rPr>
        <w:t>333-113669</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Central Index Key Number of Issuing Entity: 0001282663</w:t>
      </w:r>
    </w:p>
    <w:p>
      <w:pPr>
        <w:spacing w:after="0" w:line="17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Trust</w:t>
      </w:r>
    </w:p>
    <w:p>
      <w:pPr>
        <w:jc w:val="center"/>
        <w:ind w:right="-279"/>
        <w:spacing w:after="0" w:line="209" w:lineRule="auto"/>
        <w:rPr>
          <w:sz w:val="20"/>
          <w:szCs w:val="20"/>
          <w:color w:val="auto"/>
        </w:rPr>
      </w:pPr>
      <w:r>
        <w:rPr>
          <w:rFonts w:ascii="Times New Roman" w:cs="Times New Roman" w:eastAsia="Times New Roman" w:hAnsi="Times New Roman"/>
          <w:sz w:val="18"/>
          <w:szCs w:val="18"/>
          <w:color w:val="auto"/>
        </w:rPr>
        <w:t>(Exact Name of Issuer of the Collateral Certificate as Specified in its Charter)</w:t>
      </w:r>
    </w:p>
    <w:p>
      <w:pPr>
        <w:jc w:val="center"/>
        <w:ind w:right="-279"/>
        <w:spacing w:after="0" w:line="203" w:lineRule="auto"/>
        <w:rPr>
          <w:sz w:val="20"/>
          <w:szCs w:val="20"/>
          <w:color w:val="auto"/>
        </w:rPr>
      </w:pPr>
      <w:r>
        <w:rPr>
          <w:rFonts w:ascii="Times New Roman" w:cs="Times New Roman" w:eastAsia="Times New Roman" w:hAnsi="Times New Roman"/>
          <w:sz w:val="18"/>
          <w:szCs w:val="18"/>
          <w:b w:val="1"/>
          <w:bCs w:val="1"/>
          <w:color w:val="auto"/>
        </w:rPr>
        <w:t>Commission File Numbers of Issuer of the Collateral Certificate:</w:t>
      </w:r>
    </w:p>
    <w:p>
      <w:pPr>
        <w:jc w:val="center"/>
        <w:ind w:right="-279"/>
        <w:spacing w:after="0" w:line="219" w:lineRule="auto"/>
        <w:rPr>
          <w:sz w:val="20"/>
          <w:szCs w:val="20"/>
          <w:color w:val="auto"/>
        </w:rPr>
      </w:pPr>
      <w:r>
        <w:rPr>
          <w:rFonts w:ascii="Times New Roman" w:cs="Times New Roman" w:eastAsia="Times New Roman" w:hAnsi="Times New Roman"/>
          <w:sz w:val="18"/>
          <w:szCs w:val="18"/>
          <w:b w:val="1"/>
          <w:bCs w:val="1"/>
          <w:color w:val="auto"/>
        </w:rPr>
        <w:t>333-60418-01</w:t>
      </w:r>
    </w:p>
    <w:p>
      <w:pPr>
        <w:jc w:val="center"/>
        <w:ind w:right="-279"/>
        <w:spacing w:after="0" w:line="196" w:lineRule="auto"/>
        <w:rPr>
          <w:sz w:val="20"/>
          <w:szCs w:val="20"/>
          <w:color w:val="auto"/>
        </w:rPr>
      </w:pPr>
      <w:r>
        <w:rPr>
          <w:rFonts w:ascii="Times New Roman" w:cs="Times New Roman" w:eastAsia="Times New Roman" w:hAnsi="Times New Roman"/>
          <w:sz w:val="18"/>
          <w:szCs w:val="18"/>
          <w:b w:val="1"/>
          <w:bCs w:val="1"/>
          <w:color w:val="auto"/>
        </w:rPr>
        <w:t>Central Index Key Number of Issuer of the Collateral Certificate: 0001140096</w:t>
      </w:r>
    </w:p>
    <w:p>
      <w:pPr>
        <w:jc w:val="center"/>
        <w:ind w:right="-279"/>
        <w:spacing w:after="0" w:line="215" w:lineRule="auto"/>
        <w:rPr>
          <w:sz w:val="20"/>
          <w:szCs w:val="20"/>
          <w:color w:val="auto"/>
        </w:rPr>
      </w:pPr>
      <w:r>
        <w:rPr>
          <w:rFonts w:ascii="Times New Roman" w:cs="Times New Roman" w:eastAsia="Times New Roman" w:hAnsi="Times New Roman"/>
          <w:sz w:val="32"/>
          <w:szCs w:val="32"/>
          <w:b w:val="1"/>
          <w:bCs w:val="1"/>
          <w:color w:val="auto"/>
        </w:rPr>
        <w:t>WFN Credit Company, LLC</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Depositor as Specified in its Charter)</w:t>
      </w:r>
    </w:p>
    <w:p>
      <w:pPr>
        <w:spacing w:after="0" w:line="12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Numbers of Depositor:</w:t>
      </w:r>
    </w:p>
    <w:p>
      <w:pPr>
        <w:jc w:val="center"/>
        <w:ind w:right="-279"/>
        <w:spacing w:after="0" w:line="203" w:lineRule="auto"/>
        <w:rPr>
          <w:sz w:val="20"/>
          <w:szCs w:val="20"/>
          <w:color w:val="auto"/>
        </w:rPr>
      </w:pPr>
      <w:r>
        <w:rPr>
          <w:rFonts w:ascii="Times New Roman" w:cs="Times New Roman" w:eastAsia="Times New Roman" w:hAnsi="Times New Roman"/>
          <w:sz w:val="18"/>
          <w:szCs w:val="18"/>
          <w:b w:val="1"/>
          <w:bCs w:val="1"/>
          <w:color w:val="auto"/>
        </w:rPr>
        <w:t>333-60418</w:t>
      </w: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Central Index Key Number of Depositor: 0001139552</w:t>
      </w:r>
    </w:p>
    <w:p>
      <w:pPr>
        <w:spacing w:after="0" w:line="10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Comenity Bank</w:t>
      </w:r>
    </w:p>
    <w:p>
      <w:pPr>
        <w:spacing w:after="0" w:line="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(Exact Name of Sponsor as Specified in its Charter)</w:t>
      </w:r>
    </w:p>
    <w:p>
      <w:pPr>
        <w:spacing w:after="0" w:line="12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Central Index Key Number of Sponsor: 0001007254</w:t>
      </w:r>
    </w:p>
    <w:p>
      <w:pPr>
        <w:sectPr>
          <w:pgSz w:w="11900" w:h="16838" w:orient="portrait"/>
          <w:cols w:equalWidth="0" w:num="1">
            <w:col w:w="10960"/>
          </w:cols>
          <w:pgMar w:left="320" w:top="1440" w:right="6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jc w:val="center"/>
        <w:ind w:right="19"/>
        <w:spacing w:after="0"/>
        <w:rPr>
          <w:sz w:val="20"/>
          <w:szCs w:val="20"/>
          <w:color w:val="auto"/>
        </w:rPr>
      </w:pPr>
      <w:r>
        <w:rPr>
          <w:rFonts w:ascii="Times New Roman" w:cs="Times New Roman" w:eastAsia="Times New Roman" w:hAnsi="Times New Roman"/>
          <w:sz w:val="18"/>
          <w:szCs w:val="18"/>
          <w:color w:val="auto"/>
        </w:rPr>
        <w:t>(State of Organization of the Registrant)</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31-1772814</w:t>
      </w:r>
    </w:p>
    <w:p>
      <w:pPr>
        <w:jc w:val="center"/>
        <w:ind w:right="19"/>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One Righter Parkway, Suite 100</w:t>
      </w:r>
    </w:p>
    <w:p>
      <w:pPr>
        <w:ind w:left="3400"/>
        <w:spacing w:after="0" w:line="210" w:lineRule="auto"/>
        <w:rPr>
          <w:sz w:val="20"/>
          <w:szCs w:val="20"/>
          <w:color w:val="auto"/>
        </w:rPr>
      </w:pPr>
      <w:r>
        <w:rPr>
          <w:rFonts w:ascii="Times New Roman" w:cs="Times New Roman" w:eastAsia="Times New Roman" w:hAnsi="Times New Roman"/>
          <w:sz w:val="18"/>
          <w:szCs w:val="18"/>
          <w:b w:val="1"/>
          <w:bCs w:val="1"/>
          <w:color w:val="auto"/>
        </w:rPr>
        <w:t>Wilmington, Delaware 19803</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(302) 529-6140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(Address and Telephone Number of Principal Executive Office of Registrant)</w:t>
      </w:r>
    </w:p>
    <w:p>
      <w:pPr>
        <w:sectPr>
          <w:pgSz w:w="11900" w:h="16838" w:orient="portrait"/>
          <w:cols w:equalWidth="0" w:num="1">
            <w:col w:w="9019"/>
          </w:cols>
          <w:pgMar w:left="1440" w:top="1392" w:right="1440" w:bottom="1440" w:gutter="0" w:footer="0" w:header="0"/>
        </w:sectPr>
      </w:pPr>
    </w:p>
    <w:bookmarkStart w:id="2" w:name="page3"/>
    <w:bookmarkEnd w:id="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Securities Exchange Act of 1934: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ectPr>
          <w:pgSz w:w="11900" w:h="16838" w:orient="portrait"/>
          <w:cols w:equalWidth="0" w:num="2">
            <w:col w:w="6620" w:space="720"/>
            <w:col w:w="3860"/>
          </w:cols>
          <w:pgMar w:left="320" w:top="1440" w:right="379" w:bottom="1440" w:gutter="0" w:footer="0" w:header="0"/>
        </w:sectPr>
      </w:pPr>
    </w:p>
    <w:p>
      <w:pPr>
        <w:spacing w:after="0" w:line="23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Securities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04"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440" w:right="379" w:bottom="1440" w:gutter="0" w:footer="0" w:header="0"/>
          <w:type w:val="continuous"/>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1960" w:space="460"/>
            <w:col w:w="8780"/>
          </w:cols>
          <w:pgMar w:left="320" w:top="1440" w:right="379" w:bottom="1440"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70" w:lineRule="exact"/>
        <w:rPr>
          <w:sz w:val="20"/>
          <w:szCs w:val="20"/>
          <w:color w:val="auto"/>
        </w:rPr>
      </w:pPr>
    </w:p>
    <w:p>
      <w:pPr>
        <w:ind w:left="9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1880" w:space="440"/>
            <w:col w:w="8880"/>
          </w:cols>
          <w:pgMar w:left="320" w:top="1440" w:right="379" w:bottom="1440" w:gutter="0" w:footer="0" w:header="0"/>
          <w:type w:val="continuous"/>
        </w:sectPr>
      </w:pPr>
    </w:p>
    <w:p>
      <w:pPr>
        <w:spacing w:after="0" w:line="44"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w:t>
      </w:r>
    </w:p>
    <w:p>
      <w:pPr>
        <w:sectPr>
          <w:pgSz w:w="11900" w:h="16838" w:orient="portrait"/>
          <w:cols w:equalWidth="0" w:num="1">
            <w:col w:w="11200"/>
          </w:cols>
          <w:pgMar w:left="320" w:top="1440"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price of such common equity, as of the last business day of the registrant’s most recently completed second fiscal quarter.</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Registrant does not have any voting or non-voting common equity, has not been involved in bankruptcy proceedings during the past five years and is not a corporate registrant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Incorporated by Reference. </w:t>
      </w:r>
      <w:r>
        <w:rPr>
          <w:rFonts w:ascii="Times New Roman" w:cs="Times New Roman" w:eastAsia="Times New Roman" w:hAnsi="Times New Roman"/>
          <w:sz w:val="18"/>
          <w:szCs w:val="18"/>
          <w:b w:val="1"/>
          <w:bCs w:val="1"/>
          <w:color w:val="auto"/>
        </w:rPr>
        <w:t>None.</w:t>
      </w:r>
    </w:p>
    <w:p>
      <w:pPr>
        <w:spacing w:after="0" w:line="24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__________________________________________________________________________</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HAVE BEEN OMITTED IN ACCORDANCE WITH GENERAL INSTRUCTION J TO FORM 10-K:</w:t>
      </w:r>
    </w:p>
    <w:p>
      <w:pPr>
        <w:sectPr>
          <w:pgSz w:w="11900" w:h="16838" w:orient="portrait"/>
          <w:cols w:equalWidth="0" w:num="1">
            <w:col w:w="11240"/>
          </w:cols>
          <w:pgMar w:left="320" w:top="1417" w:right="339" w:bottom="1440" w:gutter="0" w:footer="0" w:header="0"/>
        </w:sect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Item 1A:</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Item 1C:</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1" w:lineRule="exact"/>
        <w:rPr>
          <w:sz w:val="20"/>
          <w:szCs w:val="20"/>
          <w:color w:val="auto"/>
        </w:rPr>
      </w:pPr>
    </w:p>
    <w:p>
      <w:pPr>
        <w:sectPr>
          <w:pgSz w:w="11900" w:h="16838" w:orient="portrait"/>
          <w:cols w:equalWidth="0" w:num="2">
            <w:col w:w="1340" w:space="60"/>
            <w:col w:w="9840"/>
          </w:cols>
          <w:pgMar w:left="320" w:top="1417"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SUBSTITUTE INFORMATION PROVIDED IN ACCORDANCE WITH GENERAL INSTRUCTION J TO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1112(b) of Regulation AB: Significant obligors of pool assets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1114(b)(2) of Regulation AB: Credit enhancement and other support, except for certain derivatives instruments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1115(b) of Regulation AB: Certain derivatives instruments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1117 of Regulation AB: Legal proceedings.</w:t>
      </w:r>
    </w:p>
    <w:p>
      <w:pPr>
        <w:spacing w:after="0" w:line="24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There are no legal proceedings pending or proceedings known to be contemplated by governmental authorities against any of Citicorp Trust Delaware, National Association, as owner trustee for the issuing entity, Comenity Bank, as Servicer and Sponsor, WFN Credit Company, LLC, as Depositor, or Comenity Servicing LLC, as sub-servicer, or of which any property of the foregoing is subject, that are material to holders of the Notes issued by the issuing entity.</w:t>
      </w:r>
    </w:p>
    <w:p>
      <w:pPr>
        <w:sectPr>
          <w:pgSz w:w="11900" w:h="16838" w:orient="portrait"/>
          <w:cols w:equalWidth="0" w:num="1">
            <w:col w:w="11240"/>
          </w:cols>
          <w:pgMar w:left="320" w:top="14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U.S. Bank National Association, a national banking association (“</w:t>
      </w:r>
      <w:r>
        <w:rPr>
          <w:rFonts w:ascii="Times New Roman" w:cs="Times New Roman" w:eastAsia="Times New Roman" w:hAnsi="Times New Roman"/>
          <w:sz w:val="18"/>
          <w:szCs w:val="18"/>
          <w:u w:val="single" w:color="auto"/>
          <w:color w:val="auto"/>
        </w:rPr>
        <w:t>U.S. Bank</w:t>
      </w:r>
      <w:r>
        <w:rPr>
          <w:rFonts w:ascii="Times New Roman" w:cs="Times New Roman" w:eastAsia="Times New Roman" w:hAnsi="Times New Roman"/>
          <w:sz w:val="18"/>
          <w:szCs w:val="18"/>
          <w:color w:val="auto"/>
        </w:rPr>
        <w:t>”), as the indenture trustee, has provided the following information:</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Bank and other large financial institutions have been sued in their capacity as trustee or successor trustee for certain residential mortgage backed securities (“</w:t>
      </w:r>
      <w:r>
        <w:rPr>
          <w:rFonts w:ascii="Times New Roman" w:cs="Times New Roman" w:eastAsia="Times New Roman" w:hAnsi="Times New Roman"/>
          <w:sz w:val="18"/>
          <w:szCs w:val="18"/>
          <w:u w:val="single" w:color="auto"/>
          <w:color w:val="auto"/>
        </w:rPr>
        <w:t>RMBS</w:t>
      </w:r>
      <w:r>
        <w:rPr>
          <w:rFonts w:ascii="Times New Roman" w:cs="Times New Roman" w:eastAsia="Times New Roman" w:hAnsi="Times New Roman"/>
          <w:sz w:val="18"/>
          <w:szCs w:val="18"/>
          <w:color w:val="auto"/>
        </w:rPr>
        <w:t>”) trusts. The complaints, primarily filed by investors or investor groups against U.S. Bank and similar institutions, allege the trustees caused losses to investors as a result of alleged failures by the sponsors, mortgage loan sellers and servicers to comply with the governing agreements for these RMBS trusts. Plaintiffs generally assert causes of action based upon the trustees’ purported failures to enforce repurchase obligations of mortgage loan sellers for alleged breaches of representations and warranties, notify securityholders of purported events of default allegedly caused by breaches of servicing standards by mortgage loan servicers and abide by a heightened standard of care following alleged events of default.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Bank denies liability and believes that it has performed its obligations under the RMBS trusts in good faith, that its actions were not the cause of losses to investors, that it has meritorious defenses, and it has contested and intends to continue contesting the plaintiffs’ claims vigorously. However, U.S. Bank cannot assure you as to the outcome of any of the litigation, or the possible impact of these litigations on the trustee or the RMBS trusts.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9, 2018, a law firm purporting to represent fifteen Delaware statutory trusts (the “</w:t>
      </w:r>
      <w:r>
        <w:rPr>
          <w:rFonts w:ascii="Times New Roman" w:cs="Times New Roman" w:eastAsia="Times New Roman" w:hAnsi="Times New Roman"/>
          <w:sz w:val="18"/>
          <w:szCs w:val="18"/>
          <w:u w:val="single" w:color="auto"/>
          <w:color w:val="auto"/>
        </w:rPr>
        <w:t>DSTs</w:t>
      </w:r>
      <w:r>
        <w:rPr>
          <w:rFonts w:ascii="Times New Roman" w:cs="Times New Roman" w:eastAsia="Times New Roman" w:hAnsi="Times New Roman"/>
          <w:sz w:val="18"/>
          <w:szCs w:val="18"/>
          <w:color w:val="auto"/>
        </w:rPr>
        <w:t>”) that issued securities backed by student loans (the “</w:t>
      </w:r>
      <w:r>
        <w:rPr>
          <w:rFonts w:ascii="Times New Roman" w:cs="Times New Roman" w:eastAsia="Times New Roman" w:hAnsi="Times New Roman"/>
          <w:sz w:val="18"/>
          <w:szCs w:val="18"/>
          <w:u w:val="single" w:color="auto"/>
          <w:color w:val="auto"/>
        </w:rPr>
        <w:t>Student Loans</w:t>
      </w:r>
      <w:r>
        <w:rPr>
          <w:rFonts w:ascii="Times New Roman" w:cs="Times New Roman" w:eastAsia="Times New Roman" w:hAnsi="Times New Roman"/>
          <w:sz w:val="18"/>
          <w:szCs w:val="18"/>
          <w:color w:val="auto"/>
        </w:rPr>
        <w:t>”) filed a lawsuit in the Delaware Court of Chancery against U.S. Bank in its capacities as indenture trustee and successor special servicer, and three other institutions in their respective transaction capacities, with respect to the DSTs and the Student Loans. This lawsuit is captioned “The National Collegiate Student Loan Master Trust I, et al. v. U.S. Bank National Association, et al.,” C.A. No. 2018-0167-JRS (Del. Ch.) (the “NCMSLT Action”). The complaint, as amended on June 15, 2018, alleged that the DSTs have been harmed as a result of purported misconduct or omissions by the defendants concerning administration of the trusts and special servicing of the Student Loans. Since the filing of the NCMSLT Action, certain Student Loan borrowers have made assertions against U.S. Bank concerning special servicing that appear to be based on certain allegations made on behalf of the DSTs in the NCMSLT Action.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Bank has filed a motion seeking dismissal of the operative complaint in its entirety with prejudice pursuant to Chancery Court Rules 12(b)(1) and 12(b)(6) or, in the alternative, a stay of the case while other prior filed disputes involving the DSTs and the Student Loans are litigated. On November 7, 2018, the Court ruled that the case should be stayed in its entirety pending resolution of the first-filed cases. On January 21, 2020, the Court entered an order consolidating for pretrial purposes the NCMSLT Action and three other lawsuits pending in the Delaware Court of Chancery concerning the DSTs and the Student Loans, which remains pending.</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U.S. Bank denies liability in the NCMSLT Action and believes it has performed its obligations as indenture trustee and special servicer in good faith and in compliance in all material respects with the terms of the agreements governing the DSTs and that it has meritorious defenses. It has contested and intends to continue contesting the plaintiffs’ claims vigorously.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HAVE BEEN OMITTED IN ACCORDANCE WITH GENERAL INSTRUCTION J TO FORM 10-K:</w:t>
      </w:r>
    </w:p>
    <w:p>
      <w:pPr>
        <w:spacing w:after="0" w:line="23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04"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ectPr>
          <w:pgSz w:w="11900" w:h="16838" w:orient="portrait"/>
          <w:cols w:equalWidth="0" w:num="1">
            <w:col w:w="11240"/>
          </w:cols>
          <w:pgMar w:left="320" w:top="1417" w:right="339" w:bottom="1440" w:gutter="0" w:footer="0" w:header="0"/>
        </w:sectPr>
      </w:pPr>
    </w:p>
    <w:bookmarkStart w:id="5" w:name="page6"/>
    <w:bookmarkEnd w:id="5"/>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HAVE BEEN OMITTED IN ACCORDANCE WITH GENERAL INSTRUCTION J TO FORM 10-K:</w:t>
      </w:r>
    </w:p>
    <w:p>
      <w:pPr>
        <w:spacing w:after="0" w:line="198" w:lineRule="exact"/>
        <w:rPr>
          <w:sz w:val="20"/>
          <w:szCs w:val="20"/>
          <w:color w:val="auto"/>
        </w:rPr>
      </w:pPr>
    </w:p>
    <w:p>
      <w:pPr>
        <w:ind w:left="6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7"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7" w:lineRule="exact"/>
        <w:rPr>
          <w:sz w:val="20"/>
          <w:szCs w:val="20"/>
          <w:color w:val="auto"/>
        </w:rPr>
      </w:pPr>
    </w:p>
    <w:p>
      <w:pPr>
        <w:ind w:left="6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17" w:lineRule="exact"/>
        <w:rPr>
          <w:sz w:val="20"/>
          <w:szCs w:val="20"/>
          <w:color w:val="auto"/>
        </w:rPr>
      </w:pPr>
    </w:p>
    <w:p>
      <w:pPr>
        <w:ind w:left="6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7" w:lineRule="exact"/>
        <w:rPr>
          <w:sz w:val="20"/>
          <w:szCs w:val="20"/>
          <w:color w:val="auto"/>
        </w:rPr>
      </w:pPr>
    </w:p>
    <w:p>
      <w:pPr>
        <w:ind w:left="68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SUBSTITUTE INFORMATION PROVIDED IN ACCORDANCE WITH GENERAL INSTRUCTION J TO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1119 of Regulation AB: Affiliations and Certain Relationships and Related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1119 of Regulation AB has been omitted from this report on Form 10-K in reliance on the Instruction to Item 1119.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1122 of Regulation AB: Compliance with Applicable Servicing Criteria.</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Comenity Bank, Comenity Servicing LLC and U.S. Bank National Association (each, a “</w:t>
      </w:r>
      <w:r>
        <w:rPr>
          <w:rFonts w:ascii="Times New Roman" w:cs="Times New Roman" w:eastAsia="Times New Roman" w:hAnsi="Times New Roman"/>
          <w:sz w:val="18"/>
          <w:szCs w:val="18"/>
          <w:u w:val="single" w:color="auto"/>
          <w:color w:val="auto"/>
        </w:rPr>
        <w:t>Servicing Participant</w:t>
      </w:r>
      <w:r>
        <w:rPr>
          <w:rFonts w:ascii="Times New Roman" w:cs="Times New Roman" w:eastAsia="Times New Roman" w:hAnsi="Times New Roman"/>
          <w:sz w:val="18"/>
          <w:szCs w:val="18"/>
          <w:color w:val="auto"/>
        </w:rPr>
        <w:t>”) has been identified by the registrant as a party participating in the servicing function with respect to more than 5% of the pool assets held by the issuing entity during the reporting period to which this report on Form 10-K relates. Each of the Servicing Participants has completed a report on an assessment of compliance with the servicing criteria applicable to it (each, a “</w:t>
      </w:r>
      <w:r>
        <w:rPr>
          <w:rFonts w:ascii="Times New Roman" w:cs="Times New Roman" w:eastAsia="Times New Roman" w:hAnsi="Times New Roman"/>
          <w:sz w:val="18"/>
          <w:szCs w:val="18"/>
          <w:u w:val="single" w:color="auto"/>
          <w:color w:val="auto"/>
        </w:rPr>
        <w:t>Servicing Report</w:t>
      </w:r>
      <w:r>
        <w:rPr>
          <w:rFonts w:ascii="Times New Roman" w:cs="Times New Roman" w:eastAsia="Times New Roman" w:hAnsi="Times New Roman"/>
          <w:sz w:val="18"/>
          <w:szCs w:val="18"/>
          <w:color w:val="auto"/>
        </w:rPr>
        <w:t>”), which Servicing Reports are attached as exhibits to this Form 10-K. In addition, each Servicing Participant has provided an attestation report (each, an “</w:t>
      </w:r>
      <w:r>
        <w:rPr>
          <w:rFonts w:ascii="Times New Roman" w:cs="Times New Roman" w:eastAsia="Times New Roman" w:hAnsi="Times New Roman"/>
          <w:sz w:val="18"/>
          <w:szCs w:val="18"/>
          <w:u w:val="single" w:color="auto"/>
          <w:color w:val="auto"/>
        </w:rPr>
        <w:t>Attestation Report</w:t>
      </w:r>
      <w:r>
        <w:rPr>
          <w:rFonts w:ascii="Times New Roman" w:cs="Times New Roman" w:eastAsia="Times New Roman" w:hAnsi="Times New Roman"/>
          <w:sz w:val="18"/>
          <w:szCs w:val="18"/>
          <w:color w:val="auto"/>
        </w:rPr>
        <w:t>”) by one or more registered public accounting firms, which Attestation Reports are also attached as exhibits to this Form 10-K. Neither the Servicing Reports nor the Attestation Reports have identified any material instances of noncompliance with the servicing criteria applicable to the Servicing Participants.</w:t>
      </w:r>
    </w:p>
    <w:p>
      <w:pPr>
        <w:sectPr>
          <w:pgSz w:w="11900" w:h="16838" w:orient="portrait"/>
          <w:cols w:equalWidth="0" w:num="1">
            <w:col w:w="11080"/>
          </w:cols>
          <w:pgMar w:left="320" w:top="1413"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1123 of Regulation AB: Servicer Compliance Statement.</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Each of Comenity Bank and Comenity Servicing LLC has completed a Statement of Compliance with applicable servicing criteria (a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signed by an authorized officer of such servicer. Each Compliance Statement is attached as an exhibit to this 10-K.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560" w:hanging="37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 Applicable.</w:t>
      </w:r>
    </w:p>
    <w:p>
      <w:pPr>
        <w:spacing w:after="0" w:line="117" w:lineRule="exact"/>
        <w:rPr>
          <w:rFonts w:ascii="Times New Roman" w:cs="Times New Roman" w:eastAsia="Times New Roman" w:hAnsi="Times New Roman"/>
          <w:sz w:val="18"/>
          <w:szCs w:val="18"/>
          <w:color w:val="auto"/>
        </w:rPr>
      </w:pPr>
    </w:p>
    <w:p>
      <w:pPr>
        <w:ind w:left="760" w:hanging="392"/>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hanging="392"/>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in response to Item 601 of Regulation S-K are listed below:</w:t>
      </w:r>
    </w:p>
    <w:p>
      <w:pPr>
        <w:spacing w:after="0" w:line="252" w:lineRule="exact"/>
        <w:rPr>
          <w:sz w:val="20"/>
          <w:szCs w:val="20"/>
          <w:color w:val="auto"/>
        </w:rPr>
      </w:pPr>
    </w:p>
    <w:p>
      <w:pPr>
        <w:ind w:left="1560" w:right="540" w:hanging="1295"/>
        <w:spacing w:after="0" w:line="282" w:lineRule="auto"/>
        <w:tabs>
          <w:tab w:leader="none" w:pos="1540" w:val="left"/>
        </w:tabs>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u w:val="single" w:color="auto"/>
            <w:color w:val="0000FF"/>
          </w:rPr>
          <w:t>Exhibit 3.1</w:t>
        </w:r>
      </w:hyperlink>
      <w:r>
        <w:rPr>
          <w:rFonts w:ascii="Times New Roman" w:cs="Times New Roman" w:eastAsia="Times New Roman" w:hAnsi="Times New Roman"/>
          <w:sz w:val="18"/>
          <w:szCs w:val="18"/>
          <w:color w:val="0000FF"/>
        </w:rPr>
        <w:tab/>
        <w:t>Certificate of Formation for WFN Credit Company, LLC (incorporated by reference to Exhibit 3.1 of Registrant’s Registration Statement, filed on May 8, 2001 (No. 333-60418 and 333-60418-01)).</w:t>
      </w:r>
    </w:p>
    <w:p>
      <w:pPr>
        <w:spacing w:after="0" w:line="54" w:lineRule="exact"/>
        <w:rPr>
          <w:sz w:val="20"/>
          <w:szCs w:val="20"/>
          <w:color w:val="auto"/>
        </w:rPr>
      </w:pPr>
    </w:p>
    <w:p>
      <w:pPr>
        <w:ind w:left="1540" w:right="280" w:hanging="1295"/>
        <w:spacing w:after="0" w:line="266" w:lineRule="auto"/>
        <w:tabs>
          <w:tab w:leader="none" w:pos="1520" w:val="left"/>
        </w:tabs>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u w:val="single" w:color="auto"/>
            <w:color w:val="0000FF"/>
          </w:rPr>
          <w:t>Exhibit 3.2</w:t>
        </w:r>
      </w:hyperlink>
      <w:r>
        <w:rPr>
          <w:rFonts w:ascii="Times New Roman" w:cs="Times New Roman" w:eastAsia="Times New Roman" w:hAnsi="Times New Roman"/>
          <w:sz w:val="18"/>
          <w:szCs w:val="18"/>
          <w:color w:val="0000FF"/>
        </w:rPr>
        <w:tab/>
        <w:t>Amended and Restated Limited Liability Company Agreement of WFN Credit Company, LLC (incorporated by reference to Exhibit 3.1 of the current report on Form 8-K filed by WFN Credit Company, LLC and World Financial Network Credit Card Master Trust on August 31, 2001 (No. 333-60418 and 333-60418-01)).</w:t>
      </w:r>
    </w:p>
    <w:p>
      <w:pPr>
        <w:spacing w:after="0" w:line="68" w:lineRule="exact"/>
        <w:rPr>
          <w:sz w:val="20"/>
          <w:szCs w:val="20"/>
          <w:color w:val="auto"/>
        </w:rPr>
      </w:pPr>
    </w:p>
    <w:p>
      <w:pPr>
        <w:ind w:left="1560" w:right="60" w:hanging="1295"/>
        <w:spacing w:after="0" w:line="266" w:lineRule="auto"/>
        <w:tabs>
          <w:tab w:leader="none" w:pos="1540" w:val="left"/>
        </w:tabs>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u w:val="single" w:color="auto"/>
            <w:color w:val="0000FF"/>
          </w:rPr>
          <w:t>Exhibit 4.1</w:t>
        </w:r>
      </w:hyperlink>
      <w:r>
        <w:rPr>
          <w:rFonts w:ascii="Times New Roman" w:cs="Times New Roman" w:eastAsia="Times New Roman" w:hAnsi="Times New Roman"/>
          <w:sz w:val="18"/>
          <w:szCs w:val="18"/>
          <w:color w:val="0000FF"/>
        </w:rPr>
        <w:tab/>
        <w:t>Master Indenture, dated as of August 1, 2001, between World Financial Network Credit Card Master Note Trust and BNY Midwest Trust Company (incorporated by reference to Exhibit 4.1 of the current report on Form 8-K filed by WFN Credit Company, LLC and World Financial Network Credit Card Master Trust on August 31, 2001 (No. 333-60418 and 333-60418-01)).</w:t>
      </w:r>
    </w:p>
    <w:p>
      <w:pPr>
        <w:spacing w:after="0" w:line="68" w:lineRule="exact"/>
        <w:rPr>
          <w:sz w:val="20"/>
          <w:szCs w:val="20"/>
          <w:color w:val="auto"/>
        </w:rPr>
      </w:pPr>
    </w:p>
    <w:p>
      <w:pPr>
        <w:ind w:left="1560" w:right="300" w:hanging="1295"/>
        <w:spacing w:after="0" w:line="261" w:lineRule="auto"/>
        <w:tabs>
          <w:tab w:leader="none" w:pos="1540" w:val="left"/>
        </w:tabs>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u w:val="single" w:color="auto"/>
            <w:color w:val="0000FF"/>
          </w:rPr>
          <w:t>Exhibit 4.2</w:t>
        </w:r>
      </w:hyperlink>
      <w:r>
        <w:rPr>
          <w:rFonts w:ascii="Times New Roman" w:cs="Times New Roman" w:eastAsia="Times New Roman" w:hAnsi="Times New Roman"/>
          <w:sz w:val="18"/>
          <w:szCs w:val="18"/>
          <w:color w:val="0000FF"/>
        </w:rPr>
        <w:tab/>
        <w:t>Omnibus Amendment, dated as of March 31, 2003, among WFN Credit Company, LLC, World Financial Network Credit Card Master Note Trust, World Financial Network National Bank and BNY Midwest Trust Company (incorporated by reference to Exhibit 4 of the current report on Form 8-K filed by WFN Credit Company, LLC and World Financial Network Credit Card Master Trust on April 22, 2003 (No. 333-60418 and 333-60418-01)).</w:t>
      </w:r>
    </w:p>
    <w:p>
      <w:pPr>
        <w:spacing w:after="0" w:line="72" w:lineRule="exact"/>
        <w:rPr>
          <w:sz w:val="20"/>
          <w:szCs w:val="20"/>
          <w:color w:val="auto"/>
        </w:rPr>
      </w:pPr>
    </w:p>
    <w:p>
      <w:pPr>
        <w:ind w:left="1560" w:hanging="1295"/>
        <w:spacing w:after="0" w:line="266" w:lineRule="auto"/>
        <w:tabs>
          <w:tab w:leader="none" w:pos="1540" w:val="left"/>
        </w:tabs>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u w:val="single" w:color="auto"/>
            <w:color w:val="0000FF"/>
          </w:rPr>
          <w:t>Exhibit 4.3</w:t>
        </w:r>
      </w:hyperlink>
      <w:r>
        <w:rPr>
          <w:rFonts w:ascii="Times New Roman" w:cs="Times New Roman" w:eastAsia="Times New Roman" w:hAnsi="Times New Roman"/>
          <w:sz w:val="18"/>
          <w:szCs w:val="18"/>
          <w:color w:val="0000FF"/>
        </w:rPr>
        <w:tab/>
        <w:t>Supplemental Indenture No. 1 to Master Indenture, dated as of August 13, 2003, between World Financial Network Credit Card Master Note Trust and BNY Midwest Trust Company (incorporated by reference to Exhibit 4.2 of the current report on Form 8-K filed by World Financial Network Credit Card Master Trust on August 28, 2003 (No. 333-60418-01)).</w:t>
      </w:r>
    </w:p>
    <w:p>
      <w:pPr>
        <w:spacing w:after="0" w:line="68" w:lineRule="exact"/>
        <w:rPr>
          <w:sz w:val="20"/>
          <w:szCs w:val="20"/>
          <w:color w:val="auto"/>
        </w:rPr>
      </w:pPr>
    </w:p>
    <w:p>
      <w:pPr>
        <w:jc w:val="both"/>
        <w:ind w:left="1560" w:right="100" w:hanging="1295"/>
        <w:spacing w:after="0" w:line="261" w:lineRule="auto"/>
        <w:tabs>
          <w:tab w:leader="none" w:pos="1540" w:val="left"/>
        </w:tabs>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u w:val="single" w:color="auto"/>
            <w:color w:val="0000FF"/>
          </w:rPr>
          <w:t>Exhibit 4.4</w:t>
        </w:r>
      </w:hyperlink>
      <w:r>
        <w:rPr>
          <w:rFonts w:ascii="Times New Roman" w:cs="Times New Roman" w:eastAsia="Times New Roman" w:hAnsi="Times New Roman"/>
          <w:sz w:val="18"/>
          <w:szCs w:val="18"/>
          <w:color w:val="0000FF"/>
        </w:rPr>
        <w:tab/>
        <w:t>Supplemental Indenture No. 2 to Master Indenture, dated as of June 13, 2007, between World Financial Network Credit Card Master Note Trust and BNY Midwest Trust Company (incorporated by reference to Exhibit 4.3 of the current report on Form 8-K filed by WFN Credit Company, LLC and World Financial Network Credit Card Master Note Trust on June 15, 2007 (No. 333-60418 and 333-113669)).</w:t>
      </w:r>
    </w:p>
    <w:p>
      <w:pPr>
        <w:spacing w:after="0" w:line="72" w:lineRule="exact"/>
        <w:rPr>
          <w:sz w:val="20"/>
          <w:szCs w:val="20"/>
          <w:color w:val="auto"/>
        </w:rPr>
      </w:pPr>
    </w:p>
    <w:p>
      <w:pPr>
        <w:jc w:val="both"/>
        <w:ind w:left="1560" w:right="100" w:hanging="1295"/>
        <w:spacing w:after="0" w:line="261" w:lineRule="auto"/>
        <w:tabs>
          <w:tab w:leader="none" w:pos="1540" w:val="left"/>
        </w:tabs>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u w:val="single" w:color="auto"/>
            <w:color w:val="0000FF"/>
          </w:rPr>
          <w:t>Exhibit 4.5</w:t>
        </w:r>
      </w:hyperlink>
      <w:r>
        <w:rPr>
          <w:rFonts w:ascii="Times New Roman" w:cs="Times New Roman" w:eastAsia="Times New Roman" w:hAnsi="Times New Roman"/>
          <w:sz w:val="18"/>
          <w:szCs w:val="18"/>
          <w:color w:val="0000FF"/>
        </w:rPr>
        <w:tab/>
        <w:t>Supplemental Indenture No. 3 to Master Indenture, dated as of May 27, 2008, between World Financial Network Credit Card Master Note Trust and BNY Midwest Trust Company (incorporated by reference to Exhibit 4.2 of the current report on Form 8-K filed by WFN Credit Company, LLC and World Financial Network Credit Card Master Note Trust on May 29, 2008 (No. 333-60418 and 333-113669)).</w:t>
      </w:r>
    </w:p>
    <w:p>
      <w:pPr>
        <w:sectPr>
          <w:pgSz w:w="11900" w:h="16838" w:orient="portrait"/>
          <w:cols w:equalWidth="0" w:num="1">
            <w:col w:w="11200"/>
          </w:cols>
          <w:pgMar w:left="320" w:top="1413" w:right="379" w:bottom="1440" w:gutter="0" w:footer="0" w:header="0"/>
        </w:sectPr>
      </w:pPr>
    </w:p>
    <w:bookmarkStart w:id="7" w:name="page8"/>
    <w:bookmarkEnd w:id="7"/>
    <w:p>
      <w:pPr>
        <w:ind w:left="440" w:right="40" w:hanging="1295"/>
        <w:spacing w:after="0" w:line="261" w:lineRule="auto"/>
        <w:tabs>
          <w:tab w:leader="none" w:pos="420" w:val="left"/>
        </w:tabs>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u w:val="single" w:color="auto"/>
            <w:color w:val="0000FF"/>
          </w:rPr>
          <w:t>Exhibit 4.6</w:t>
        </w:r>
      </w:hyperlink>
      <w:r>
        <w:rPr>
          <w:rFonts w:ascii="Times New Roman" w:cs="Times New Roman" w:eastAsia="Times New Roman" w:hAnsi="Times New Roman"/>
          <w:sz w:val="18"/>
          <w:szCs w:val="18"/>
          <w:color w:val="0000FF"/>
        </w:rPr>
        <w:tab/>
        <w:t>Supplemental Indenture No. 4 to Master Indenture, dated as of June 28, 2010, between World Financial Network Credit Card Master Note Trust and The Bank of New York Mellon Trust Company, N.A. (incorporated by reference to Exhibit 4.1 of the current report on Form 8-K/A filed by WFN Credit Company, LLC and World Financial Network Credit Card Master Note Trust on July 6, 2010 (No. 333-60418 and 333-113669)).</w:t>
      </w:r>
    </w:p>
    <w:p>
      <w:pPr>
        <w:spacing w:after="0" w:line="72" w:lineRule="exact"/>
        <w:rPr>
          <w:sz w:val="20"/>
          <w:szCs w:val="20"/>
          <w:color w:val="auto"/>
        </w:rPr>
      </w:pPr>
    </w:p>
    <w:p>
      <w:pPr>
        <w:ind w:left="440" w:right="20" w:hanging="1295"/>
        <w:spacing w:after="0" w:line="261" w:lineRule="auto"/>
        <w:tabs>
          <w:tab w:leader="none" w:pos="420" w:val="left"/>
        </w:tabs>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u w:val="single" w:color="auto"/>
            <w:color w:val="0000FF"/>
          </w:rPr>
          <w:t>Exhibit 4.7</w:t>
        </w:r>
      </w:hyperlink>
      <w:r>
        <w:rPr>
          <w:rFonts w:ascii="Times New Roman" w:cs="Times New Roman" w:eastAsia="Times New Roman" w:hAnsi="Times New Roman"/>
          <w:sz w:val="18"/>
          <w:szCs w:val="18"/>
          <w:color w:val="0000FF"/>
        </w:rPr>
        <w:tab/>
        <w:t>Supplemental Indenture No. 5 to Master Indenture, dated as of February 20, 2013, between World Financial Network Credit Card Master Note Trust and Union Bank, N.A. (incorporated by reference to Exhibit 4.2 of the current report on Form 8-K filed by WFN Credit Company, LLC, World Financial Network Credit Card Master Note Trust and World Financial Network Credit Card Master Trust on February 22, 2013 (No. 333-60418, 333-113669 and 333-60418-01)).</w:t>
      </w:r>
    </w:p>
    <w:p>
      <w:pPr>
        <w:spacing w:after="0" w:line="72" w:lineRule="exact"/>
        <w:rPr>
          <w:sz w:val="20"/>
          <w:szCs w:val="20"/>
          <w:color w:val="auto"/>
        </w:rPr>
      </w:pPr>
    </w:p>
    <w:p>
      <w:pPr>
        <w:ind w:left="440" w:right="20" w:hanging="1295"/>
        <w:spacing w:after="0" w:line="261" w:lineRule="auto"/>
        <w:tabs>
          <w:tab w:leader="none" w:pos="420" w:val="left"/>
        </w:tabs>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u w:val="single" w:color="auto"/>
            <w:color w:val="0000FF"/>
          </w:rPr>
          <w:t>Exhibit 4.8</w:t>
        </w:r>
      </w:hyperlink>
      <w:r>
        <w:rPr>
          <w:rFonts w:ascii="Times New Roman" w:cs="Times New Roman" w:eastAsia="Times New Roman" w:hAnsi="Times New Roman"/>
          <w:sz w:val="18"/>
          <w:szCs w:val="18"/>
          <w:color w:val="0000FF"/>
        </w:rPr>
        <w:tab/>
        <w:t>Supplemental Indenture No. 6 to Master Indenture, dated as of July 6, 2016, between World Financial Network Credit Card Master Note Trust and MUFG Union Bank, N.A. (incorporated by reference to Exhibit 4.3 of the current report on Form 8-K filed by WFN Credit Company, LLC, World Financial Network Credit Card Master Note Trust and World Financial Network Credit Card Master Trust on July 8, 2016 (No. 333-60418, 333-113669 and 333-60418-01)).</w:t>
      </w:r>
    </w:p>
    <w:p>
      <w:pPr>
        <w:spacing w:after="0" w:line="72" w:lineRule="exact"/>
        <w:rPr>
          <w:sz w:val="20"/>
          <w:szCs w:val="20"/>
          <w:color w:val="auto"/>
        </w:rPr>
      </w:pPr>
    </w:p>
    <w:p>
      <w:pPr>
        <w:ind w:left="440" w:right="20" w:hanging="1295"/>
        <w:spacing w:after="0" w:line="261" w:lineRule="auto"/>
        <w:tabs>
          <w:tab w:leader="none" w:pos="420" w:val="left"/>
        </w:tabs>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u w:val="single" w:color="auto"/>
            <w:color w:val="0000FF"/>
          </w:rPr>
          <w:t>Exhibit 4.9</w:t>
        </w:r>
      </w:hyperlink>
      <w:r>
        <w:rPr>
          <w:rFonts w:ascii="Times New Roman" w:cs="Times New Roman" w:eastAsia="Times New Roman" w:hAnsi="Times New Roman"/>
          <w:sz w:val="18"/>
          <w:szCs w:val="18"/>
          <w:color w:val="0000FF"/>
        </w:rPr>
        <w:tab/>
        <w:t>Supplemental Indenture No. 7 to Master Indenture, dated as of June 11, 2020, between World Financial Network Credit Card Master Note Trust and MUFG Union Bank, N.A. (incorporated by reference to Exhibit 4.1 of the current report on Form 8-K filed by WFN Credit Company, LLC, World Financial Network Credit Card Master Note Trust and World Financial Network Credit Card Master Trust on June 16, 2020 (No. 333-60418, 333-113669 and 333-60418-01)).</w:t>
      </w:r>
    </w:p>
    <w:p>
      <w:pPr>
        <w:spacing w:after="0" w:line="72" w:lineRule="exact"/>
        <w:rPr>
          <w:sz w:val="20"/>
          <w:szCs w:val="20"/>
          <w:color w:val="auto"/>
        </w:rPr>
      </w:pPr>
    </w:p>
    <w:p>
      <w:pPr>
        <w:ind w:left="520" w:right="40" w:hanging="1295"/>
        <w:spacing w:after="0" w:line="261" w:lineRule="auto"/>
        <w:tabs>
          <w:tab w:leader="none" w:pos="500" w:val="left"/>
        </w:tabs>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u w:val="single" w:color="auto"/>
            <w:color w:val="0000FF"/>
          </w:rPr>
          <w:t>Exhibit 4.10</w:t>
        </w:r>
      </w:hyperlink>
      <w:r>
        <w:rPr>
          <w:rFonts w:ascii="Times New Roman" w:cs="Times New Roman" w:eastAsia="Times New Roman" w:hAnsi="Times New Roman"/>
          <w:sz w:val="18"/>
          <w:szCs w:val="18"/>
          <w:color w:val="0000FF"/>
        </w:rPr>
        <w:tab/>
        <w:t>Supplemental Indenture No. 8 to Master Indenture, dated as of April 26, 2024, between World Financial Network Credit Card Master Note Trust and U.S. Bank National Association (incorporated by reference to Exhibit 4.1 of the current report on Form 8-K filed by WFN Credit Company, LLC, World Financial Network Credit Card Master Note Trust and World Financial Network Credit Card Master Trust on April 30, 2024 (No. 333-60418, 333-113669 and 333-60418-01)).</w:t>
      </w:r>
    </w:p>
    <w:p>
      <w:pPr>
        <w:spacing w:after="0" w:line="72" w:lineRule="exact"/>
        <w:rPr>
          <w:sz w:val="20"/>
          <w:szCs w:val="20"/>
          <w:color w:val="auto"/>
        </w:rPr>
      </w:pPr>
    </w:p>
    <w:p>
      <w:pPr>
        <w:ind w:left="520" w:right="20" w:hanging="1295"/>
        <w:spacing w:after="0" w:line="261" w:lineRule="auto"/>
        <w:tabs>
          <w:tab w:leader="none" w:pos="500" w:val="left"/>
        </w:tabs>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Exhibit 4.11</w:t>
        </w:r>
      </w:hyperlink>
      <w:r>
        <w:rPr>
          <w:rFonts w:ascii="Times New Roman" w:cs="Times New Roman" w:eastAsia="Times New Roman" w:hAnsi="Times New Roman"/>
          <w:sz w:val="18"/>
          <w:szCs w:val="18"/>
          <w:color w:val="0000FF"/>
        </w:rPr>
        <w:tab/>
        <w:t>Succession Agreement, dated as of June 18, 2021, among Comenity Bank, World Financial Network Credit Card Master Note Trust, MUFG Union Bank, N.A. and U.S. Bank National Association (incorporated by reference to Exhibit 4.1 of the current report on Form 8-K filed by WFN Credit Company, LLC, World Financial Network Credit Card Master Note Trust and World Financial Network Credit Card Master Trust on June 24, 2021 (No. 333-60418, 333-113669 and 333-60418-01)).</w:t>
      </w:r>
    </w:p>
    <w:p>
      <w:pPr>
        <w:spacing w:after="0" w:line="72" w:lineRule="exact"/>
        <w:rPr>
          <w:sz w:val="20"/>
          <w:szCs w:val="20"/>
          <w:color w:val="auto"/>
        </w:rPr>
      </w:pPr>
    </w:p>
    <w:p>
      <w:pPr>
        <w:ind w:left="520" w:right="140" w:hanging="1295"/>
        <w:spacing w:after="0" w:line="261" w:lineRule="auto"/>
        <w:tabs>
          <w:tab w:leader="none" w:pos="500" w:val="left"/>
        </w:tabs>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u w:val="single" w:color="auto"/>
            <w:color w:val="0000FF"/>
          </w:rPr>
          <w:t>Exhibit 4.12</w:t>
        </w:r>
      </w:hyperlink>
      <w:r>
        <w:rPr>
          <w:rFonts w:ascii="Times New Roman" w:cs="Times New Roman" w:eastAsia="Times New Roman" w:hAnsi="Times New Roman"/>
          <w:sz w:val="18"/>
          <w:szCs w:val="18"/>
          <w:color w:val="0000FF"/>
        </w:rPr>
        <w:tab/>
        <w:t>Series 2023-A Indenture Supplement, dated as of May 16, 2023, between World Financial Network Credit Card Master Note Trust and U.S. Bank National Association (incorporated by reference to Exhibit 4.1 of the current report on Form 8-K filed by WFN Credit Company, LLC, World Financial Network Credit Card Master Note Trust and World Financial Network Credit Card Master Trust on May 19, 2023 (No. 333-60418, 333-113669 and 333-60418-01)).</w:t>
      </w:r>
    </w:p>
    <w:p>
      <w:pPr>
        <w:spacing w:after="0" w:line="72" w:lineRule="exact"/>
        <w:rPr>
          <w:sz w:val="20"/>
          <w:szCs w:val="20"/>
          <w:color w:val="auto"/>
        </w:rPr>
      </w:pPr>
    </w:p>
    <w:p>
      <w:pPr>
        <w:ind w:left="520" w:hanging="1295"/>
        <w:spacing w:after="0" w:line="261" w:lineRule="auto"/>
        <w:tabs>
          <w:tab w:leader="none" w:pos="500" w:val="left"/>
        </w:tabs>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u w:val="single" w:color="auto"/>
            <w:color w:val="0000FF"/>
          </w:rPr>
          <w:t>Exhibit 4.13</w:t>
        </w:r>
      </w:hyperlink>
      <w:r>
        <w:rPr>
          <w:rFonts w:ascii="Times New Roman" w:cs="Times New Roman" w:eastAsia="Times New Roman" w:hAnsi="Times New Roman"/>
          <w:sz w:val="18"/>
          <w:szCs w:val="18"/>
          <w:color w:val="0000FF"/>
        </w:rPr>
        <w:tab/>
        <w:t>First Amendment to Series 2023-A Indenture Supplement, dated as of December 22, 2023, between World Financial Network Credit Card Master Note Trust and U.S. Bank National Association (incorporated by reference to Exhibit 4.1 of the current report on Form 8-K filed by WFN Credit Company, LLC, World Financial Network Credit Card Master Note Trust and World Financial Network</w:t>
      </w:r>
    </w:p>
    <w:p>
      <w:pPr>
        <w:sectPr>
          <w:pgSz w:w="11900" w:h="16838" w:orient="portrait"/>
          <w:cols w:equalWidth="0" w:num="1">
            <w:col w:w="10080"/>
          </w:cols>
          <w:pgMar w:left="1440" w:top="1417" w:right="37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8"/>
          <w:szCs w:val="18"/>
          <w:color w:val="auto"/>
        </w:rPr>
        <w:t>Credit Card Master Trust on December 26, 2023 (No. 333-60418, 333-113669 and 333-60418-01)).</w:t>
      </w:r>
    </w:p>
    <w:p>
      <w:pPr>
        <w:spacing w:after="0" w:line="117" w:lineRule="exact"/>
        <w:rPr>
          <w:sz w:val="20"/>
          <w:szCs w:val="20"/>
          <w:color w:val="auto"/>
        </w:rPr>
      </w:pPr>
    </w:p>
    <w:p>
      <w:pPr>
        <w:ind w:left="1060" w:right="200" w:hanging="1295"/>
        <w:spacing w:after="0" w:line="261" w:lineRule="auto"/>
        <w:tabs>
          <w:tab w:leader="none" w:pos="1040" w:val="left"/>
        </w:tabs>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u w:val="single" w:color="auto"/>
            <w:color w:val="0000FF"/>
          </w:rPr>
          <w:t>Exhibit 4.14</w:t>
        </w:r>
      </w:hyperlink>
      <w:r>
        <w:rPr>
          <w:rFonts w:ascii="Times New Roman" w:cs="Times New Roman" w:eastAsia="Times New Roman" w:hAnsi="Times New Roman"/>
          <w:sz w:val="18"/>
          <w:szCs w:val="18"/>
          <w:color w:val="0000FF"/>
        </w:rPr>
        <w:tab/>
        <w:t>Second Amendment to Series 2023-A Indenture Supplement, dated as of April 26, 2024, between World Financial Network Credit Card Master Note Trust and U.S. Bank National Association (incorporated by reference to Exhibit 4.2 of the current report on Form 8-K filed by WFN Credit Company, LLC, World Financial Network Credit Card Master Note Trust and World Financial Network Credit Card Master Trust on April 30, 2024 (No. 333-60418, 333-113669 and 333-60418-01)).</w:t>
      </w:r>
    </w:p>
    <w:p>
      <w:pPr>
        <w:spacing w:after="0" w:line="72" w:lineRule="exact"/>
        <w:rPr>
          <w:sz w:val="20"/>
          <w:szCs w:val="20"/>
          <w:color w:val="auto"/>
        </w:rPr>
      </w:pPr>
    </w:p>
    <w:p>
      <w:pPr>
        <w:ind w:left="1060" w:right="180" w:hanging="1295"/>
        <w:spacing w:after="0" w:line="261" w:lineRule="auto"/>
        <w:tabs>
          <w:tab w:leader="none" w:pos="1040" w:val="left"/>
        </w:tabs>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u w:val="single" w:color="auto"/>
            <w:color w:val="0000FF"/>
          </w:rPr>
          <w:t>Exhibit 4.15</w:t>
        </w:r>
      </w:hyperlink>
      <w:r>
        <w:rPr>
          <w:rFonts w:ascii="Times New Roman" w:cs="Times New Roman" w:eastAsia="Times New Roman" w:hAnsi="Times New Roman"/>
          <w:sz w:val="18"/>
          <w:szCs w:val="18"/>
          <w:color w:val="0000FF"/>
        </w:rPr>
        <w:tab/>
        <w:t>Series 2024-A Indenture Supplement, dated as of May 15, 2024, between World Financial Network Credit Card Master Note Trust and U.S. Bank National Association (incorporated by reference to Exhibit 4.1 of the current report on Form 8-K filed by WFN Credit Company, LLC, World Financial Network Credit Card Master Note Trust and World Financial Network Credit Card Master Trust on May 21, 2024 (No. 333-60418, 333-113669 and 333-60418-01)).</w:t>
      </w:r>
    </w:p>
    <w:p>
      <w:pPr>
        <w:spacing w:after="0" w:line="72"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u w:val="single" w:color="auto"/>
            <w:color w:val="0000FF"/>
          </w:rPr>
          <w:t>Exhibit 4.16</w:t>
        </w:r>
      </w:hyperlink>
      <w:r>
        <w:rPr>
          <w:rFonts w:ascii="Times New Roman" w:cs="Times New Roman" w:eastAsia="Times New Roman" w:hAnsi="Times New Roman"/>
          <w:sz w:val="18"/>
          <w:szCs w:val="18"/>
          <w:color w:val="0000FF"/>
        </w:rPr>
        <w:tab/>
        <w:t>Series 2024-B Indenture Supplement, dated as of August 13, 2024, between World Financial Network Credit Card Master Note Trust and U.S. Bank National Association (incorporated by reference to Exhibit 4.1 of the current report on Form 8-K filed by WFN Credit Company, LLC, World Financial Network Credit Card Master Note Trust and World Financial Network Credit Card Master Trust on August 14, 2024 (No. 333-60418, 333-113669 and 333-60418-01)).</w:t>
      </w:r>
    </w:p>
    <w:p>
      <w:pPr>
        <w:spacing w:after="0" w:line="72" w:lineRule="exact"/>
        <w:rPr>
          <w:sz w:val="20"/>
          <w:szCs w:val="20"/>
          <w:color w:val="auto"/>
        </w:rPr>
      </w:pPr>
    </w:p>
    <w:p>
      <w:pPr>
        <w:jc w:val="both"/>
        <w:ind w:left="1060" w:right="440" w:hanging="1295"/>
        <w:spacing w:after="0" w:line="261" w:lineRule="auto"/>
        <w:tabs>
          <w:tab w:leader="none" w:pos="1040" w:val="left"/>
        </w:tabs>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u w:val="single" w:color="auto"/>
            <w:color w:val="0000FF"/>
          </w:rPr>
          <w:t>Exhibit 4.17</w:t>
        </w:r>
      </w:hyperlink>
      <w:r>
        <w:rPr>
          <w:rFonts w:ascii="Times New Roman" w:cs="Times New Roman" w:eastAsia="Times New Roman" w:hAnsi="Times New Roman"/>
          <w:sz w:val="18"/>
          <w:szCs w:val="18"/>
          <w:color w:val="0000FF"/>
        </w:rPr>
        <w:tab/>
        <w:t>Transfer and Servicing Agreement, dated as of August 1, 2001 among WFN Credit Company, LLC, World Financial Network National Bank and World Financial Network Credit Card Master Note Trust (incorporated by reference to Exhibit 4.3 of the current report on Form 8-K filed by WFN Credit Company, LLC and World Financial Network Credit Card Master Trust on August 31, 2001 (No. 333-60418 and 333-60418-01)).</w:t>
      </w:r>
    </w:p>
    <w:p>
      <w:pPr>
        <w:spacing w:after="0" w:line="72" w:lineRule="exact"/>
        <w:rPr>
          <w:sz w:val="20"/>
          <w:szCs w:val="20"/>
          <w:color w:val="auto"/>
        </w:rPr>
      </w:pPr>
    </w:p>
    <w:p>
      <w:pPr>
        <w:ind w:left="1060" w:right="60" w:hanging="1295"/>
        <w:spacing w:after="0" w:line="261" w:lineRule="auto"/>
        <w:tabs>
          <w:tab w:leader="none" w:pos="1040" w:val="left"/>
        </w:tabs>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u w:val="single" w:color="auto"/>
            <w:color w:val="0000FF"/>
          </w:rPr>
          <w:t>Exhibit 4.18</w:t>
        </w:r>
      </w:hyperlink>
      <w:r>
        <w:rPr>
          <w:rFonts w:ascii="Times New Roman" w:cs="Times New Roman" w:eastAsia="Times New Roman" w:hAnsi="Times New Roman"/>
          <w:sz w:val="18"/>
          <w:szCs w:val="18"/>
          <w:color w:val="0000FF"/>
        </w:rPr>
        <w:tab/>
        <w:t>First Amendment to the Transfer and Servicing Agreement, dated as of November 7, 2002, among WFN Credit Company, LLC, World Financial Network National Bank and World Financial Network Credit Card Master Note Trust (incorporated by reference to Exhibit 4.2 of the current report on Form 8-K filed by WFN Credit Company, LLC and World Financial Network Credit Card Master Trust on November 20, 2002 (No. 333-60418 and 333-60418-01)).</w:t>
      </w:r>
    </w:p>
    <w:p>
      <w:pPr>
        <w:spacing w:after="0" w:line="72" w:lineRule="exact"/>
        <w:rPr>
          <w:sz w:val="20"/>
          <w:szCs w:val="20"/>
          <w:color w:val="auto"/>
        </w:rPr>
      </w:pPr>
    </w:p>
    <w:p>
      <w:pPr>
        <w:spacing w:after="0"/>
        <w:tabs>
          <w:tab w:leader="none" w:pos="1040" w:val="left"/>
        </w:tabs>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u w:val="single" w:color="auto"/>
            <w:color w:val="0000FF"/>
          </w:rPr>
          <w:t>Exhibit 4.19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Transfer and Servicing Agreement, dated as of May 19, 2004, among WFN Credit Company, LLC, World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Financial Network National Bank and World Financial Network Credit Card Master Trust (incorporated by reference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Exhibit 4.2 of the current report on Form 8-K filed by WFN Credit Company, LLC, World Financial Network Credit Card Master</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 Trust and World Financial Network Credit Card Master Trust on August 4, 2004 (No. 333-60418, 333-113669 and 333-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60418-01)).</w:t>
      </w:r>
    </w:p>
    <w:p>
      <w:pPr>
        <w:spacing w:after="0" w:line="99" w:lineRule="exact"/>
        <w:rPr>
          <w:sz w:val="20"/>
          <w:szCs w:val="20"/>
          <w:color w:val="auto"/>
        </w:rPr>
      </w:pPr>
    </w:p>
    <w:p>
      <w:pPr>
        <w:ind w:left="1060" w:right="60" w:hanging="1295"/>
        <w:spacing w:after="0" w:line="258" w:lineRule="auto"/>
        <w:tabs>
          <w:tab w:leader="none" w:pos="1040" w:val="left"/>
        </w:tabs>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u w:val="single" w:color="auto"/>
            <w:color w:val="0000FF"/>
          </w:rPr>
          <w:t>Exhibit 4.20</w:t>
        </w:r>
      </w:hyperlink>
      <w:r>
        <w:rPr>
          <w:rFonts w:ascii="Times New Roman" w:cs="Times New Roman" w:eastAsia="Times New Roman" w:hAnsi="Times New Roman"/>
          <w:sz w:val="18"/>
          <w:szCs w:val="18"/>
          <w:color w:val="0000FF"/>
        </w:rPr>
        <w:tab/>
        <w:t>Fourth Amendment to the Transfer and Servicing Agreement, dated as of March 30, 2005, among WFN Credit Company, LLC, World Financial Network National Bank and World Financial Network Credit Card Master Note Trust (incorporated by reference to Exhibit 4.2 of the current report on Form 8-K filed by WFN Credit Company, LLC, World Financial Network Credit Card Master Note Trust and World Financial Network Credit Card Master Trust on April 5, 2005 (No. 333-60418, 333-113669 and 333-60418-01)).</w:t>
      </w:r>
    </w:p>
    <w:p>
      <w:pPr>
        <w:spacing w:after="0" w:line="75" w:lineRule="exact"/>
        <w:rPr>
          <w:sz w:val="20"/>
          <w:szCs w:val="20"/>
          <w:color w:val="auto"/>
        </w:rPr>
      </w:pPr>
    </w:p>
    <w:p>
      <w:pPr>
        <w:ind w:left="1060" w:right="280" w:hanging="1295"/>
        <w:spacing w:after="0" w:line="282" w:lineRule="auto"/>
        <w:tabs>
          <w:tab w:leader="none" w:pos="1040" w:val="left"/>
        </w:tabs>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u w:val="single" w:color="auto"/>
            <w:color w:val="0000FF"/>
          </w:rPr>
          <w:t>Exhibit 4.21</w:t>
        </w:r>
      </w:hyperlink>
      <w:r>
        <w:rPr>
          <w:rFonts w:ascii="Times New Roman" w:cs="Times New Roman" w:eastAsia="Times New Roman" w:hAnsi="Times New Roman"/>
          <w:sz w:val="18"/>
          <w:szCs w:val="18"/>
          <w:color w:val="0000FF"/>
        </w:rPr>
        <w:tab/>
        <w:t>Fifth Amendment to the Transfer and Servicing Agreement, dated as of June 13, 2007, among World Financial Network National Bank, WFN Credit Company, LLC and World Financial Network Credit Card Master Note Trust (incorporated</w:t>
      </w:r>
    </w:p>
    <w:p>
      <w:pPr>
        <w:sectPr>
          <w:pgSz w:w="11900" w:h="16838" w:orient="portrait"/>
          <w:cols w:equalWidth="0" w:num="1">
            <w:col w:w="10660"/>
          </w:cols>
          <w:pgMar w:left="900" w:top="1417" w:right="339" w:bottom="1440" w:gutter="0" w:footer="0" w:header="0"/>
        </w:sectPr>
      </w:pPr>
    </w:p>
    <w:bookmarkStart w:id="9" w:name="page10"/>
    <w:bookmarkEnd w:id="9"/>
    <w:p>
      <w:pPr>
        <w:ind w:left="760" w:right="40"/>
        <w:spacing w:after="0" w:line="282" w:lineRule="auto"/>
        <w:rPr>
          <w:sz w:val="20"/>
          <w:szCs w:val="20"/>
          <w:color w:val="auto"/>
        </w:rPr>
      </w:pPr>
      <w:r>
        <w:rPr>
          <w:rFonts w:ascii="Times New Roman" w:cs="Times New Roman" w:eastAsia="Times New Roman" w:hAnsi="Times New Roman"/>
          <w:sz w:val="18"/>
          <w:szCs w:val="18"/>
          <w:color w:val="auto"/>
        </w:rPr>
        <w:t>by reference to Exhibit 4.2 of the current report on Form 8-K filed by WFN Credit Company, LLC and World Financial Network Credit Card Master Note Trust on June 15, 2007 (No. 333-60418 and 333-113669)).</w:t>
      </w:r>
    </w:p>
    <w:p>
      <w:pPr>
        <w:spacing w:after="0" w:line="54" w:lineRule="exact"/>
        <w:rPr>
          <w:sz w:val="20"/>
          <w:szCs w:val="20"/>
          <w:color w:val="auto"/>
        </w:rPr>
      </w:pPr>
    </w:p>
    <w:p>
      <w:pPr>
        <w:ind w:left="520" w:hanging="1295"/>
        <w:spacing w:after="0" w:line="258" w:lineRule="auto"/>
        <w:tabs>
          <w:tab w:leader="none" w:pos="500" w:val="left"/>
        </w:tabs>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u w:val="single" w:color="auto"/>
            <w:color w:val="0000FF"/>
          </w:rPr>
          <w:t>Exhibit 4.22</w:t>
        </w:r>
      </w:hyperlink>
      <w:r>
        <w:rPr>
          <w:rFonts w:ascii="Times New Roman" w:cs="Times New Roman" w:eastAsia="Times New Roman" w:hAnsi="Times New Roman"/>
          <w:sz w:val="18"/>
          <w:szCs w:val="18"/>
          <w:color w:val="0000FF"/>
        </w:rPr>
        <w:tab/>
        <w:t>Sixth Amendment to the Transfer and Servicing Agreement, dated as of October 26, 2007, among WFN Credit Company, LLC, World Financial Network National Bank and World Financial Network Credit Card Master Note Trust (incorporated by reference to Exhibit 4.2 of the current report on Form 8-K filed by WFN Credit Company, LLC, World Financial Network Credit Card Master Note Trust and World Financial Network Credit Card Master Trust on October 31, 2007 (No. 333-60418, 333-113669 and 333-60418-01)).</w:t>
      </w:r>
    </w:p>
    <w:p>
      <w:pPr>
        <w:spacing w:after="0" w:line="75" w:lineRule="exact"/>
        <w:rPr>
          <w:sz w:val="20"/>
          <w:szCs w:val="20"/>
          <w:color w:val="auto"/>
        </w:rPr>
      </w:pPr>
    </w:p>
    <w:p>
      <w:pPr>
        <w:ind w:left="520" w:right="20" w:hanging="1295"/>
        <w:spacing w:after="0" w:line="261" w:lineRule="auto"/>
        <w:tabs>
          <w:tab w:leader="none" w:pos="500" w:val="left"/>
        </w:tabs>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u w:val="single" w:color="auto"/>
            <w:color w:val="0000FF"/>
          </w:rPr>
          <w:t>Exhibit 4.23</w:t>
        </w:r>
      </w:hyperlink>
      <w:r>
        <w:rPr>
          <w:rFonts w:ascii="Times New Roman" w:cs="Times New Roman" w:eastAsia="Times New Roman" w:hAnsi="Times New Roman"/>
          <w:sz w:val="18"/>
          <w:szCs w:val="18"/>
          <w:color w:val="0000FF"/>
        </w:rPr>
        <w:tab/>
        <w:t>Seventh Amendment to the Transfer and Servicing Agreement, dated as of June 28, 2010, among World Financial Network National Bank, WFN Credit Company, LLC and World Financial Network Credit Card Master Note Trust (incorporated by reference to Exhibit 4.4 of the current report on Form 8-K/A filed by WFN Credit Company, LLC and World Financial Network Credit Card Master Note Trust on July 6, 2010 (No. 333-60418 and 333-113669)).</w:t>
      </w:r>
    </w:p>
    <w:p>
      <w:pPr>
        <w:spacing w:after="0" w:line="72" w:lineRule="exact"/>
        <w:rPr>
          <w:sz w:val="20"/>
          <w:szCs w:val="20"/>
          <w:color w:val="auto"/>
        </w:rPr>
      </w:pPr>
    </w:p>
    <w:p>
      <w:pPr>
        <w:ind w:left="520" w:hanging="1295"/>
        <w:spacing w:after="0" w:line="258" w:lineRule="auto"/>
        <w:tabs>
          <w:tab w:leader="none" w:pos="500" w:val="left"/>
        </w:tabs>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u w:val="single" w:color="auto"/>
            <w:color w:val="0000FF"/>
          </w:rPr>
          <w:t>Exhibit 4.24</w:t>
        </w:r>
      </w:hyperlink>
      <w:r>
        <w:rPr>
          <w:rFonts w:ascii="Times New Roman" w:cs="Times New Roman" w:eastAsia="Times New Roman" w:hAnsi="Times New Roman"/>
          <w:sz w:val="18"/>
          <w:szCs w:val="18"/>
          <w:color w:val="0000FF"/>
        </w:rPr>
        <w:tab/>
        <w:t>Eighth Amendment to the Transfer and Servicing Agreement, dated as of June 15, 2011, among World Financial Network National Bank, WFN Credit Company, LLC and World Financial Network Credit Card Master Note Trust (incorporated by reference to Exhibit 4.1 of the current report on Form 8-K filed by WFN Credit Company, LLC, World Financial Network Credit Card Master Note Trust and World Financial Network Credit Card Master Trust on June 15, 2011 (No. 333-60418, 333-113669 and 333-60418-01)).</w:t>
      </w:r>
    </w:p>
    <w:p>
      <w:pPr>
        <w:spacing w:after="0" w:line="75" w:lineRule="exact"/>
        <w:rPr>
          <w:sz w:val="20"/>
          <w:szCs w:val="20"/>
          <w:color w:val="auto"/>
        </w:rPr>
      </w:pPr>
    </w:p>
    <w:p>
      <w:pPr>
        <w:ind w:left="520" w:hanging="1295"/>
        <w:spacing w:after="0" w:line="258" w:lineRule="auto"/>
        <w:tabs>
          <w:tab w:leader="none" w:pos="500" w:val="left"/>
        </w:tabs>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u w:val="single" w:color="auto"/>
            <w:color w:val="0000FF"/>
          </w:rPr>
          <w:t>Exhibit 4.25</w:t>
        </w:r>
      </w:hyperlink>
      <w:r>
        <w:rPr>
          <w:rFonts w:ascii="Times New Roman" w:cs="Times New Roman" w:eastAsia="Times New Roman" w:hAnsi="Times New Roman"/>
          <w:sz w:val="18"/>
          <w:szCs w:val="18"/>
          <w:color w:val="0000FF"/>
        </w:rPr>
        <w:tab/>
        <w:t>Ninth Amendment to the Transfer and Servicing Agreement, dated as of November 9, 2011, among World Financial Network Bank (formerly known as World Financial Network National Bank), WFN Credit Company, LLC and World Financial Network Credit Card Master Note Trust (incorporated by reference to Exhibit 4.3 of the current report on Form 8-K filed by WFN Credit Company, LLC, World Financial Network Credit Card Master Note Trust and World Financial Network Credit Card Master Trust on November 14, 2011 (No. 333-60418, 333-113669 and 333-60418-01)).</w:t>
      </w:r>
    </w:p>
    <w:p>
      <w:pPr>
        <w:spacing w:after="0" w:line="75" w:lineRule="exact"/>
        <w:rPr>
          <w:sz w:val="20"/>
          <w:szCs w:val="20"/>
          <w:color w:val="auto"/>
        </w:rPr>
      </w:pPr>
    </w:p>
    <w:p>
      <w:pPr>
        <w:ind w:left="520" w:right="180" w:hanging="1295"/>
        <w:spacing w:after="0" w:line="261" w:lineRule="auto"/>
        <w:tabs>
          <w:tab w:leader="none" w:pos="500" w:val="left"/>
        </w:tabs>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u w:val="single" w:color="auto"/>
            <w:color w:val="0000FF"/>
          </w:rPr>
          <w:t>Exhibit 4.26</w:t>
        </w:r>
      </w:hyperlink>
      <w:r>
        <w:rPr>
          <w:rFonts w:ascii="Times New Roman" w:cs="Times New Roman" w:eastAsia="Times New Roman" w:hAnsi="Times New Roman"/>
          <w:sz w:val="18"/>
          <w:szCs w:val="18"/>
          <w:color w:val="0000FF"/>
        </w:rPr>
        <w:tab/>
        <w:t>Tenth Amendment to the Transfer and Servicing Agreement, dated as of July 6, 2016, among Comenity Bank, WFN Credit Company, LLC and World Financial Network Credit Card Master Note Trust (incorporated by reference to Exhibit 4.4 of the current report on Form 8-K filed by WFN Credit Company, LLC, World Financial Network Credit Card Master Note Trust and World Financial Network Credit Card Master Trust on July 8, 2016 (No. 333-60418, 333-113669 and 333-60418-01)).</w:t>
      </w:r>
    </w:p>
    <w:p>
      <w:pPr>
        <w:spacing w:after="0" w:line="72" w:lineRule="exact"/>
        <w:rPr>
          <w:sz w:val="20"/>
          <w:szCs w:val="20"/>
          <w:color w:val="auto"/>
        </w:rPr>
      </w:pPr>
    </w:p>
    <w:p>
      <w:pPr>
        <w:ind w:left="520" w:right="180" w:hanging="1295"/>
        <w:spacing w:after="0" w:line="261" w:lineRule="auto"/>
        <w:tabs>
          <w:tab w:leader="none" w:pos="500" w:val="left"/>
        </w:tabs>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u w:val="single" w:color="auto"/>
            <w:color w:val="0000FF"/>
          </w:rPr>
          <w:t>Exhibit 4.27</w:t>
        </w:r>
      </w:hyperlink>
      <w:r>
        <w:rPr>
          <w:rFonts w:ascii="Times New Roman" w:cs="Times New Roman" w:eastAsia="Times New Roman" w:hAnsi="Times New Roman"/>
          <w:sz w:val="18"/>
          <w:szCs w:val="18"/>
          <w:color w:val="0000FF"/>
        </w:rPr>
        <w:tab/>
        <w:t>Eleventh Amendment to the Transfer and Servicing Agreement, dated as of April 26, 2024, among Comenity Bank, WFN Credit Company, LLC and World Financial Network Credit Card Master Note Trust (incorporated by reference to Exhibit 4.5 of the current report on Form 8-K filed by WFN Credit Company, LLC, World Financial Network Credit Card Master Note Trust and World Financial Network Credit Card Master Trust on April 30, 2024 (No. 333-60418, 333-113669 and 333-60418-01)).</w:t>
      </w:r>
    </w:p>
    <w:p>
      <w:pPr>
        <w:spacing w:after="0" w:line="72" w:lineRule="exact"/>
        <w:rPr>
          <w:sz w:val="20"/>
          <w:szCs w:val="20"/>
          <w:color w:val="auto"/>
        </w:rPr>
      </w:pPr>
    </w:p>
    <w:p>
      <w:pPr>
        <w:jc w:val="both"/>
        <w:ind w:left="520" w:right="460" w:hanging="1295"/>
        <w:spacing w:after="0" w:line="266" w:lineRule="auto"/>
        <w:tabs>
          <w:tab w:leader="none" w:pos="500" w:val="left"/>
        </w:tabs>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u w:val="single" w:color="auto"/>
            <w:color w:val="0000FF"/>
          </w:rPr>
          <w:t>Exhibit 4.28</w:t>
        </w:r>
      </w:hyperlink>
      <w:r>
        <w:rPr>
          <w:rFonts w:ascii="Times New Roman" w:cs="Times New Roman" w:eastAsia="Times New Roman" w:hAnsi="Times New Roman"/>
          <w:sz w:val="18"/>
          <w:szCs w:val="18"/>
          <w:color w:val="0000FF"/>
        </w:rPr>
        <w:tab/>
        <w:t>Supplemental Agreement to Transfer and Servicing Agreement, dated as of August 9, 2010, among World Financial Network National Bank, WFN Credit Company, LLC and World Financial Network Credit Card Master Note Trust (incorporated by reference to Exhibit 4.3 of the current report on Form 8-K filed</w:t>
      </w:r>
    </w:p>
    <w:p>
      <w:pPr>
        <w:sectPr>
          <w:pgSz w:w="11900" w:h="16838" w:orient="portrait"/>
          <w:cols w:equalWidth="0" w:num="1">
            <w:col w:w="10080"/>
          </w:cols>
          <w:pgMar w:left="1440" w:top="1417" w:right="379" w:bottom="1440" w:gutter="0" w:footer="0" w:header="0"/>
        </w:sectPr>
      </w:pPr>
    </w:p>
    <w:bookmarkStart w:id="10" w:name="page11"/>
    <w:bookmarkEnd w:id="10"/>
    <w:p>
      <w:pPr>
        <w:ind w:left="760" w:right="420"/>
        <w:spacing w:after="0" w:line="282" w:lineRule="auto"/>
        <w:rPr>
          <w:sz w:val="20"/>
          <w:szCs w:val="20"/>
          <w:color w:val="auto"/>
        </w:rPr>
      </w:pPr>
      <w:r>
        <w:rPr>
          <w:rFonts w:ascii="Times New Roman" w:cs="Times New Roman" w:eastAsia="Times New Roman" w:hAnsi="Times New Roman"/>
          <w:sz w:val="18"/>
          <w:szCs w:val="18"/>
          <w:color w:val="auto"/>
        </w:rPr>
        <w:t>by WFN Credit Company, LLC and World Financial Network Credit Card Master Note Trust on August 12, 2010 (No. 333-60418 and 333-113669)).</w:t>
      </w:r>
    </w:p>
    <w:p>
      <w:pPr>
        <w:spacing w:after="0" w:line="54" w:lineRule="exact"/>
        <w:rPr>
          <w:sz w:val="20"/>
          <w:szCs w:val="20"/>
          <w:color w:val="auto"/>
        </w:rPr>
      </w:pPr>
    </w:p>
    <w:p>
      <w:pPr>
        <w:ind w:left="520" w:right="240" w:hanging="1295"/>
        <w:spacing w:after="0" w:line="261" w:lineRule="auto"/>
        <w:tabs>
          <w:tab w:leader="none" w:pos="500" w:val="left"/>
        </w:tabs>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u w:val="single" w:color="auto"/>
            <w:color w:val="0000FF"/>
          </w:rPr>
          <w:t>Exhibit 4.29</w:t>
        </w:r>
      </w:hyperlink>
      <w:r>
        <w:rPr>
          <w:rFonts w:ascii="Times New Roman" w:cs="Times New Roman" w:eastAsia="Times New Roman" w:hAnsi="Times New Roman"/>
          <w:sz w:val="18"/>
          <w:szCs w:val="18"/>
          <w:color w:val="0000FF"/>
        </w:rPr>
        <w:tab/>
        <w:t>Amended and Restated Trust Agreement, dated as of August 1, 2001, between WFN Credit Company, LLC and Chase Manhattan Bank USA, National Association (incorporated by reference to Exhibit 4.4 of the current report on Form 8-K filed by WFN Credit Company, LLC and World Financial Network Credit Card Master Trust on August 31, 2001 (No. 333-60418 and 333-60418-01)).</w:t>
      </w:r>
    </w:p>
    <w:p>
      <w:pPr>
        <w:spacing w:after="0" w:line="72" w:lineRule="exact"/>
        <w:rPr>
          <w:sz w:val="20"/>
          <w:szCs w:val="20"/>
          <w:color w:val="auto"/>
        </w:rPr>
      </w:pPr>
    </w:p>
    <w:p>
      <w:pPr>
        <w:jc w:val="both"/>
        <w:ind w:left="520" w:right="140" w:hanging="1295"/>
        <w:spacing w:after="0" w:line="261" w:lineRule="auto"/>
        <w:tabs>
          <w:tab w:leader="none" w:pos="500" w:val="left"/>
        </w:tabs>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u w:val="single" w:color="auto"/>
            <w:color w:val="0000FF"/>
          </w:rPr>
          <w:t>Exhibit 4.30</w:t>
        </w:r>
      </w:hyperlink>
      <w:r>
        <w:rPr>
          <w:rFonts w:ascii="Times New Roman" w:cs="Times New Roman" w:eastAsia="Times New Roman" w:hAnsi="Times New Roman"/>
          <w:sz w:val="18"/>
          <w:szCs w:val="18"/>
          <w:color w:val="0000FF"/>
        </w:rPr>
        <w:tab/>
        <w:t>First Amendment to Amended and Restated Trust Agreement, dated as of May 25, 2021, between WFN Credit Company, LLC and Citicorp Trust Delaware, National Association (incorporated by reference to Exhibit 4.2 of the current report on Form 8-K filed by WFN Credit Company, LLC, World Financial Network Credit Card Master Note Trust and World Financial Network Credit Card Master Trust on May 28, 2021 (No. 333-60418, 333-113669 and 333-60418-01)).</w:t>
      </w:r>
    </w:p>
    <w:p>
      <w:pPr>
        <w:spacing w:after="0" w:line="72" w:lineRule="exact"/>
        <w:rPr>
          <w:sz w:val="20"/>
          <w:szCs w:val="20"/>
          <w:color w:val="auto"/>
        </w:rPr>
      </w:pPr>
    </w:p>
    <w:p>
      <w:pPr>
        <w:ind w:left="520" w:right="20" w:hanging="1295"/>
        <w:spacing w:after="0" w:line="261" w:lineRule="auto"/>
        <w:tabs>
          <w:tab w:leader="none" w:pos="500" w:val="left"/>
        </w:tabs>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u w:val="single" w:color="auto"/>
            <w:color w:val="0000FF"/>
          </w:rPr>
          <w:t>Exhibit 4.31</w:t>
        </w:r>
      </w:hyperlink>
      <w:r>
        <w:rPr>
          <w:rFonts w:ascii="Times New Roman" w:cs="Times New Roman" w:eastAsia="Times New Roman" w:hAnsi="Times New Roman"/>
          <w:sz w:val="18"/>
          <w:szCs w:val="18"/>
          <w:color w:val="0000FF"/>
        </w:rPr>
        <w:tab/>
        <w:t>Agreement of Resignation, Appointment and Acceptance, dated as of May 25, 2021, among WFN Credit Company, LLC, U.S. Bank Trust National Association and Citicorp Trust Delaware, National Association (incorporated by reference to Exhibit 4.1 of the current report on Form 8-K filed by WFN Credit Company, LLC, World Financial Network Credit Card Master Note Trust and World Financial Network Credit Card Master Trust on May 28, 2021 (No. 333-60418, 333-113669 and 333-60418-01)).</w:t>
      </w:r>
    </w:p>
    <w:p>
      <w:pPr>
        <w:spacing w:after="0" w:line="72" w:lineRule="exact"/>
        <w:rPr>
          <w:sz w:val="20"/>
          <w:szCs w:val="20"/>
          <w:color w:val="auto"/>
        </w:rPr>
      </w:pPr>
    </w:p>
    <w:p>
      <w:pPr>
        <w:ind w:left="520" w:right="20" w:hanging="1295"/>
        <w:spacing w:after="0" w:line="261" w:lineRule="auto"/>
        <w:tabs>
          <w:tab w:leader="none" w:pos="500" w:val="left"/>
        </w:tabs>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u w:val="single" w:color="auto"/>
            <w:color w:val="0000FF"/>
          </w:rPr>
          <w:t>Exhibit 4.32</w:t>
        </w:r>
      </w:hyperlink>
      <w:r>
        <w:rPr>
          <w:rFonts w:ascii="Times New Roman" w:cs="Times New Roman" w:eastAsia="Times New Roman" w:hAnsi="Times New Roman"/>
          <w:sz w:val="18"/>
          <w:szCs w:val="18"/>
          <w:color w:val="0000FF"/>
        </w:rPr>
        <w:tab/>
        <w:t>Administration Agreement, dated as of August 1, 2001, between World Financial Network Credit Card Master Note Trust and World Financial Network National Bank (incorporated by reference to Exhibit 4.5 of the current report filed by WFN Credit Company, LLC and World Financial Network Credit Card Master Trust on Form 8-K on August 31, 2001 (No. 333-60418 and 333-60418-01)).</w:t>
      </w:r>
    </w:p>
    <w:p>
      <w:pPr>
        <w:spacing w:after="0" w:line="72" w:lineRule="exact"/>
        <w:rPr>
          <w:sz w:val="20"/>
          <w:szCs w:val="20"/>
          <w:color w:val="auto"/>
        </w:rPr>
      </w:pPr>
    </w:p>
    <w:p>
      <w:pPr>
        <w:jc w:val="both"/>
        <w:ind w:left="520" w:right="240" w:hanging="1295"/>
        <w:spacing w:after="0" w:line="261" w:lineRule="auto"/>
        <w:tabs>
          <w:tab w:leader="none" w:pos="500" w:val="left"/>
        </w:tabs>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u w:val="single" w:color="auto"/>
            <w:color w:val="0000FF"/>
          </w:rPr>
          <w:t>Exhibit 4.33</w:t>
        </w:r>
      </w:hyperlink>
      <w:r>
        <w:rPr>
          <w:rFonts w:ascii="Times New Roman" w:cs="Times New Roman" w:eastAsia="Times New Roman" w:hAnsi="Times New Roman"/>
          <w:sz w:val="18"/>
          <w:szCs w:val="18"/>
          <w:color w:val="0000FF"/>
        </w:rPr>
        <w:tab/>
        <w:t>First Amendment to Administration Agreement, dated as of July 31, 2009, between World Financial Network Credit Card Master Note Trust and World Financial Network National Bank (incorporated by reference to Exhibit 4.1 of the current report filed by WFN Credit Company, LLC and World Financial Network Credit Card Master Note Trust on Form 8-K on July 31, 2009 (No. 333-60418 and 333-113669)).</w:t>
      </w:r>
    </w:p>
    <w:p>
      <w:pPr>
        <w:spacing w:after="0" w:line="72" w:lineRule="exact"/>
        <w:rPr>
          <w:sz w:val="20"/>
          <w:szCs w:val="20"/>
          <w:color w:val="auto"/>
        </w:rPr>
      </w:pPr>
    </w:p>
    <w:p>
      <w:pPr>
        <w:ind w:left="520" w:right="20" w:hanging="1295"/>
        <w:spacing w:after="0" w:line="266" w:lineRule="auto"/>
        <w:tabs>
          <w:tab w:leader="none" w:pos="500" w:val="left"/>
        </w:tabs>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Exhibit 4.34</w:t>
        </w:r>
      </w:hyperlink>
      <w:r>
        <w:rPr>
          <w:rFonts w:ascii="Times New Roman" w:cs="Times New Roman" w:eastAsia="Times New Roman" w:hAnsi="Times New Roman"/>
          <w:sz w:val="18"/>
          <w:szCs w:val="18"/>
          <w:color w:val="0000FF"/>
        </w:rPr>
        <w:tab/>
        <w:t>Sixth Amended and Restated Service Agreement, dated as of January 1, 2025, by and between Comenity Bank and Comenity Servicing LLC (incorporated by reference to Exhibit 99.1 of the current report on Form 8-K filed by WFN Credit Company, LLC and World Financial Network Credit Card Master Note Trust on January 2, 2025 (No. 333-60418 and 333-113669)).</w:t>
      </w:r>
    </w:p>
    <w:p>
      <w:pPr>
        <w:spacing w:after="0" w:line="68" w:lineRule="exact"/>
        <w:rPr>
          <w:sz w:val="20"/>
          <w:szCs w:val="20"/>
          <w:color w:val="auto"/>
        </w:rPr>
      </w:pPr>
    </w:p>
    <w:p>
      <w:pPr>
        <w:ind w:left="540" w:hanging="1295"/>
        <w:spacing w:after="0" w:line="266" w:lineRule="auto"/>
        <w:tabs>
          <w:tab w:leader="none" w:pos="520" w:val="left"/>
        </w:tabs>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Exhibit 4.35</w:t>
        </w:r>
      </w:hyperlink>
      <w:r>
        <w:rPr>
          <w:rFonts w:ascii="Times New Roman" w:cs="Times New Roman" w:eastAsia="Times New Roman" w:hAnsi="Times New Roman"/>
          <w:sz w:val="18"/>
          <w:szCs w:val="18"/>
          <w:color w:val="0000FF"/>
        </w:rPr>
        <w:tab/>
        <w:t>First Addendum to Sixth Amended and Restated Service Agreement, dated as of April 1, 2025, by and between Comenity Bank and Comenity Servicing LLC (incorporated by reference to Exhibit 99.1 of the current report on Form 8-K filed by WFN Credit Company, LLC and World Financial Network Credit Card Master Note Trust on April 3, 2025 (No. 333-60418 and 333-113669)).</w:t>
      </w:r>
    </w:p>
    <w:p>
      <w:pPr>
        <w:spacing w:after="0" w:line="68" w:lineRule="exact"/>
        <w:rPr>
          <w:sz w:val="20"/>
          <w:szCs w:val="20"/>
          <w:color w:val="auto"/>
        </w:rPr>
      </w:pPr>
    </w:p>
    <w:p>
      <w:pPr>
        <w:ind w:left="520" w:hanging="1295"/>
        <w:spacing w:after="0" w:line="266" w:lineRule="auto"/>
        <w:tabs>
          <w:tab w:leader="none" w:pos="500" w:val="left"/>
        </w:tabs>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Exhibit 4.36</w:t>
        </w:r>
      </w:hyperlink>
      <w:r>
        <w:rPr>
          <w:rFonts w:ascii="Times New Roman" w:cs="Times New Roman" w:eastAsia="Times New Roman" w:hAnsi="Times New Roman"/>
          <w:sz w:val="18"/>
          <w:szCs w:val="18"/>
          <w:color w:val="0000FF"/>
        </w:rPr>
        <w:tab/>
        <w:t>Second Addendum to Sixth Amended and Restated Service Agreement, dated as of April 1, 2025, by and between Comenity Bank and Comenity Servicing LLC (incorporated by reference to Exhibit 99.2 of the current report on Form 8-K filed by WFN Credit Company, LLC and World Financial Network Credit Card Master Note Trust on April 3, 2025 (No. 333-60418 and 333-113669)).</w:t>
      </w:r>
    </w:p>
    <w:p>
      <w:pPr>
        <w:sectPr>
          <w:pgSz w:w="11900" w:h="16838" w:orient="portrait"/>
          <w:cols w:equalWidth="0" w:num="1">
            <w:col w:w="10100"/>
          </w:cols>
          <w:pgMar w:left="1440" w:top="1417" w:right="359" w:bottom="1440" w:gutter="0" w:footer="0" w:header="0"/>
        </w:sectPr>
      </w:pPr>
    </w:p>
    <w:bookmarkStart w:id="11" w:name="page12"/>
    <w:bookmarkEnd w:id="11"/>
    <w:p>
      <w:pPr>
        <w:ind w:left="1060" w:right="20" w:hanging="1295"/>
        <w:spacing w:after="0" w:line="266" w:lineRule="auto"/>
        <w:tabs>
          <w:tab w:leader="none" w:pos="1040" w:val="left"/>
        </w:tabs>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u w:val="single" w:color="auto"/>
            <w:color w:val="0000FF"/>
          </w:rPr>
          <w:t>Exhibit 4.37</w:t>
        </w:r>
      </w:hyperlink>
      <w:r>
        <w:rPr>
          <w:rFonts w:ascii="Times New Roman" w:cs="Times New Roman" w:eastAsia="Times New Roman" w:hAnsi="Times New Roman"/>
          <w:sz w:val="18"/>
          <w:szCs w:val="18"/>
          <w:color w:val="0000FF"/>
        </w:rPr>
        <w:tab/>
        <w:t>Third Addendum to Sixth Amended and Restated Service Agreement, dated as of June 1, 2025, by and between Comenity Bank and Comenity Servicing LLC (incorporated by reference to Exhibit 99.1 of the current report on Form 8-K filed by WFN Credit Company, LLC and World Financial Network Credit Card Master Note Trust on June 3, 2025 (No. 333-60418 and 333-113669)).</w:t>
      </w:r>
    </w:p>
    <w:p>
      <w:pPr>
        <w:spacing w:after="0" w:line="68"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u w:val="single" w:color="auto"/>
            <w:color w:val="0000FF"/>
          </w:rPr>
          <w:t>Exhibit 4.38</w:t>
        </w:r>
      </w:hyperlink>
      <w:r>
        <w:rPr>
          <w:rFonts w:ascii="Times New Roman" w:cs="Times New Roman" w:eastAsia="Times New Roman" w:hAnsi="Times New Roman"/>
          <w:sz w:val="18"/>
          <w:szCs w:val="18"/>
          <w:color w:val="0000FF"/>
        </w:rPr>
        <w:tab/>
        <w:t>Fourth Addendum to Sixth Amended and Restated Service Agreement, dated as of October 1, 2025, by and between Comenity Bank and Comenity Servicing LLC (incorporated by reference to Exhibit 99.1 of the current report on Form 8-K filed by WFN Credit Company, LLC and World Financial Network Credit Card Master Note Trust on October 2, 2025 (No. 333-60418 and 333-113669)).</w:t>
      </w:r>
    </w:p>
    <w:p>
      <w:pPr>
        <w:spacing w:after="0" w:line="72" w:lineRule="exact"/>
        <w:rPr>
          <w:sz w:val="20"/>
          <w:szCs w:val="20"/>
          <w:color w:val="auto"/>
        </w:rPr>
      </w:pPr>
    </w:p>
    <w:p>
      <w:pPr>
        <w:ind w:left="1060" w:right="100" w:hanging="1295"/>
        <w:spacing w:after="0" w:line="261" w:lineRule="auto"/>
        <w:tabs>
          <w:tab w:leader="none" w:pos="1040" w:val="left"/>
        </w:tabs>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Exhibit 4.39</w:t>
        </w:r>
      </w:hyperlink>
      <w:r>
        <w:rPr>
          <w:rFonts w:ascii="Times New Roman" w:cs="Times New Roman" w:eastAsia="Times New Roman" w:hAnsi="Times New Roman"/>
          <w:sz w:val="18"/>
          <w:szCs w:val="18"/>
          <w:color w:val="0000FF"/>
        </w:rPr>
        <w:tab/>
        <w:t>Fifth Addendum to Sixth Amended and Restated Service Agreement, dated as of January 1, 2026, by and between Comenity Bank and Comenity Servicing LLC (incorporated by reference to Exhibit 99.1 of the current report on Form 8-K filed by WFN Credit Company, LLC and World Financial Network Credit Card Master Note Trust on January 5, 2026 (No. 333-60418 and 333-113669)).</w:t>
      </w:r>
    </w:p>
    <w:p>
      <w:pPr>
        <w:spacing w:after="0" w:line="72" w:lineRule="exact"/>
        <w:rPr>
          <w:sz w:val="20"/>
          <w:szCs w:val="20"/>
          <w:color w:val="auto"/>
        </w:rPr>
      </w:pPr>
    </w:p>
    <w:p>
      <w:pPr>
        <w:ind w:left="1060" w:right="180" w:hanging="1295"/>
        <w:spacing w:after="0" w:line="266" w:lineRule="auto"/>
        <w:tabs>
          <w:tab w:leader="none" w:pos="1040" w:val="left"/>
        </w:tabs>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u w:val="single" w:color="auto"/>
            <w:color w:val="0000FF"/>
          </w:rPr>
          <w:t>Exhibit 4.40</w:t>
        </w:r>
      </w:hyperlink>
      <w:r>
        <w:rPr>
          <w:rFonts w:ascii="Times New Roman" w:cs="Times New Roman" w:eastAsia="Times New Roman" w:hAnsi="Times New Roman"/>
          <w:sz w:val="18"/>
          <w:szCs w:val="18"/>
          <w:color w:val="0000FF"/>
        </w:rPr>
        <w:tab/>
        <w:t>Service Agreement, dated as of April 1, 2025, by and between Comenity Bank and Comenity Servicing LLC (incorporated by reference to Exhibit 99.3 of the current report on Form 8-K filed by WFN Credit Company, LLC and World Financial Network Credit Card Master Note Trust on April 3, 2025 (No. 333-60418 and 333-113669)).</w:t>
      </w:r>
    </w:p>
    <w:p>
      <w:pPr>
        <w:spacing w:after="0" w:line="68"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Exhibit 4.41</w:t>
        </w:r>
      </w:hyperlink>
      <w:r>
        <w:rPr>
          <w:rFonts w:ascii="Times New Roman" w:cs="Times New Roman" w:eastAsia="Times New Roman" w:hAnsi="Times New Roman"/>
          <w:sz w:val="18"/>
          <w:szCs w:val="18"/>
          <w:color w:val="0000FF"/>
        </w:rPr>
        <w:tab/>
        <w:t>Second Amended and Restated Pooling and Servicing Agreement, as amended and restated a second time on August 1, 2001, among WFN Credit Company, LLC, World Financial Network National Bank and BNY Midwest Trust Company (incorporated by reference to Exhibit 4.6 of the current report on Form 8-K filed by WFN Credit Company, LLC and World Financial Network Credit Card Master Trust on August 31, 2001 (No. 333-60418 and 333-60418-01)).</w:t>
      </w:r>
    </w:p>
    <w:p>
      <w:pPr>
        <w:spacing w:after="0" w:line="72" w:lineRule="exact"/>
        <w:rPr>
          <w:sz w:val="20"/>
          <w:szCs w:val="20"/>
          <w:color w:val="auto"/>
        </w:rPr>
      </w:pPr>
    </w:p>
    <w:p>
      <w:pPr>
        <w:ind w:left="1060" w:right="40" w:hanging="1295"/>
        <w:spacing w:after="0" w:line="258" w:lineRule="auto"/>
        <w:tabs>
          <w:tab w:leader="none" w:pos="104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Exhibit 4.42</w:t>
        </w:r>
      </w:hyperlink>
      <w:r>
        <w:rPr>
          <w:rFonts w:ascii="Times New Roman" w:cs="Times New Roman" w:eastAsia="Times New Roman" w:hAnsi="Times New Roman"/>
          <w:sz w:val="18"/>
          <w:szCs w:val="18"/>
          <w:color w:val="0000FF"/>
        </w:rPr>
        <w:tab/>
        <w:t>Second Amendment to the Second Amended and Restated Pooling and Servicing Agreement, dated as of May 19, 2004, among WFN Credit Company, LLC, World Financial Network National Bank and BNY Midwest Trust Company (incorporated by reference to Exhibit 4.1 of the current report on Form 8-K filed by WFN Credit Company, LLC, World Financial Network Credit Card Master Note Trust and World Financial Network Credit Card Master Trust on August 4, 2004 (No. 333-60418, 333-113669 and 333-60418-01)).</w:t>
      </w:r>
    </w:p>
    <w:p>
      <w:pPr>
        <w:spacing w:after="0" w:line="75" w:lineRule="exact"/>
        <w:rPr>
          <w:sz w:val="20"/>
          <w:szCs w:val="20"/>
          <w:color w:val="auto"/>
        </w:rPr>
      </w:pPr>
    </w:p>
    <w:p>
      <w:pPr>
        <w:ind w:left="1060" w:hanging="1295"/>
        <w:spacing w:after="0" w:line="258" w:lineRule="auto"/>
        <w:tabs>
          <w:tab w:leader="none" w:pos="104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Exhibit 4.43</w:t>
        </w:r>
      </w:hyperlink>
      <w:r>
        <w:rPr>
          <w:rFonts w:ascii="Times New Roman" w:cs="Times New Roman" w:eastAsia="Times New Roman" w:hAnsi="Times New Roman"/>
          <w:sz w:val="18"/>
          <w:szCs w:val="18"/>
          <w:color w:val="0000FF"/>
        </w:rPr>
        <w:tab/>
        <w:t>Third Amendment to Second Amended and Restated Pooling and Servicing Agreement, dated as of March 30, 2005, between WFN Credit Company, LLC, World Financial Network National Bank and BNY Midwest Trust Company (incorporated by reference to Exhibit 4.1 of the current report on Form 8-K filed by WFN Credit Company, LLC, World Financial Network Credit Card Master Note Trust and World Financial Network Credit Card Master Trust on April 5, 2005 (No. 333-60418, 333-113669 and 333-60418-01)).</w:t>
      </w:r>
    </w:p>
    <w:p>
      <w:pPr>
        <w:spacing w:after="0" w:line="75" w:lineRule="exact"/>
        <w:rPr>
          <w:sz w:val="20"/>
          <w:szCs w:val="20"/>
          <w:color w:val="auto"/>
        </w:rPr>
      </w:pPr>
    </w:p>
    <w:p>
      <w:pPr>
        <w:ind w:left="1060" w:right="280" w:hanging="1295"/>
        <w:spacing w:after="0" w:line="261" w:lineRule="auto"/>
        <w:tabs>
          <w:tab w:leader="none" w:pos="1040" w:val="left"/>
        </w:tabs>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u w:val="single" w:color="auto"/>
            <w:color w:val="0000FF"/>
          </w:rPr>
          <w:t>Exhibit 4.44</w:t>
        </w:r>
      </w:hyperlink>
      <w:r>
        <w:rPr>
          <w:rFonts w:ascii="Times New Roman" w:cs="Times New Roman" w:eastAsia="Times New Roman" w:hAnsi="Times New Roman"/>
          <w:sz w:val="18"/>
          <w:szCs w:val="18"/>
          <w:color w:val="0000FF"/>
        </w:rPr>
        <w:tab/>
        <w:t>Fourth Amendment to the Second Amended And Restated Pooling and Servicing Agreement, dated as of June 13, 2007, among World Financial Network National Bank, WFN Credit Company, LLC, and BNY Midwest Trust Company (incorporated by reference to Exhibit 4.1 of the current report on Form 8-K filed by WFN Credit Company, LLC and World Financial Network Credit Card Master Note Trust on June 15, 2007 (No. 333-60418 and 333-113669)).</w:t>
      </w:r>
    </w:p>
    <w:p>
      <w:pPr>
        <w:spacing w:after="0" w:line="72" w:lineRule="exact"/>
        <w:rPr>
          <w:sz w:val="20"/>
          <w:szCs w:val="20"/>
          <w:color w:val="auto"/>
        </w:rPr>
      </w:pPr>
    </w:p>
    <w:p>
      <w:pPr>
        <w:jc w:val="center"/>
        <w:ind w:right="300"/>
        <w:spacing w:after="0" w:line="282" w:lineRule="auto"/>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u w:val="single" w:color="auto"/>
            <w:color w:val="0000FF"/>
          </w:rPr>
          <w:t>Exhibit 4.45</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Fifth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Amendment to the Second Amended and Restated Pooling and Servicing Agreement, dated as of October 26, 2007, among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WFN Credit Company, LLC, World Financial Network National Bank and BNY Midwest Trust Company</w:t>
      </w:r>
    </w:p>
    <w:p>
      <w:pPr>
        <w:sectPr>
          <w:pgSz w:w="11900" w:h="16838" w:orient="portrait"/>
          <w:cols w:equalWidth="0" w:num="1">
            <w:col w:w="10620"/>
          </w:cols>
          <w:pgMar w:left="900" w:top="1417" w:right="379" w:bottom="1440" w:gutter="0" w:footer="0" w:header="0"/>
        </w:sectPr>
      </w:pPr>
    </w:p>
    <w:bookmarkStart w:id="12" w:name="page13"/>
    <w:bookmarkEnd w:id="12"/>
    <w:p>
      <w:pPr>
        <w:ind w:left="760"/>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4.1 of the current report on Form 8-K filed by WFN Credit Company, LLC, World Financial Network Credit Card Master Note Trust and World Financial Network Credit Card Master Trust on October 31, 2007 (No. 333-60418, 333-113669 and 333-60418-01)).</w:t>
      </w:r>
    </w:p>
    <w:p>
      <w:pPr>
        <w:spacing w:after="0" w:line="68" w:lineRule="exact"/>
        <w:rPr>
          <w:sz w:val="20"/>
          <w:szCs w:val="20"/>
          <w:color w:val="auto"/>
        </w:rPr>
      </w:pPr>
    </w:p>
    <w:p>
      <w:pPr>
        <w:ind w:left="520" w:right="40" w:hanging="1295"/>
        <w:spacing w:after="0" w:line="261" w:lineRule="auto"/>
        <w:tabs>
          <w:tab w:leader="none" w:pos="500" w:val="left"/>
        </w:tabs>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u w:val="single" w:color="auto"/>
            <w:color w:val="0000FF"/>
          </w:rPr>
          <w:t>Exhibit 4.46</w:t>
        </w:r>
      </w:hyperlink>
      <w:r>
        <w:rPr>
          <w:rFonts w:ascii="Times New Roman" w:cs="Times New Roman" w:eastAsia="Times New Roman" w:hAnsi="Times New Roman"/>
          <w:sz w:val="18"/>
          <w:szCs w:val="18"/>
          <w:color w:val="0000FF"/>
        </w:rPr>
        <w:tab/>
        <w:t>Sixth Amendment to the Second Amended and Restated Pooling and Servicing Agreement, dated as of May 27, 2008, among WFN Credit Company, LLC, World Financial Network National Bank and BNY Midwest Trust Company (incorporated by reference to Exhibit 4.1 of the current report on Form 8-K filed by WFN Credit Company, LLC and World Financial Network Credit Card Master Note Trust on May 29, 2008 (No. 333-60418 and 333-113669)).</w:t>
      </w:r>
    </w:p>
    <w:p>
      <w:pPr>
        <w:spacing w:after="0" w:line="72" w:lineRule="exact"/>
        <w:rPr>
          <w:sz w:val="20"/>
          <w:szCs w:val="20"/>
          <w:color w:val="auto"/>
        </w:rPr>
      </w:pPr>
    </w:p>
    <w:p>
      <w:pPr>
        <w:ind w:left="520" w:right="140" w:hanging="1295"/>
        <w:spacing w:after="0" w:line="261" w:lineRule="auto"/>
        <w:tabs>
          <w:tab w:leader="none" w:pos="500" w:val="left"/>
        </w:tabs>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u w:val="single" w:color="auto"/>
            <w:color w:val="0000FF"/>
          </w:rPr>
          <w:t>Exhibit 4.47</w:t>
        </w:r>
      </w:hyperlink>
      <w:r>
        <w:rPr>
          <w:rFonts w:ascii="Times New Roman" w:cs="Times New Roman" w:eastAsia="Times New Roman" w:hAnsi="Times New Roman"/>
          <w:sz w:val="18"/>
          <w:szCs w:val="18"/>
          <w:color w:val="0000FF"/>
        </w:rPr>
        <w:tab/>
        <w:t>Seventh Amendment to Second Amended and Restated Pooling and Servicing Agreement, dated as of June 28, 2010, among World Financial Network National Bank, WFN Credit Company, LLC and The Bank of New York Mellon Trust Company, N.A. (incorporated by reference to Exhibit 4.2 of the current report on Form 8-K/A filed by WFN Credit Company, LLC and World Financial Network Credit Card Master Note Trust on July 6, 2010 (No. 333-60418 and 333-113669)).</w:t>
      </w:r>
    </w:p>
    <w:p>
      <w:pPr>
        <w:spacing w:after="0" w:line="72" w:lineRule="exact"/>
        <w:rPr>
          <w:sz w:val="20"/>
          <w:szCs w:val="20"/>
          <w:color w:val="auto"/>
        </w:rPr>
      </w:pPr>
    </w:p>
    <w:p>
      <w:pPr>
        <w:ind w:left="520" w:right="80" w:hanging="1295"/>
        <w:spacing w:after="0" w:line="258" w:lineRule="auto"/>
        <w:tabs>
          <w:tab w:leader="none" w:pos="500" w:val="left"/>
        </w:tabs>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u w:val="single" w:color="auto"/>
            <w:color w:val="0000FF"/>
          </w:rPr>
          <w:t>Exhibit 4.48</w:t>
        </w:r>
      </w:hyperlink>
      <w:r>
        <w:rPr>
          <w:rFonts w:ascii="Times New Roman" w:cs="Times New Roman" w:eastAsia="Times New Roman" w:hAnsi="Times New Roman"/>
          <w:sz w:val="18"/>
          <w:szCs w:val="18"/>
          <w:color w:val="0000FF"/>
        </w:rPr>
        <w:tab/>
        <w:t>Eighth Amendment to Second Amended and Restated Pooling and Servicing Agreement, dated as of November 9, 2011, among World Financial Network Bank (formerly known as World Financial Network National Bank), WFN Credit Company, LLC and The Bank of New York Mellon Trust Company, N.A. (incorporated by reference to Exhibit 4.1 of the current report on Form 8-K filed by WFN Credit Company, LLC, World Financial Network Credit Card Master Note Trust and World Financial Network Credit Card Master Trust on November 14, 2011 (No. 333-60418, 333-113669 and 333-60418-01)).</w:t>
      </w:r>
    </w:p>
    <w:p>
      <w:pPr>
        <w:spacing w:after="0" w:line="75" w:lineRule="exact"/>
        <w:rPr>
          <w:sz w:val="20"/>
          <w:szCs w:val="20"/>
          <w:color w:val="auto"/>
        </w:rPr>
      </w:pPr>
    </w:p>
    <w:p>
      <w:pPr>
        <w:ind w:left="520" w:right="220" w:hanging="1295"/>
        <w:spacing w:after="0" w:line="261" w:lineRule="auto"/>
        <w:tabs>
          <w:tab w:leader="none" w:pos="500" w:val="left"/>
        </w:tabs>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u w:val="single" w:color="auto"/>
            <w:color w:val="0000FF"/>
          </w:rPr>
          <w:t>Exhibit 4.49</w:t>
        </w:r>
      </w:hyperlink>
      <w:r>
        <w:rPr>
          <w:rFonts w:ascii="Times New Roman" w:cs="Times New Roman" w:eastAsia="Times New Roman" w:hAnsi="Times New Roman"/>
          <w:sz w:val="18"/>
          <w:szCs w:val="18"/>
          <w:color w:val="0000FF"/>
        </w:rPr>
        <w:tab/>
        <w:t>Ninth Amendment to Second Amended and Restated Pooling and Servicing Agreement, dated as of December 1, 2016, among Comenity Bank, WFN Credit Company, LLC and MUFG Union Bank, N.A. (incorporated by reference to Exhibit 4.1 of the current report on Form 8-K filed by WFN Credit Company, LLC, World Financial Network Credit Card Master Note Trust and World Financial Network Credit Card Master Trust on December 2, 2016 (No. 333-60418, 333-113669 and 333-60418-01)).</w:t>
      </w:r>
    </w:p>
    <w:p>
      <w:pPr>
        <w:spacing w:after="0" w:line="72" w:lineRule="exact"/>
        <w:rPr>
          <w:sz w:val="20"/>
          <w:szCs w:val="20"/>
          <w:color w:val="auto"/>
        </w:rPr>
      </w:pPr>
    </w:p>
    <w:p>
      <w:pPr>
        <w:ind w:left="520" w:right="220" w:hanging="1295"/>
        <w:spacing w:after="0" w:line="261" w:lineRule="auto"/>
        <w:tabs>
          <w:tab w:leader="none" w:pos="500" w:val="left"/>
        </w:tabs>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u w:val="single" w:color="auto"/>
            <w:color w:val="0000FF"/>
          </w:rPr>
          <w:t>Exhibit 4.50</w:t>
        </w:r>
      </w:hyperlink>
      <w:r>
        <w:rPr>
          <w:rFonts w:ascii="Times New Roman" w:cs="Times New Roman" w:eastAsia="Times New Roman" w:hAnsi="Times New Roman"/>
          <w:sz w:val="18"/>
          <w:szCs w:val="18"/>
          <w:color w:val="0000FF"/>
        </w:rPr>
        <w:tab/>
        <w:t>Tenth Amendment to Second Amended and Restated Pooling and Servicing Agreement, dated as of August 16, 2018, among Comenity Bank, WFN Credit Company, LLC and MUFG Union Bank, N.A. (incorporated by reference to Exhibit 4.1 of the current report on Form 8-K filed by WFN Credit Company, LLC, World Financial Network Credit Card Master Note Trust and World Financial Network Credit Card Master Trust on August 20, 2018 (No. 333-60418, 333-113669 and 333-60418-01)).</w:t>
      </w:r>
    </w:p>
    <w:p>
      <w:pPr>
        <w:spacing w:after="0" w:line="72" w:lineRule="exact"/>
        <w:rPr>
          <w:sz w:val="20"/>
          <w:szCs w:val="20"/>
          <w:color w:val="auto"/>
        </w:rPr>
      </w:pPr>
    </w:p>
    <w:p>
      <w:pPr>
        <w:ind w:left="520" w:right="220" w:hanging="1295"/>
        <w:spacing w:after="0" w:line="261" w:lineRule="auto"/>
        <w:tabs>
          <w:tab w:leader="none" w:pos="500" w:val="left"/>
        </w:tabs>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u w:val="single" w:color="auto"/>
            <w:color w:val="0000FF"/>
          </w:rPr>
          <w:t>Exhibit 4.51</w:t>
        </w:r>
      </w:hyperlink>
      <w:r>
        <w:rPr>
          <w:rFonts w:ascii="Times New Roman" w:cs="Times New Roman" w:eastAsia="Times New Roman" w:hAnsi="Times New Roman"/>
          <w:sz w:val="18"/>
          <w:szCs w:val="18"/>
          <w:color w:val="0000FF"/>
        </w:rPr>
        <w:tab/>
        <w:t>Eleventh Amendment to Second Amended and Restated Pooling and Servicing Agreement, dated as of June 11, 2020, among Comenity Bank, WFN Credit Company, LLC and MUFG Union Bank, N.A. (incorporated by reference to Exhibit 4.2 of the current report on Form 8-K filed by WFN Credit Company, LLC, World Financial Network Credit Card Master Note Trust and World Financial Network Credit Card Master Trust on June 16, 2020 (No. 333-60418, 333-113669 and 333-60418-01)).</w:t>
      </w:r>
    </w:p>
    <w:p>
      <w:pPr>
        <w:spacing w:after="0" w:line="72" w:lineRule="exact"/>
        <w:rPr>
          <w:sz w:val="20"/>
          <w:szCs w:val="20"/>
          <w:color w:val="auto"/>
        </w:rPr>
      </w:pPr>
    </w:p>
    <w:p>
      <w:pPr>
        <w:jc w:val="both"/>
        <w:ind w:left="520" w:right="400" w:hanging="1295"/>
        <w:spacing w:after="0" w:line="266" w:lineRule="auto"/>
        <w:tabs>
          <w:tab w:leader="none" w:pos="500" w:val="left"/>
        </w:tabs>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u w:val="single" w:color="auto"/>
            <w:color w:val="0000FF"/>
          </w:rPr>
          <w:t>Exhibit 4.52</w:t>
        </w:r>
      </w:hyperlink>
      <w:r>
        <w:rPr>
          <w:rFonts w:ascii="Times New Roman" w:cs="Times New Roman" w:eastAsia="Times New Roman" w:hAnsi="Times New Roman"/>
          <w:sz w:val="18"/>
          <w:szCs w:val="18"/>
          <w:color w:val="0000FF"/>
        </w:rPr>
        <w:tab/>
        <w:t>Twelfth Amendment to Second Amended and Restated Pooling and Servicing Agreement, dated as of October 27, 2020, among Comenity Bank, WFN Credit Company, LLC and MUFG Union Bank, N.A. (incorporated by reference to Exhibit 4.1 of the current report on Form 8-K filed by WFN Credit Company,</w:t>
      </w:r>
    </w:p>
    <w:p>
      <w:pPr>
        <w:sectPr>
          <w:pgSz w:w="11900" w:h="16838" w:orient="portrait"/>
          <w:cols w:equalWidth="0" w:num="1">
            <w:col w:w="10120"/>
          </w:cols>
          <w:pgMar w:left="1440" w:top="1417" w:right="339" w:bottom="1440" w:gutter="0" w:footer="0" w:header="0"/>
        </w:sectPr>
      </w:pPr>
    </w:p>
    <w:bookmarkStart w:id="13" w:name="page14"/>
    <w:bookmarkEnd w:id="13"/>
    <w:p>
      <w:pPr>
        <w:ind w:left="1300" w:right="560"/>
        <w:spacing w:after="0" w:line="282" w:lineRule="auto"/>
        <w:rPr>
          <w:sz w:val="20"/>
          <w:szCs w:val="20"/>
          <w:color w:val="auto"/>
        </w:rPr>
      </w:pPr>
      <w:r>
        <w:rPr>
          <w:rFonts w:ascii="Times New Roman" w:cs="Times New Roman" w:eastAsia="Times New Roman" w:hAnsi="Times New Roman"/>
          <w:sz w:val="18"/>
          <w:szCs w:val="18"/>
          <w:color w:val="auto"/>
        </w:rPr>
        <w:t>LLC, World Financial Network Credit Card Master Note Trust and World Financial Network Credit Card Master Trust on October 30, 2020 (No. 333-60418, 333-113669 and 333-60418-01)).</w:t>
      </w:r>
    </w:p>
    <w:p>
      <w:pPr>
        <w:spacing w:after="0" w:line="54" w:lineRule="exact"/>
        <w:rPr>
          <w:sz w:val="20"/>
          <w:szCs w:val="20"/>
          <w:color w:val="auto"/>
        </w:rPr>
      </w:pPr>
    </w:p>
    <w:p>
      <w:pPr>
        <w:ind w:left="1060" w:right="220" w:hanging="1295"/>
        <w:spacing w:after="0" w:line="261" w:lineRule="auto"/>
        <w:tabs>
          <w:tab w:leader="none" w:pos="1040" w:val="left"/>
        </w:tabs>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u w:val="single" w:color="auto"/>
            <w:color w:val="0000FF"/>
          </w:rPr>
          <w:t>Exhibit 4.53</w:t>
        </w:r>
      </w:hyperlink>
      <w:r>
        <w:rPr>
          <w:rFonts w:ascii="Times New Roman" w:cs="Times New Roman" w:eastAsia="Times New Roman" w:hAnsi="Times New Roman"/>
          <w:sz w:val="18"/>
          <w:szCs w:val="18"/>
          <w:color w:val="0000FF"/>
        </w:rPr>
        <w:tab/>
        <w:t>Thirteenth Amendment to Second Amended and Restated Pooling and Servicing Agreement, dated as of April 26, 2024, among Comenity Bank, WFN Credit Company, LLC and U.S. Bank National Association (incorporated by reference to Exhibit 4.3 of the current report on Form 8-K filed by WFN Credit Company, LLC, World Financial Network Credit Card Master Note Trust and World Financial Network Credit Card Master Trust on April 30, 2024 (No. 333-60418, 333-113669 and 333-60418-01)).</w:t>
      </w:r>
    </w:p>
    <w:p>
      <w:pPr>
        <w:spacing w:after="0" w:line="72" w:lineRule="exact"/>
        <w:rPr>
          <w:sz w:val="20"/>
          <w:szCs w:val="20"/>
          <w:color w:val="auto"/>
        </w:rPr>
      </w:pPr>
    </w:p>
    <w:p>
      <w:pPr>
        <w:ind w:left="1060" w:right="80" w:hanging="1295"/>
        <w:spacing w:after="0" w:line="261" w:lineRule="auto"/>
        <w:tabs>
          <w:tab w:leader="none" w:pos="1040" w:val="left"/>
        </w:tabs>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u w:val="single" w:color="auto"/>
            <w:color w:val="0000FF"/>
          </w:rPr>
          <w:t>Exhibit 4.54</w:t>
        </w:r>
      </w:hyperlink>
      <w:r>
        <w:rPr>
          <w:rFonts w:ascii="Times New Roman" w:cs="Times New Roman" w:eastAsia="Times New Roman" w:hAnsi="Times New Roman"/>
          <w:sz w:val="18"/>
          <w:szCs w:val="18"/>
          <w:color w:val="0000FF"/>
        </w:rPr>
        <w:tab/>
        <w:t>Supplemental Agreement to Second Amended and Restated Pooling and Servicing Agreement, dated as of August 9, 2010, among World Financial Network National Bank, WFN Credit Company, LLC and The Bank of New York Mellon Trust Company, N.A. (incorporated by reference to Exhibit 4.1 of the current report on Form 8-K filed by WFN Credit Company, LLC and World Financial Network Credit Card Master Note Trust on August 12, 2010 (No. 333-60418 and 333-113669)).</w:t>
      </w:r>
    </w:p>
    <w:p>
      <w:pPr>
        <w:spacing w:after="0" w:line="72" w:lineRule="exact"/>
        <w:rPr>
          <w:sz w:val="20"/>
          <w:szCs w:val="20"/>
          <w:color w:val="auto"/>
        </w:rPr>
      </w:pPr>
    </w:p>
    <w:p>
      <w:pPr>
        <w:ind w:left="1060" w:right="40" w:hanging="1295"/>
        <w:spacing w:after="0" w:line="261" w:lineRule="auto"/>
        <w:tabs>
          <w:tab w:leader="none" w:pos="1040" w:val="left"/>
        </w:tabs>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u w:val="single" w:color="auto"/>
            <w:color w:val="0000FF"/>
          </w:rPr>
          <w:t>Exhibit 4.55</w:t>
        </w:r>
      </w:hyperlink>
      <w:r>
        <w:rPr>
          <w:rFonts w:ascii="Times New Roman" w:cs="Times New Roman" w:eastAsia="Times New Roman" w:hAnsi="Times New Roman"/>
          <w:sz w:val="18"/>
          <w:szCs w:val="18"/>
          <w:color w:val="0000FF"/>
        </w:rPr>
        <w:tab/>
        <w:t>Succession Agreement, dated as of June 18, 2021, among WFN Credit Company, LLC, MUFG Union Bank, N.A. and U.S. Bank National Association (incorporated by reference to Exhibit 4.2 of the current report on Form 8-K filed by WFN Credit Company, LLC, World Financial Network Credit Card Master Note Trust and World Financial Network Credit Card Master Trust on June 24, 2021 (No. 333-60418, 333-113669 and 333-60418-01)).</w:t>
      </w:r>
    </w:p>
    <w:p>
      <w:pPr>
        <w:spacing w:after="0" w:line="72" w:lineRule="exact"/>
        <w:rPr>
          <w:sz w:val="20"/>
          <w:szCs w:val="20"/>
          <w:color w:val="auto"/>
        </w:rPr>
      </w:pPr>
    </w:p>
    <w:p>
      <w:pPr>
        <w:ind w:left="1060" w:right="80" w:hanging="1295"/>
        <w:spacing w:after="0" w:line="261" w:lineRule="auto"/>
        <w:tabs>
          <w:tab w:leader="none" w:pos="1040" w:val="left"/>
        </w:tabs>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u w:val="single" w:color="auto"/>
            <w:color w:val="0000FF"/>
          </w:rPr>
          <w:t>Exhibit 4.56</w:t>
        </w:r>
      </w:hyperlink>
      <w:r>
        <w:rPr>
          <w:rFonts w:ascii="Times New Roman" w:cs="Times New Roman" w:eastAsia="Times New Roman" w:hAnsi="Times New Roman"/>
          <w:sz w:val="18"/>
          <w:szCs w:val="18"/>
          <w:color w:val="0000FF"/>
        </w:rPr>
        <w:tab/>
        <w:t>Collateral Series Supplement, dated as of August 21, 2001, among WFN Credit Company, LLC, World Financial Network National Bank and BNY Midwest Trust Company (incorporated by reference to Exhibit 4.7 of the current report on Form 8-K filed by WFN Credit Company, LLC and World Financial Network Credit Card Master Trust on August 31, 2001 (No. 333-60418 and 333-60418-01)).</w:t>
      </w:r>
    </w:p>
    <w:p>
      <w:pPr>
        <w:spacing w:after="0" w:line="72" w:lineRule="exact"/>
        <w:rPr>
          <w:sz w:val="20"/>
          <w:szCs w:val="20"/>
          <w:color w:val="auto"/>
        </w:rPr>
      </w:pPr>
    </w:p>
    <w:p>
      <w:pPr>
        <w:ind w:left="1060" w:right="340" w:hanging="1295"/>
        <w:spacing w:after="0" w:line="261" w:lineRule="auto"/>
        <w:tabs>
          <w:tab w:leader="none" w:pos="1040" w:val="left"/>
        </w:tabs>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u w:val="single" w:color="auto"/>
            <w:color w:val="0000FF"/>
          </w:rPr>
          <w:t>Exhibit 4.57</w:t>
        </w:r>
      </w:hyperlink>
      <w:r>
        <w:rPr>
          <w:rFonts w:ascii="Times New Roman" w:cs="Times New Roman" w:eastAsia="Times New Roman" w:hAnsi="Times New Roman"/>
          <w:sz w:val="18"/>
          <w:szCs w:val="18"/>
          <w:color w:val="0000FF"/>
        </w:rPr>
        <w:tab/>
        <w:t>First Amendment to Collateral Series Supplement, dated as of November 7, 2002, among WFN Credit Company, LLC, World Financial Network National Bank and BNY Midwest Trust Company (incorporated by reference to Exhibit 4.3 of the current report on Form 8-K filed by WFN Credit Company, LLC and World Financial Network Credit Card Master Trust on November 20, 2002 (No. 333-60418 and 333-60418-01)).</w:t>
      </w:r>
    </w:p>
    <w:p>
      <w:pPr>
        <w:spacing w:after="0" w:line="72"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u w:val="single" w:color="auto"/>
            <w:color w:val="0000FF"/>
          </w:rPr>
          <w:t>Exhibit 4.58</w:t>
        </w:r>
      </w:hyperlink>
      <w:r>
        <w:rPr>
          <w:rFonts w:ascii="Times New Roman" w:cs="Times New Roman" w:eastAsia="Times New Roman" w:hAnsi="Times New Roman"/>
          <w:sz w:val="18"/>
          <w:szCs w:val="18"/>
          <w:color w:val="0000FF"/>
        </w:rPr>
        <w:tab/>
        <w:t>Second Amendment to Collateral Series Supplement, dated as of July 6, 2016, among WFN Credit Company, LLC, Comenity Bank and MUFG Union Bank, N.A. (incorporated by reference to Exhibit 4.1 of the current report on Form 8-K filed by WFN Credit Company, LLC, World Financial Network Credit Card Master Note Trust and World Financial Network Credit Card Master Trust on July 8, 2016 (No. 333-60418, 333-113669 and 333-60418-01)).</w:t>
      </w:r>
    </w:p>
    <w:p>
      <w:pPr>
        <w:spacing w:after="0" w:line="72" w:lineRule="exact"/>
        <w:rPr>
          <w:sz w:val="20"/>
          <w:szCs w:val="20"/>
          <w:color w:val="auto"/>
        </w:rPr>
      </w:pPr>
    </w:p>
    <w:p>
      <w:pPr>
        <w:ind w:left="1060" w:hanging="1295"/>
        <w:spacing w:after="0" w:line="266" w:lineRule="auto"/>
        <w:tabs>
          <w:tab w:leader="none" w:pos="1040" w:val="left"/>
        </w:tabs>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u w:val="single" w:color="auto"/>
            <w:color w:val="0000FF"/>
          </w:rPr>
          <w:t>Exhibit 4.59</w:t>
        </w:r>
      </w:hyperlink>
      <w:r>
        <w:rPr>
          <w:rFonts w:ascii="Times New Roman" w:cs="Times New Roman" w:eastAsia="Times New Roman" w:hAnsi="Times New Roman"/>
          <w:sz w:val="18"/>
          <w:szCs w:val="18"/>
          <w:color w:val="0000FF"/>
        </w:rPr>
        <w:tab/>
        <w:t>Collateral Certificate No. 4 (incorporated by reference to Exhibit 4.3 of the current report on Form 8-K filed by WFN Credit Company, LLC, World Financial Network Credit Card Master Note Trust and World Financial Network Credit Card Master Trust on June 24, 2021 (No. 333-60418, 333-113669 and 333-60418-01)).</w:t>
      </w:r>
    </w:p>
    <w:p>
      <w:pPr>
        <w:spacing w:after="0" w:line="68" w:lineRule="exact"/>
        <w:rPr>
          <w:sz w:val="20"/>
          <w:szCs w:val="20"/>
          <w:color w:val="auto"/>
        </w:rPr>
      </w:pPr>
    </w:p>
    <w:p>
      <w:pPr>
        <w:jc w:val="center"/>
        <w:ind w:right="220"/>
        <w:spacing w:after="0" w:line="282" w:lineRule="auto"/>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u w:val="single" w:color="auto"/>
            <w:color w:val="0000FF"/>
          </w:rPr>
          <w:t>Exhibit 4.60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Receivables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Purchase Agreement, dated as of August 1, 2001, between World Financial Network National Bank and WFN 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Company, LLC (incorporated by reference to Exhibit 4.8 of the current report on Form 8-K filed by WFN</w:t>
      </w:r>
    </w:p>
    <w:p>
      <w:pPr>
        <w:sectPr>
          <w:pgSz w:w="11900" w:h="16838" w:orient="portrait"/>
          <w:cols w:equalWidth="0" w:num="1">
            <w:col w:w="10620"/>
          </w:cols>
          <w:pgMar w:left="900" w:top="1417" w:right="379" w:bottom="1440" w:gutter="0" w:footer="0" w:header="0"/>
        </w:sectPr>
      </w:pPr>
    </w:p>
    <w:bookmarkStart w:id="14" w:name="page15"/>
    <w:bookmarkEnd w:id="14"/>
    <w:p>
      <w:pPr>
        <w:ind w:left="1300" w:right="380"/>
        <w:spacing w:after="0" w:line="282" w:lineRule="auto"/>
        <w:rPr>
          <w:sz w:val="20"/>
          <w:szCs w:val="20"/>
          <w:color w:val="auto"/>
        </w:rPr>
      </w:pPr>
      <w:r>
        <w:rPr>
          <w:rFonts w:ascii="Times New Roman" w:cs="Times New Roman" w:eastAsia="Times New Roman" w:hAnsi="Times New Roman"/>
          <w:sz w:val="18"/>
          <w:szCs w:val="18"/>
          <w:color w:val="auto"/>
        </w:rPr>
        <w:t>Credit Company, LLC and World Financial Network Credit Card Master Trust on August 31, 2001 (No. 333-60418 and 333-60418-01)).</w:t>
      </w:r>
    </w:p>
    <w:p>
      <w:pPr>
        <w:spacing w:after="0" w:line="54" w:lineRule="exact"/>
        <w:rPr>
          <w:sz w:val="20"/>
          <w:szCs w:val="20"/>
          <w:color w:val="auto"/>
        </w:rPr>
      </w:pPr>
    </w:p>
    <w:p>
      <w:pPr>
        <w:ind w:left="1060" w:right="120" w:hanging="1295"/>
        <w:spacing w:after="0" w:line="261" w:lineRule="auto"/>
        <w:tabs>
          <w:tab w:leader="none" w:pos="1040" w:val="left"/>
        </w:tabs>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u w:val="single" w:color="auto"/>
            <w:color w:val="0000FF"/>
          </w:rPr>
          <w:t>Exhibit 4.61</w:t>
        </w:r>
      </w:hyperlink>
      <w:r>
        <w:rPr>
          <w:rFonts w:ascii="Times New Roman" w:cs="Times New Roman" w:eastAsia="Times New Roman" w:hAnsi="Times New Roman"/>
          <w:sz w:val="18"/>
          <w:szCs w:val="18"/>
          <w:color w:val="0000FF"/>
        </w:rPr>
        <w:tab/>
        <w:t>First Amendment to Receivables Purchase Agreement, dated as of June 28, 2010, between World Financial Network National Bank and WFN Credit Company, LLC (incorporated by reference to Exhibit 4.3 of the current report on Form 8-K/A filed by WFN Credit Company, LLC and World Financial Network Credit Card Master Note Trust on July 6, 2010 (No. 333-60418 and 333-113669)).</w:t>
      </w:r>
    </w:p>
    <w:p>
      <w:pPr>
        <w:spacing w:after="0" w:line="72" w:lineRule="exact"/>
        <w:rPr>
          <w:sz w:val="20"/>
          <w:szCs w:val="20"/>
          <w:color w:val="auto"/>
        </w:rPr>
      </w:pPr>
    </w:p>
    <w:p>
      <w:pPr>
        <w:ind w:left="1060" w:right="40" w:hanging="1295"/>
        <w:spacing w:after="0" w:line="258" w:lineRule="auto"/>
        <w:tabs>
          <w:tab w:leader="none" w:pos="1040" w:val="left"/>
        </w:tabs>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u w:val="single" w:color="auto"/>
            <w:color w:val="0000FF"/>
          </w:rPr>
          <w:t>Exhibit 4.62</w:t>
        </w:r>
      </w:hyperlink>
      <w:r>
        <w:rPr>
          <w:rFonts w:ascii="Times New Roman" w:cs="Times New Roman" w:eastAsia="Times New Roman" w:hAnsi="Times New Roman"/>
          <w:sz w:val="18"/>
          <w:szCs w:val="18"/>
          <w:color w:val="0000FF"/>
        </w:rPr>
        <w:tab/>
        <w:t>Second Amendment to Receivables Purchase Agreement, dated as of November 9, 2011, between World Financial Network Bank (formerly known as World Financial Network National Bank) and WFN Credit Company, LLC (incorporated by reference to Exhibit 4.2 of the current report on Form 8-K filed by WFN Credit Company, LLC, World Financial Network Credit Card Master Note Trust and World Financial Network Credit Card Master Trust on November 14, 2011 (No. 333-60418, 333-113669 and 333-60418-01)).</w:t>
      </w:r>
    </w:p>
    <w:p>
      <w:pPr>
        <w:spacing w:after="0" w:line="75"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u w:val="single" w:color="auto"/>
            <w:color w:val="0000FF"/>
          </w:rPr>
          <w:t>Exhibit 4.63</w:t>
        </w:r>
      </w:hyperlink>
      <w:r>
        <w:rPr>
          <w:rFonts w:ascii="Times New Roman" w:cs="Times New Roman" w:eastAsia="Times New Roman" w:hAnsi="Times New Roman"/>
          <w:sz w:val="18"/>
          <w:szCs w:val="18"/>
          <w:color w:val="0000FF"/>
        </w:rPr>
        <w:tab/>
        <w:t>Third Amendment to Receivables Purchase Agreement, dated as of July 6, 2016, between Comenity Bank and WFN Credit Company, LLC (incorporated by reference to Exhibit 4.2 of the current report on Form 8-K filed by WFN Credit Company, LLC, World Financial Network Credit Card Master Note Trust and World Financial Network Credit Card Master Trust on July 8, 2016 (No. 333-60418, 333-113669 and 333-60418-01)).</w:t>
      </w:r>
    </w:p>
    <w:p>
      <w:pPr>
        <w:spacing w:after="0" w:line="72"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u w:val="single" w:color="auto"/>
            <w:color w:val="0000FF"/>
          </w:rPr>
          <w:t>Exhibit 4.64</w:t>
        </w:r>
      </w:hyperlink>
      <w:r>
        <w:rPr>
          <w:rFonts w:ascii="Times New Roman" w:cs="Times New Roman" w:eastAsia="Times New Roman" w:hAnsi="Times New Roman"/>
          <w:sz w:val="18"/>
          <w:szCs w:val="18"/>
          <w:color w:val="0000FF"/>
        </w:rPr>
        <w:tab/>
        <w:t>Fourth Amendment to Receivables Purchase Agreement, dated as of June 11, 2020, between Comenity Bank and WFN Credit Company, LLC (incorporated by reference to Exhibit 4.3 of the current report on Form 8-K filed by WFN Credit Company, LLC, World Financial Network Credit Card Master Note Trust and World Financial Network Credit Card Master Trust on June 16, 2020 (No. 333-60418, 333-113669 and 333-60418-01)).</w:t>
      </w:r>
    </w:p>
    <w:p>
      <w:pPr>
        <w:spacing w:after="0" w:line="72" w:lineRule="exact"/>
        <w:rPr>
          <w:sz w:val="20"/>
          <w:szCs w:val="20"/>
          <w:color w:val="auto"/>
        </w:rPr>
      </w:pPr>
    </w:p>
    <w:p>
      <w:pPr>
        <w:ind w:left="1060" w:hanging="1295"/>
        <w:spacing w:after="0" w:line="261" w:lineRule="auto"/>
        <w:tabs>
          <w:tab w:leader="none" w:pos="1040" w:val="left"/>
        </w:tabs>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u w:val="single" w:color="auto"/>
            <w:color w:val="0000FF"/>
          </w:rPr>
          <w:t>Exhibit 4.65</w:t>
        </w:r>
      </w:hyperlink>
      <w:r>
        <w:rPr>
          <w:rFonts w:ascii="Times New Roman" w:cs="Times New Roman" w:eastAsia="Times New Roman" w:hAnsi="Times New Roman"/>
          <w:sz w:val="18"/>
          <w:szCs w:val="18"/>
          <w:color w:val="0000FF"/>
        </w:rPr>
        <w:tab/>
        <w:t>Fifth Amendment to Receivables Purchase Agreement, dated as of April 26, 2024, between Comenity Bank and WFN Credit Company, LLC (incorporated by reference to Exhibit 4.4 of the current report on Form 8-K filed by WFN Credit Company, LLC, World Financial Network Credit Card Master Note Trust and World Financial Network Credit Card Master Trust on April 30, 2024 (No. 333-60418, 333-113669 and 333-60418-01)).</w:t>
      </w:r>
    </w:p>
    <w:p>
      <w:pPr>
        <w:spacing w:after="0" w:line="72" w:lineRule="exact"/>
        <w:rPr>
          <w:sz w:val="20"/>
          <w:szCs w:val="20"/>
          <w:color w:val="auto"/>
        </w:rPr>
      </w:pPr>
    </w:p>
    <w:p>
      <w:pPr>
        <w:ind w:left="1060" w:right="80" w:hanging="1295"/>
        <w:spacing w:after="0" w:line="261" w:lineRule="auto"/>
        <w:tabs>
          <w:tab w:leader="none" w:pos="1040" w:val="left"/>
        </w:tabs>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u w:val="single" w:color="auto"/>
            <w:color w:val="0000FF"/>
          </w:rPr>
          <w:t>Exhibit 4.66</w:t>
        </w:r>
      </w:hyperlink>
      <w:r>
        <w:rPr>
          <w:rFonts w:ascii="Times New Roman" w:cs="Times New Roman" w:eastAsia="Times New Roman" w:hAnsi="Times New Roman"/>
          <w:sz w:val="18"/>
          <w:szCs w:val="18"/>
          <w:color w:val="0000FF"/>
        </w:rPr>
        <w:tab/>
        <w:t>Supplemental Agreement to Receivables Purchase Agreement, dated as of August 9, 2010, between World Financial Network National Bank and WFN Credit Company, LLC (incorporated by reference to Exhibit 4.2 of the current report on Form 8-K filed by WFN Credit Company, LLC and World Financial Network Credit Card Master Note Trust on August 12, 2010 (No. 333-60418 and 333-113669)).</w:t>
      </w:r>
    </w:p>
    <w:p>
      <w:pPr>
        <w:spacing w:after="0" w:line="72" w:lineRule="exact"/>
        <w:rPr>
          <w:sz w:val="20"/>
          <w:szCs w:val="20"/>
          <w:color w:val="auto"/>
        </w:rPr>
      </w:pPr>
    </w:p>
    <w:p>
      <w:pPr>
        <w:ind w:left="1060" w:right="220" w:hanging="1295"/>
        <w:spacing w:after="0" w:line="261" w:lineRule="auto"/>
        <w:tabs>
          <w:tab w:leader="none" w:pos="1040" w:val="left"/>
        </w:tabs>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u w:val="single" w:color="auto"/>
            <w:color w:val="0000FF"/>
          </w:rPr>
          <w:t>Exhibit 4.67</w:t>
        </w:r>
      </w:hyperlink>
      <w:r>
        <w:rPr>
          <w:rFonts w:ascii="Times New Roman" w:cs="Times New Roman" w:eastAsia="Times New Roman" w:hAnsi="Times New Roman"/>
          <w:sz w:val="18"/>
          <w:szCs w:val="18"/>
          <w:color w:val="0000FF"/>
        </w:rPr>
        <w:tab/>
        <w:t>Asset Representations Review Agreement, dated as of July 6, 2016, among Comenity Bank, WFN Credit Company, LLC, World Financial Network Credit Card Master Note Trust and FTI Consulting, Inc. (incorporated by reference to Exhibit 10.1 of the current report on Form 8-K filed by WFN Credit Company, LLC, World Financial Network Credit Card Master Note Trust and World Financial Network Credit Card Master Trust on July 8, 2016 (No. 333-60418, 333-113669 and 333-60418-01)).</w:t>
      </w:r>
    </w:p>
    <w:p>
      <w:pPr>
        <w:spacing w:after="0" w:line="3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0000FF"/>
        </w:rPr>
        <w:t>Exhibit 31.1</w:t>
      </w:r>
      <w:r>
        <w:rPr>
          <w:sz w:val="20"/>
          <w:szCs w:val="20"/>
          <w:color w:val="auto"/>
        </w:rPr>
        <w:tab/>
      </w:r>
      <w:r>
        <w:rPr>
          <w:rFonts w:ascii="Times New Roman" w:cs="Times New Roman" w:eastAsia="Times New Roman" w:hAnsi="Times New Roman"/>
          <w:sz w:val="18"/>
          <w:szCs w:val="18"/>
          <w:color w:val="auto"/>
        </w:rPr>
        <w:t>Certification of Depositor pursuant to Section 302 of the Sarbanes-Oxley Act of 2002.</w:t>
      </w:r>
    </w:p>
    <w:p>
      <w:pPr>
        <w:sectPr>
          <w:pgSz w:w="11900" w:h="16838" w:orient="portrait"/>
          <w:cols w:equalWidth="0" w:num="1">
            <w:col w:w="10660"/>
          </w:cols>
          <w:pgMar w:left="900" w:top="1417" w:right="339" w:bottom="1440" w:gutter="0" w:footer="0" w:header="0"/>
        </w:sectPr>
      </w:pPr>
    </w:p>
    <w:bookmarkStart w:id="15" w:name="page16"/>
    <w:bookmarkEnd w:id="15"/>
    <w:p>
      <w:pPr>
        <w:ind w:left="58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33.1</w:t>
      </w:r>
      <w:r>
        <w:rPr>
          <w:sz w:val="20"/>
          <w:szCs w:val="20"/>
          <w:color w:val="auto"/>
        </w:rPr>
        <w:tab/>
      </w:r>
      <w:r>
        <w:rPr>
          <w:rFonts w:ascii="Times New Roman" w:cs="Times New Roman" w:eastAsia="Times New Roman" w:hAnsi="Times New Roman"/>
          <w:sz w:val="17"/>
          <w:szCs w:val="17"/>
          <w:color w:val="auto"/>
        </w:rPr>
        <w:t>Report on Assessment of Compliance with Servicing Criteria for Asset-Backed Securities of Comenity Bank.</w:t>
      </w:r>
    </w:p>
    <w:p>
      <w:pPr>
        <w:spacing w:after="0" w:line="117" w:lineRule="exact"/>
        <w:rPr>
          <w:sz w:val="20"/>
          <w:szCs w:val="20"/>
          <w:color w:val="auto"/>
        </w:rPr>
      </w:pPr>
    </w:p>
    <w:p>
      <w:pPr>
        <w:ind w:left="58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33.2</w:t>
      </w:r>
      <w:r>
        <w:rPr>
          <w:sz w:val="20"/>
          <w:szCs w:val="20"/>
          <w:color w:val="auto"/>
        </w:rPr>
        <w:tab/>
      </w:r>
      <w:r>
        <w:rPr>
          <w:rFonts w:ascii="Times New Roman" w:cs="Times New Roman" w:eastAsia="Times New Roman" w:hAnsi="Times New Roman"/>
          <w:sz w:val="17"/>
          <w:szCs w:val="17"/>
          <w:color w:val="auto"/>
        </w:rPr>
        <w:t>Report on Assessment of Compliance with Servicing Criteria for Asset-Backed Securities of Comenity Servicing LLC.</w:t>
      </w:r>
    </w:p>
    <w:p>
      <w:pPr>
        <w:spacing w:after="0" w:line="117" w:lineRule="exact"/>
        <w:rPr>
          <w:sz w:val="20"/>
          <w:szCs w:val="20"/>
          <w:color w:val="auto"/>
        </w:rPr>
      </w:pPr>
    </w:p>
    <w:p>
      <w:pPr>
        <w:ind w:left="58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33.3</w:t>
      </w:r>
      <w:r>
        <w:rPr>
          <w:sz w:val="20"/>
          <w:szCs w:val="20"/>
          <w:color w:val="auto"/>
        </w:rPr>
        <w:tab/>
      </w:r>
      <w:r>
        <w:rPr>
          <w:rFonts w:ascii="Times New Roman" w:cs="Times New Roman" w:eastAsia="Times New Roman" w:hAnsi="Times New Roman"/>
          <w:sz w:val="18"/>
          <w:szCs w:val="18"/>
          <w:color w:val="auto"/>
        </w:rPr>
        <w:t>Report on Assessment of Compliance with Servicing Criteria for Asset-Backed Securities of U.S. Bank National Association.</w:t>
      </w:r>
    </w:p>
    <w:p>
      <w:pPr>
        <w:spacing w:after="0" w:line="117" w:lineRule="exact"/>
        <w:rPr>
          <w:sz w:val="20"/>
          <w:szCs w:val="20"/>
          <w:color w:val="auto"/>
        </w:rPr>
      </w:pPr>
    </w:p>
    <w:p>
      <w:pPr>
        <w:ind w:left="1640" w:hanging="1295"/>
        <w:spacing w:after="0" w:line="282" w:lineRule="auto"/>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34.1</w:t>
      </w:r>
      <w:r>
        <w:rPr>
          <w:sz w:val="20"/>
          <w:szCs w:val="20"/>
          <w:color w:val="auto"/>
        </w:rPr>
        <w:tab/>
      </w:r>
      <w:r>
        <w:rPr>
          <w:rFonts w:ascii="Times New Roman" w:cs="Times New Roman" w:eastAsia="Times New Roman" w:hAnsi="Times New Roman"/>
          <w:sz w:val="18"/>
          <w:szCs w:val="18"/>
          <w:color w:val="auto"/>
        </w:rPr>
        <w:t>Attestation Report on Assessment of Compliance with Servicing Criteria for Asset-Backed Securities of Deloitte &amp; Touche LLP on behalf of Comenity Bank.</w:t>
      </w:r>
    </w:p>
    <w:p>
      <w:pPr>
        <w:spacing w:after="0" w:line="54" w:lineRule="exact"/>
        <w:rPr>
          <w:sz w:val="20"/>
          <w:szCs w:val="20"/>
          <w:color w:val="auto"/>
        </w:rPr>
      </w:pPr>
    </w:p>
    <w:p>
      <w:pPr>
        <w:ind w:left="1640" w:hanging="1295"/>
        <w:spacing w:after="0" w:line="282" w:lineRule="auto"/>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34.2</w:t>
      </w:r>
      <w:r>
        <w:rPr>
          <w:sz w:val="20"/>
          <w:szCs w:val="20"/>
          <w:color w:val="auto"/>
        </w:rPr>
        <w:tab/>
      </w:r>
      <w:r>
        <w:rPr>
          <w:rFonts w:ascii="Times New Roman" w:cs="Times New Roman" w:eastAsia="Times New Roman" w:hAnsi="Times New Roman"/>
          <w:sz w:val="18"/>
          <w:szCs w:val="18"/>
          <w:color w:val="auto"/>
        </w:rPr>
        <w:t>Attestation Report on Assessment of Compliance with Servicing Criteria for Asset-Backed Securities of Deloitte &amp; Touche LLP on behalf of Comenity Servicing LLC.</w:t>
      </w:r>
    </w:p>
    <w:p>
      <w:pPr>
        <w:spacing w:after="0" w:line="54" w:lineRule="exact"/>
        <w:rPr>
          <w:sz w:val="20"/>
          <w:szCs w:val="20"/>
          <w:color w:val="auto"/>
        </w:rPr>
      </w:pPr>
    </w:p>
    <w:p>
      <w:pPr>
        <w:ind w:left="1640" w:right="260" w:hanging="1295"/>
        <w:spacing w:after="0" w:line="282" w:lineRule="auto"/>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34.3</w:t>
      </w:r>
      <w:r>
        <w:rPr>
          <w:sz w:val="20"/>
          <w:szCs w:val="20"/>
          <w:color w:val="auto"/>
        </w:rPr>
        <w:tab/>
      </w:r>
      <w:r>
        <w:rPr>
          <w:rFonts w:ascii="Times New Roman" w:cs="Times New Roman" w:eastAsia="Times New Roman" w:hAnsi="Times New Roman"/>
          <w:sz w:val="18"/>
          <w:szCs w:val="18"/>
          <w:color w:val="auto"/>
        </w:rPr>
        <w:t>Attestation Report on Assessment of Compliance with Servicing Criteria for Asset-Backed Securities of Ernst &amp; Young LLP on behalf of U.S. Bank National Association.</w:t>
      </w:r>
    </w:p>
    <w:p>
      <w:pPr>
        <w:spacing w:after="0" w:line="54" w:lineRule="exact"/>
        <w:rPr>
          <w:sz w:val="20"/>
          <w:szCs w:val="20"/>
          <w:color w:val="auto"/>
        </w:rPr>
      </w:pPr>
    </w:p>
    <w:p>
      <w:pPr>
        <w:ind w:left="58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35.1</w:t>
      </w:r>
      <w:r>
        <w:rPr>
          <w:sz w:val="20"/>
          <w:szCs w:val="20"/>
          <w:color w:val="auto"/>
        </w:rPr>
        <w:tab/>
      </w:r>
      <w:r>
        <w:rPr>
          <w:rFonts w:ascii="Times New Roman" w:cs="Times New Roman" w:eastAsia="Times New Roman" w:hAnsi="Times New Roman"/>
          <w:sz w:val="18"/>
          <w:szCs w:val="18"/>
          <w:color w:val="auto"/>
        </w:rPr>
        <w:t>Servicing Compliance Statement of Comenity Bank.</w:t>
      </w:r>
    </w:p>
    <w:p>
      <w:pPr>
        <w:spacing w:after="0" w:line="117" w:lineRule="exact"/>
        <w:rPr>
          <w:sz w:val="20"/>
          <w:szCs w:val="20"/>
          <w:color w:val="auto"/>
        </w:rPr>
      </w:pPr>
    </w:p>
    <w:p>
      <w:pPr>
        <w:ind w:left="58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0000FF"/>
        </w:rPr>
        <w:t>Exhibit 35.2</w:t>
      </w:r>
      <w:r>
        <w:rPr>
          <w:sz w:val="20"/>
          <w:szCs w:val="20"/>
          <w:color w:val="auto"/>
        </w:rPr>
        <w:tab/>
      </w:r>
      <w:r>
        <w:rPr>
          <w:rFonts w:ascii="Times New Roman" w:cs="Times New Roman" w:eastAsia="Times New Roman" w:hAnsi="Times New Roman"/>
          <w:sz w:val="17"/>
          <w:szCs w:val="17"/>
          <w:color w:val="auto"/>
        </w:rPr>
        <w:t>Servicing Compliance Statement of Comenity Servicing LLC.</w:t>
      </w:r>
    </w:p>
    <w:p>
      <w:pPr>
        <w:spacing w:after="0" w:line="347" w:lineRule="exact"/>
        <w:rPr>
          <w:sz w:val="20"/>
          <w:szCs w:val="20"/>
          <w:color w:val="auto"/>
        </w:rPr>
      </w:pPr>
    </w:p>
    <w:p>
      <w:pPr>
        <w:ind w:left="580" w:hanging="39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(a)(3) above for a list of exhibits filed in response to Item 601 of Regulation S-K.</w:t>
      </w:r>
    </w:p>
    <w:p>
      <w:pPr>
        <w:spacing w:after="0" w:line="211" w:lineRule="exact"/>
        <w:rPr>
          <w:rFonts w:ascii="Times New Roman" w:cs="Times New Roman" w:eastAsia="Times New Roman" w:hAnsi="Times New Roman"/>
          <w:sz w:val="18"/>
          <w:szCs w:val="18"/>
          <w:color w:val="auto"/>
        </w:rPr>
      </w:pPr>
    </w:p>
    <w:p>
      <w:pPr>
        <w:ind w:left="560" w:hanging="372"/>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00"/>
          </w:cols>
          <w:pgMar w:left="320" w:top="1417" w:right="479" w:bottom="1440" w:gutter="0" w:footer="0" w:header="0"/>
        </w:sectPr>
      </w:pPr>
    </w:p>
    <w:bookmarkStart w:id="16" w:name="page17"/>
    <w:bookmarkEnd w:id="1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00" w:lineRule="exact"/>
        <w:rPr>
          <w:sz w:val="20"/>
          <w:szCs w:val="20"/>
          <w:color w:val="auto"/>
        </w:rPr>
      </w:pPr>
    </w:p>
    <w:p>
      <w:pPr>
        <w:spacing w:after="0" w:line="30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WFN CREDIT COMPANY, LLC, as Depositor</w:t>
      </w:r>
    </w:p>
    <w:p>
      <w:pPr>
        <w:spacing w:after="0" w:line="200" w:lineRule="exact"/>
        <w:rPr>
          <w:sz w:val="20"/>
          <w:szCs w:val="20"/>
          <w:color w:val="auto"/>
        </w:rPr>
      </w:pPr>
    </w:p>
    <w:p>
      <w:pPr>
        <w:spacing w:after="0" w:line="3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Baron Schlachter</w:t>
      </w:r>
    </w:p>
    <w:p>
      <w:pPr>
        <w:spacing w:after="0" w:line="25" w:lineRule="exact"/>
        <w:rPr>
          <w:sz w:val="20"/>
          <w:szCs w:val="20"/>
          <w:color w:val="auto"/>
        </w:rPr>
      </w:pPr>
    </w:p>
    <w:p>
      <w:pPr>
        <w:ind w:left="5320"/>
        <w:spacing w:after="0"/>
        <w:tabs>
          <w:tab w:leader="none" w:pos="6000" w:val="left"/>
        </w:tabs>
        <w:rPr>
          <w:sz w:val="20"/>
          <w:szCs w:val="20"/>
          <w:color w:val="auto"/>
        </w:rPr>
      </w:pPr>
      <w:r>
        <w:rPr>
          <w:rFonts w:ascii="Times New Roman" w:cs="Times New Roman" w:eastAsia="Times New Roman" w:hAnsi="Times New Roman"/>
          <w:sz w:val="18"/>
          <w:szCs w:val="18"/>
          <w:color w:val="auto"/>
        </w:rPr>
        <w:t>Name:</w:t>
        <w:tab/>
        <w:t>Baron Schlachter</w:t>
      </w:r>
    </w:p>
    <w:p>
      <w:pPr>
        <w:ind w:left="5920" w:right="80" w:hanging="691"/>
        <w:spacing w:after="0" w:line="226" w:lineRule="auto"/>
        <w:tabs>
          <w:tab w:leader="none" w:pos="5900" w:val="left"/>
        </w:tabs>
        <w:rPr>
          <w:sz w:val="20"/>
          <w:szCs w:val="20"/>
          <w:color w:val="auto"/>
        </w:rPr>
      </w:pPr>
      <w:r>
        <w:rPr>
          <w:rFonts w:ascii="Times New Roman" w:cs="Times New Roman" w:eastAsia="Times New Roman" w:hAnsi="Times New Roman"/>
          <w:sz w:val="18"/>
          <w:szCs w:val="18"/>
          <w:color w:val="auto"/>
        </w:rPr>
        <w:t>Title:</w:t>
        <w:tab/>
        <w:t>President &amp; Chief Executive Officer, and as the senior officer in charge of securitization</w:t>
      </w:r>
    </w:p>
    <w:p>
      <w:pPr>
        <w:spacing w:after="0" w:line="200" w:lineRule="exact"/>
        <w:rPr>
          <w:sz w:val="20"/>
          <w:szCs w:val="20"/>
          <w:color w:val="auto"/>
        </w:rPr>
      </w:pPr>
    </w:p>
    <w:p>
      <w:pPr>
        <w:spacing w:after="0" w:line="31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99"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No annual report or proxy materials have been sent to security holders and no such report or proxy materials are to be furnished to security holders subsequent to the filing of this Annual Report on Form 10-K.</w:t>
      </w:r>
    </w:p>
    <w:p>
      <w:pPr>
        <w:sectPr>
          <w:pgSz w:w="11900" w:h="16838" w:orient="portrait"/>
          <w:cols w:equalWidth="0" w:num="1">
            <w:col w:w="11140"/>
          </w:cols>
          <w:pgMar w:left="320" w:top="1400"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Baron Schlachter, President and Chief Executive Officer of WFN Credit Company, LLC, certify that:</w:t>
      </w:r>
    </w:p>
    <w:p>
      <w:pPr>
        <w:spacing w:after="0" w:line="252" w:lineRule="exact"/>
        <w:rPr>
          <w:sz w:val="20"/>
          <w:szCs w:val="20"/>
          <w:color w:val="auto"/>
        </w:rPr>
      </w:pPr>
    </w:p>
    <w:p>
      <w:pPr>
        <w:ind w:right="40" w:firstLine="8"/>
        <w:spacing w:after="0" w:line="28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and all reports on Form 10-D required to be filed in respect of the period covered by this report on Form 10-K of World Financial Network Credit Card Master Note Trust (the “Exchange Act periodic reports”);</w:t>
      </w:r>
    </w:p>
    <w:p>
      <w:pPr>
        <w:spacing w:after="0" w:line="188" w:lineRule="exact"/>
        <w:rPr>
          <w:rFonts w:ascii="Times New Roman" w:cs="Times New Roman" w:eastAsia="Times New Roman" w:hAnsi="Times New Roman"/>
          <w:sz w:val="18"/>
          <w:szCs w:val="18"/>
          <w:color w:val="auto"/>
        </w:rPr>
      </w:pPr>
    </w:p>
    <w:p>
      <w:pPr>
        <w:jc w:val="both"/>
        <w:ind w:right="120" w:firstLine="8"/>
        <w:spacing w:after="0" w:line="266"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80" w:firstLine="8"/>
        <w:spacing w:after="0" w:line="28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all of the distribution, servicing and other information required to be provided under Form 10-D for the period covered by this report is included in the Exchange Act periodic reports;</w:t>
      </w:r>
    </w:p>
    <w:p>
      <w:pPr>
        <w:spacing w:after="0" w:line="188" w:lineRule="exact"/>
        <w:rPr>
          <w:rFonts w:ascii="Times New Roman" w:cs="Times New Roman" w:eastAsia="Times New Roman" w:hAnsi="Times New Roman"/>
          <w:sz w:val="18"/>
          <w:szCs w:val="18"/>
          <w:color w:val="auto"/>
        </w:rPr>
      </w:pPr>
    </w:p>
    <w:p>
      <w:pPr>
        <w:ind w:right="160" w:firstLine="8"/>
        <w:spacing w:after="0" w:line="28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and the servicer compliance statements required in this report under Item 1123 of Regulation AB, and except as disclosed in the Exchange Act periodic reports, the servicers have fulfilled their obligations under the servicing agreements in all material respects; and</w:t>
      </w:r>
    </w:p>
    <w:p>
      <w:pPr>
        <w:spacing w:after="0" w:line="188" w:lineRule="exact"/>
        <w:rPr>
          <w:rFonts w:ascii="Times New Roman" w:cs="Times New Roman" w:eastAsia="Times New Roman" w:hAnsi="Times New Roman"/>
          <w:sz w:val="18"/>
          <w:szCs w:val="18"/>
          <w:color w:val="auto"/>
        </w:rPr>
      </w:pPr>
    </w:p>
    <w:p>
      <w:pPr>
        <w:ind w:right="40" w:firstLine="8"/>
        <w:spacing w:after="0" w:line="261"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15d- 18 have been included as an exhibit to this report, except as otherwise disclosed in this report. Any material instances of noncompliance described in such reports have been disclosed in this report on Form 10-K.</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giving the certifications above, I have reasonably relied on information provided to me by the following unaffiliated parties: U.S. Bank National Association, and Citicorp Trust Delaware, National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Baron Schlachter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Baron Schlachter</w:t>
      </w:r>
    </w:p>
    <w:p>
      <w:pPr>
        <w:spacing w:after="0" w:line="9" w:lineRule="exact"/>
        <w:rPr>
          <w:sz w:val="20"/>
          <w:szCs w:val="20"/>
          <w:color w:val="auto"/>
        </w:rPr>
      </w:pPr>
    </w:p>
    <w:p>
      <w:pPr>
        <w:ind w:left="3900" w:right="260"/>
        <w:spacing w:after="0" w:line="260" w:lineRule="auto"/>
        <w:rPr>
          <w:sz w:val="20"/>
          <w:szCs w:val="20"/>
          <w:color w:val="auto"/>
        </w:rPr>
      </w:pPr>
      <w:r>
        <w:rPr>
          <w:rFonts w:ascii="Times New Roman" w:cs="Times New Roman" w:eastAsia="Times New Roman" w:hAnsi="Times New Roman"/>
          <w:sz w:val="18"/>
          <w:szCs w:val="18"/>
          <w:color w:val="auto"/>
        </w:rPr>
        <w:t>Title: President and Chief Executive Officer, and as the senior officer in charge of securitization of the depositor</w:t>
      </w:r>
    </w:p>
    <w:p>
      <w:pPr>
        <w:sectPr>
          <w:pgSz w:w="11900" w:h="16838" w:orient="portrait"/>
          <w:cols w:equalWidth="0" w:num="1">
            <w:col w:w="11240"/>
          </w:cols>
          <w:pgMar w:left="320" w:top="1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COMENITY BANK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Management’s Report on Assessment of Compliance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with SEC Regulation AB Servicing Criteria</w:t>
      </w:r>
    </w:p>
    <w:p>
      <w:pPr>
        <w:spacing w:after="0" w:line="196" w:lineRule="exact"/>
        <w:rPr>
          <w:sz w:val="20"/>
          <w:szCs w:val="20"/>
          <w:color w:val="auto"/>
        </w:rPr>
      </w:pPr>
    </w:p>
    <w:p>
      <w:pPr>
        <w:ind w:left="660" w:right="40" w:hanging="652"/>
        <w:spacing w:after="0" w:line="253" w:lineRule="auto"/>
        <w:tabs>
          <w:tab w:leader="none" w:pos="39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of Comenity Bank (the “Bank”) is responsible for assessing compliance with the servicing criteria applicable to it under paragraph (d) of Item 1122 of Regulation AB, as of and for the 12-month period ending December 31, 2025 (the “Reporting Period”), as set forth in Appendix A hereto. Appendix B identifies the transactions covered by this report and includes asset-backed securities transactions sponsored by the Bank for which the Bank acted as servicer involving credit card receivables, accounts receivable and asset based lending receivables (the “Platform”);</w:t>
      </w:r>
    </w:p>
    <w:p>
      <w:pPr>
        <w:spacing w:after="0" w:line="178" w:lineRule="exact"/>
        <w:rPr>
          <w:rFonts w:ascii="Times New Roman" w:cs="Times New Roman" w:eastAsia="Times New Roman" w:hAnsi="Times New Roman"/>
          <w:sz w:val="22"/>
          <w:szCs w:val="22"/>
          <w:color w:val="auto"/>
        </w:rPr>
      </w:pPr>
    </w:p>
    <w:p>
      <w:pPr>
        <w:ind w:left="660" w:right="100" w:hanging="652"/>
        <w:spacing w:after="0" w:line="271" w:lineRule="auto"/>
        <w:tabs>
          <w:tab w:leader="none" w:pos="39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paragraph 3 below, the Bank used the criteria set forth in paragraph (d) of Item 1122 of Regulation AB to assess the compliance with the applicable servicing criteria;</w:t>
      </w:r>
    </w:p>
    <w:p>
      <w:pPr>
        <w:spacing w:after="0" w:line="171" w:lineRule="exact"/>
        <w:rPr>
          <w:rFonts w:ascii="Times New Roman" w:cs="Times New Roman" w:eastAsia="Times New Roman" w:hAnsi="Times New Roman"/>
          <w:sz w:val="22"/>
          <w:szCs w:val="22"/>
          <w:color w:val="auto"/>
        </w:rPr>
      </w:pPr>
    </w:p>
    <w:p>
      <w:pPr>
        <w:ind w:left="660" w:right="220" w:hanging="652"/>
        <w:spacing w:after="0" w:line="271" w:lineRule="auto"/>
        <w:tabs>
          <w:tab w:leader="none" w:pos="3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criteria listed in the column titled “Inapplicable Servicing Criteria” on Appendix A hereto are inapplicable to the Bank based on the activities it performs with respect to the Platform;</w:t>
      </w:r>
    </w:p>
    <w:p>
      <w:pPr>
        <w:spacing w:after="0" w:line="157" w:lineRule="exact"/>
        <w:rPr>
          <w:rFonts w:ascii="Times New Roman" w:cs="Times New Roman" w:eastAsia="Times New Roman" w:hAnsi="Times New Roman"/>
          <w:sz w:val="22"/>
          <w:szCs w:val="22"/>
          <w:color w:val="auto"/>
        </w:rPr>
      </w:pPr>
    </w:p>
    <w:p>
      <w:pPr>
        <w:ind w:left="660" w:right="280" w:hanging="652"/>
        <w:spacing w:after="0" w:line="271" w:lineRule="auto"/>
        <w:tabs>
          <w:tab w:leader="none" w:pos="3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has complied, in all material respects, with the applicable servicing criteria as of December 31, 2025 and for the Reporting Period with respect to the Platform taken as a whole;</w:t>
      </w:r>
    </w:p>
    <w:p>
      <w:pPr>
        <w:spacing w:after="0" w:line="157" w:lineRule="exact"/>
        <w:rPr>
          <w:rFonts w:ascii="Times New Roman" w:cs="Times New Roman" w:eastAsia="Times New Roman" w:hAnsi="Times New Roman"/>
          <w:sz w:val="22"/>
          <w:szCs w:val="22"/>
          <w:color w:val="auto"/>
        </w:rPr>
      </w:pPr>
    </w:p>
    <w:p>
      <w:pPr>
        <w:ind w:left="660" w:right="60" w:hanging="652"/>
        <w:spacing w:after="0" w:line="271" w:lineRule="auto"/>
        <w:tabs>
          <w:tab w:leader="none" w:pos="3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has not identified and is not aware of any material instance of noncompliance with the applicable servicing criteria as of December 31, 2025 and for the Reporting Period with respect to the Platform taken as a whole;</w:t>
      </w:r>
    </w:p>
    <w:p>
      <w:pPr>
        <w:spacing w:after="0" w:line="171" w:lineRule="exact"/>
        <w:rPr>
          <w:rFonts w:ascii="Times New Roman" w:cs="Times New Roman" w:eastAsia="Times New Roman" w:hAnsi="Times New Roman"/>
          <w:sz w:val="22"/>
          <w:szCs w:val="22"/>
          <w:color w:val="auto"/>
        </w:rPr>
      </w:pPr>
    </w:p>
    <w:p>
      <w:pPr>
        <w:ind w:left="660" w:right="460" w:hanging="652"/>
        <w:spacing w:after="0" w:line="295" w:lineRule="auto"/>
        <w:tabs>
          <w:tab w:leader="none" w:pos="39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Deloitte &amp; Touche LLP, a registered public accounting firm, has issued an attestation report on the Bank’s assessment of compliance with the applicable servicing criteria as of December 31, 2025 and for the Reporting Period.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19, 2026</w:t>
      </w:r>
    </w:p>
    <w:p>
      <w:pPr>
        <w:sectPr>
          <w:pgSz w:w="11900" w:h="16838" w:orient="portrait"/>
          <w:cols w:equalWidth="0" w:num="1">
            <w:col w:w="11240"/>
          </w:cols>
          <w:pgMar w:left="320" w:top="94"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COMENITY BANK</w:t>
      </w:r>
    </w:p>
    <w:p>
      <w:pPr>
        <w:spacing w:after="0" w:line="200" w:lineRule="exact"/>
        <w:rPr>
          <w:sz w:val="20"/>
          <w:szCs w:val="20"/>
          <w:color w:val="auto"/>
        </w:rPr>
      </w:pPr>
    </w:p>
    <w:p>
      <w:pPr>
        <w:spacing w:after="0" w:line="29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Tom McGuire</w:t>
      </w:r>
    </w:p>
    <w:p>
      <w:pPr>
        <w:spacing w:after="0" w:line="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Tom McGuire</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Title: Chief Financial Officer</w:t>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APPENDIX A</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700" w:type="dxa"/>
            <w:vAlign w:val="bottom"/>
            <w:tcBorders>
              <w:top w:val="single" w:sz="8" w:color="auto"/>
              <w:left w:val="single" w:sz="8" w:color="auto"/>
            </w:tcBorders>
          </w:tcPr>
          <w:p>
            <w:pPr>
              <w:spacing w:after="0"/>
              <w:rPr>
                <w:sz w:val="14"/>
                <w:szCs w:val="14"/>
                <w:color w:val="auto"/>
              </w:rPr>
            </w:pPr>
          </w:p>
        </w:tc>
        <w:tc>
          <w:tcPr>
            <w:tcW w:w="5000" w:type="dxa"/>
            <w:vAlign w:val="bottom"/>
            <w:tcBorders>
              <w:top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640" w:type="dxa"/>
            <w:vAlign w:val="bottom"/>
            <w:tcBorders>
              <w:top w:val="single" w:sz="8" w:color="auto"/>
              <w:right w:val="single" w:sz="8" w:color="auto"/>
            </w:tcBorders>
            <w:gridSpan w:val="2"/>
          </w:tcPr>
          <w:p>
            <w:pPr>
              <w:ind w:left="780"/>
              <w:spacing w:after="0" w:line="171" w:lineRule="exact"/>
              <w:rPr>
                <w:sz w:val="20"/>
                <w:szCs w:val="20"/>
                <w:color w:val="auto"/>
              </w:rPr>
            </w:pPr>
            <w:r>
              <w:rPr>
                <w:rFonts w:ascii="Times New Roman" w:cs="Times New Roman" w:eastAsia="Times New Roman" w:hAnsi="Times New Roman"/>
                <w:sz w:val="16"/>
                <w:szCs w:val="16"/>
                <w:b w:val="1"/>
                <w:bCs w:val="1"/>
                <w:color w:val="auto"/>
              </w:rPr>
              <w:t>APPLICABLE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vMerge w:val="continue"/>
          </w:tcPr>
          <w:p>
            <w:pPr>
              <w:spacing w:after="0"/>
              <w:rPr>
                <w:sz w:val="19"/>
                <w:szCs w:val="19"/>
                <w:color w:val="auto"/>
              </w:rPr>
            </w:pPr>
          </w:p>
        </w:tc>
        <w:tc>
          <w:tcPr>
            <w:tcW w:w="2640" w:type="dxa"/>
            <w:vAlign w:val="bottom"/>
            <w:tcBorders>
              <w:bottom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Performed</w:t>
            </w:r>
          </w:p>
        </w:tc>
        <w:tc>
          <w:tcPr>
            <w:tcW w:w="13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 Bank</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is the</w:t>
            </w: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5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4"/>
              </w:rPr>
              <w:t>by</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1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5000" w:type="dxa"/>
            <w:vAlign w:val="bottom"/>
            <w:tcBorders>
              <w:bottom w:val="single" w:sz="8" w:color="auto"/>
              <w:right w:val="single" w:sz="8" w:color="auto"/>
            </w:tcBorders>
            <w:vMerge w:val="continue"/>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Bank</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0" w:type="dxa"/>
            <w:vAlign w:val="bottom"/>
          </w:tcPr>
          <w:p>
            <w:pPr>
              <w:spacing w:after="0"/>
              <w:rPr>
                <w:sz w:val="1"/>
                <w:szCs w:val="1"/>
                <w:color w:val="auto"/>
              </w:rPr>
            </w:pPr>
          </w:p>
        </w:tc>
      </w:tr>
      <w:tr>
        <w:trPr>
          <w:trHeight w:val="236"/>
        </w:trPr>
        <w:tc>
          <w:tcPr>
            <w:tcW w:w="1700" w:type="dxa"/>
            <w:vAlign w:val="bottom"/>
            <w:tcBorders>
              <w:left w:val="single" w:sz="8" w:color="auto"/>
              <w:bottom w:val="single" w:sz="8" w:color="auto"/>
            </w:tcBorders>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General Servicing Considerations</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Policies and procedures are instituted to monitor any performance or other triggers</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and events of default in accordance with the transaction agreements.</w:t>
            </w: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If any material servicing activities are outsourced to third parties, policies and</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procedures are instituted to monitor the third party’s performance and compliance</w:t>
            </w: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with such servicing activities.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Any requirements in the transaction agreements to maintain a back-up servicer for</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pool assets are maintained.</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 fidelity bond and errors and omissions policy is in effect on the party participating</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in the servicing function throughout the reporting period in the amount of coverage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1122(d)(1)(iv)</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required by and otherwise in accordance with the terms of the transaction</w:t>
            </w: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1122(d)(1)(v)</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Aggregation of information, as applicable, is mathematically accurate and the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information conveyed accurately reflects the information.</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Borders>
              <w:left w:val="single" w:sz="8" w:color="auto"/>
              <w:bottom w:val="single" w:sz="8" w:color="auto"/>
            </w:tcBorders>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 Collection and Administration</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Payments on pool assets are deposited into the appropriate custodial bank accounts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and related bank clearing accounts no more than two business days of receipt, or</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such other number of days specified in the transaction 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Disbursements made via wire transfer on behalf of an obligor or to an investor are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made only by authorized personnel.</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Advances of funds or guarantees regarding collections, cash flows or distributions,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and any interest or other fees charged for such advances, are made, reviewed and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approved as specified in the transaction 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The related accounts for the transaction, such as cash reserve accounts or accounts</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1122(d)(2)(iv)</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established as a form of overcollateralization, are separately maintained (e.g., with</w:t>
            </w: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respect to commingling of cash) as set forth in the transaction 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Each custodial account is maintained at a federally insured depository institution as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set forth in the transaction agreements. For purposes of this criterion, “federally</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Borders>
              <w:left w:val="single" w:sz="8" w:color="auto"/>
              <w:right w:val="single" w:sz="8" w:color="auto"/>
            </w:tcBorders>
          </w:tcPr>
          <w:p>
            <w:pPr>
              <w:spacing w:after="0"/>
              <w:rPr>
                <w:sz w:val="13"/>
                <w:szCs w:val="13"/>
                <w:color w:val="auto"/>
              </w:rPr>
            </w:pPr>
          </w:p>
        </w:tc>
        <w:tc>
          <w:tcPr>
            <w:tcW w:w="500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insured depository institution” with respect to a foreign financial institution means a</w:t>
            </w:r>
          </w:p>
        </w:tc>
        <w:tc>
          <w:tcPr>
            <w:tcW w:w="132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1122(d)(2)(v)</w:t>
            </w:r>
          </w:p>
        </w:tc>
        <w:tc>
          <w:tcPr>
            <w:tcW w:w="5000" w:type="dxa"/>
            <w:vAlign w:val="bottom"/>
            <w:tcBorders>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foreign financial institution that meets the requirements of Rule 13k-1(b)(1) of the</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Securities Exchange Act.</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1122(d)(2)(vi)</w:t>
            </w:r>
          </w:p>
        </w:tc>
        <w:tc>
          <w:tcPr>
            <w:tcW w:w="5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Unissued checks are safeguarded so as to prevent unauthorized access.</w:t>
            </w: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1" w:name="page22"/>
    <w:bookmarkEnd w:id="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00" w:type="dxa"/>
            <w:vAlign w:val="bottom"/>
            <w:tcBorders>
              <w:top w:val="single" w:sz="8" w:color="auto"/>
              <w:left w:val="single" w:sz="8" w:color="auto"/>
            </w:tcBorders>
          </w:tcPr>
          <w:p>
            <w:pPr>
              <w:spacing w:after="0"/>
              <w:rPr>
                <w:sz w:val="16"/>
                <w:szCs w:val="16"/>
                <w:color w:val="auto"/>
              </w:rPr>
            </w:pPr>
          </w:p>
        </w:tc>
        <w:tc>
          <w:tcPr>
            <w:tcW w:w="5000" w:type="dxa"/>
            <w:vAlign w:val="bottom"/>
            <w:tcBorders>
              <w:top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640" w:type="dxa"/>
            <w:vAlign w:val="bottom"/>
            <w:tcBorders>
              <w:top w:val="single" w:sz="8" w:color="auto"/>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vMerge w:val="continue"/>
          </w:tcPr>
          <w:p>
            <w:pPr>
              <w:spacing w:after="0"/>
              <w:rPr>
                <w:sz w:val="19"/>
                <w:szCs w:val="19"/>
                <w:color w:val="auto"/>
              </w:rPr>
            </w:pPr>
          </w:p>
        </w:tc>
        <w:tc>
          <w:tcPr>
            <w:tcW w:w="2640" w:type="dxa"/>
            <w:vAlign w:val="bottom"/>
            <w:tcBorders>
              <w:bottom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Performed</w:t>
            </w:r>
          </w:p>
        </w:tc>
        <w:tc>
          <w:tcPr>
            <w:tcW w:w="13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 Bank</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is the</w:t>
            </w: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5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4"/>
              </w:rPr>
              <w:t>by</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1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5000" w:type="dxa"/>
            <w:vAlign w:val="bottom"/>
            <w:tcBorders>
              <w:bottom w:val="single" w:sz="8" w:color="auto"/>
              <w:right w:val="single" w:sz="8" w:color="auto"/>
            </w:tcBorders>
            <w:vMerge w:val="continue"/>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Bank</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Reconciliations are prepared on a monthly basis for all asset-backed securities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related bank accounts, including custodial accounts and related bank clearing</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accounts. These reconciliations are (A) mathematically accurate; (B) prepared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within 30 calendar days after the bank statement cutoff date, or such other number of</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51"/>
        </w:trPr>
        <w:tc>
          <w:tcPr>
            <w:tcW w:w="1700" w:type="dxa"/>
            <w:vAlign w:val="bottom"/>
            <w:tcBorders>
              <w:left w:val="single" w:sz="8" w:color="auto"/>
              <w:right w:val="single" w:sz="8" w:color="auto"/>
            </w:tcBorders>
          </w:tcPr>
          <w:p>
            <w:pPr>
              <w:spacing w:after="0"/>
              <w:rPr>
                <w:sz w:val="13"/>
                <w:szCs w:val="13"/>
                <w:color w:val="auto"/>
              </w:rPr>
            </w:pPr>
          </w:p>
        </w:tc>
        <w:tc>
          <w:tcPr>
            <w:tcW w:w="5000" w:type="dxa"/>
            <w:vAlign w:val="bottom"/>
            <w:tcBorders>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color w:val="auto"/>
              </w:rPr>
              <w:t>days specified in the transaction agreements; (C) reviewed and approved by</w:t>
            </w:r>
          </w:p>
        </w:tc>
        <w:tc>
          <w:tcPr>
            <w:tcW w:w="13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tcPr>
          <w:p>
            <w:pPr>
              <w:spacing w:after="0"/>
              <w:rPr>
                <w:sz w:val="11"/>
                <w:szCs w:val="11"/>
                <w:color w:val="auto"/>
              </w:rPr>
            </w:pPr>
          </w:p>
        </w:tc>
        <w:tc>
          <w:tcPr>
            <w:tcW w:w="5000" w:type="dxa"/>
            <w:vAlign w:val="bottom"/>
            <w:tcBorders>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someone other than the person who prepared the reconciliation; and (D) contain</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explanations for reconciling items. These reconciling items are resolved within 90</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1122(d)(2)(vii)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calendar days of their original identification, or such other number of days specified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the transaction 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Investor Remittances and Reporting</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Reports to investors, including those to be filed with the Commission, are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maintained in accordance with the transaction agreements and applicable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Commission requirements. Specifically, such reports (A) are prepared in accordance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with timeframes and other terms set forth in the transaction agreements; (B) provide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information calculated in accordance with the terms specified in the transaction</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agreements; (C) are filed with the Commission as required by its rules and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w:t>
            </w:r>
          </w:p>
        </w:tc>
        <w:tc>
          <w:tcPr>
            <w:tcW w:w="5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regulations; and (D) agree with investors’ or the trustee’s records as to the total</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unpaid principal balance and number of pool assets serviced by the Servicer.</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Amounts due to investors are allocated and remitted in accordance with timeframes,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distribution priority and other terms set forth in the transaction agreements.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Disbursements made to an investor are posted within two business days to the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Servicer’s investor records, or such other number of days specified in the transaction</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1122(d)(3)(iv)</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Amounts remitted to investors per the investor reports agree with cancelled checks,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 other form of payment, or custodial bank statements.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Pool Asset Administration</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Collateral or security on pool assets is maintained as required by the transaction</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 or related pool asset loan documents.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Pool asset and related documents are safeguarded as required by the transaction</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w:t>
            </w:r>
          </w:p>
        </w:tc>
        <w:tc>
          <w:tcPr>
            <w:tcW w:w="1320" w:type="dxa"/>
            <w:vAlign w:val="bottom"/>
            <w:tcBorders>
              <w:bottom w:val="single" w:sz="8" w:color="auto"/>
              <w:right w:val="single" w:sz="8" w:color="auto"/>
            </w:tcBorders>
            <w:vMerge w:val="continue"/>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Any additions, removals or substitutions to the asset pool are made, reviewed and</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approved in accordance with any conditions or requirements in the transaction</w:t>
            </w: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Payments on pool assets, including any payoffs, made in accordance with the related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pool asset documents are posted to the Servicer’s obligor records maintained no</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55"/>
        </w:trPr>
        <w:tc>
          <w:tcPr>
            <w:tcW w:w="1700" w:type="dxa"/>
            <w:vAlign w:val="bottom"/>
            <w:tcBorders>
              <w:left w:val="single" w:sz="8" w:color="auto"/>
              <w:right w:val="single" w:sz="8" w:color="auto"/>
            </w:tcBorders>
          </w:tcPr>
          <w:p>
            <w:pPr>
              <w:spacing w:after="0"/>
              <w:rPr>
                <w:sz w:val="13"/>
                <w:szCs w:val="13"/>
                <w:color w:val="auto"/>
              </w:rPr>
            </w:pPr>
          </w:p>
        </w:tc>
        <w:tc>
          <w:tcPr>
            <w:tcW w:w="500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more than two business days after receipt, or such other number of days specified in</w:t>
            </w:r>
          </w:p>
        </w:tc>
        <w:tc>
          <w:tcPr>
            <w:tcW w:w="13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1122(d)(4)(iv)</w:t>
            </w:r>
          </w:p>
        </w:tc>
        <w:tc>
          <w:tcPr>
            <w:tcW w:w="5000" w:type="dxa"/>
            <w:vAlign w:val="bottom"/>
            <w:tcBorders>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the transaction agreements, and allocated to principal, interest or other items (e.g.,</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escrow) in accordance with the related pool asset documents.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The Servicer’s records regarding the pool assets agree with the Servicer’s records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with respect to an obligor’s unpaid principal balance.</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2" w:name="page23"/>
    <w:bookmarkEnd w:id="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00" w:type="dxa"/>
            <w:vAlign w:val="bottom"/>
            <w:tcBorders>
              <w:top w:val="single" w:sz="8" w:color="auto"/>
              <w:left w:val="single" w:sz="8" w:color="auto"/>
            </w:tcBorders>
          </w:tcPr>
          <w:p>
            <w:pPr>
              <w:spacing w:after="0"/>
              <w:rPr>
                <w:sz w:val="16"/>
                <w:szCs w:val="16"/>
                <w:color w:val="auto"/>
              </w:rPr>
            </w:pPr>
          </w:p>
        </w:tc>
        <w:tc>
          <w:tcPr>
            <w:tcW w:w="5000" w:type="dxa"/>
            <w:vAlign w:val="bottom"/>
            <w:tcBorders>
              <w:top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640" w:type="dxa"/>
            <w:vAlign w:val="bottom"/>
            <w:tcBorders>
              <w:top w:val="single" w:sz="8" w:color="auto"/>
              <w:right w:val="single" w:sz="8" w:color="auto"/>
            </w:tcBorders>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Borders>
              <w:left w:val="single" w:sz="8" w:color="auto"/>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vMerge w:val="continue"/>
          </w:tcPr>
          <w:p>
            <w:pPr>
              <w:spacing w:after="0"/>
              <w:rPr>
                <w:sz w:val="19"/>
                <w:szCs w:val="19"/>
                <w:color w:val="auto"/>
              </w:rPr>
            </w:pPr>
          </w:p>
        </w:tc>
        <w:tc>
          <w:tcPr>
            <w:tcW w:w="2640" w:type="dxa"/>
            <w:vAlign w:val="bottom"/>
            <w:tcBorders>
              <w:bottom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Performed</w:t>
            </w:r>
          </w:p>
        </w:tc>
        <w:tc>
          <w:tcPr>
            <w:tcW w:w="132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tcBorders>
              <w:left w:val="single" w:sz="8" w:color="auto"/>
              <w:right w:val="single" w:sz="8" w:color="auto"/>
            </w:tcBorders>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 Bank</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is the</w:t>
            </w: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5000" w:type="dxa"/>
            <w:vAlign w:val="bottom"/>
            <w:tcBorders>
              <w:right w:val="single" w:sz="8" w:color="auto"/>
            </w:tcBorders>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Criteria</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4"/>
              </w:rPr>
              <w:t>by</w:t>
            </w:r>
          </w:p>
        </w:tc>
        <w:tc>
          <w:tcPr>
            <w:tcW w:w="1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1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SERVICING</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5000" w:type="dxa"/>
            <w:vAlign w:val="bottom"/>
            <w:tcBorders>
              <w:bottom w:val="single" w:sz="8" w:color="auto"/>
              <w:right w:val="single" w:sz="8" w:color="auto"/>
            </w:tcBorders>
            <w:vMerge w:val="continue"/>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Bank</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Changes with respect to the terms or status of an obligor’s pool assets (e.g., loan</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modifications or re-agings) are made, reviewed and approved by authorized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personnel in accordance with the transaction agreements and related pool asset</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documents.</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Loss mitigation or recovery actions (e.g., forbearance plans, modifications and deeds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in lieu of foreclosure, foreclosures and repossessions, as applicable) are initiated,</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conducted and concluded in accordance with the timeframes or other requirements</w:t>
            </w: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established by the transaction agreements.</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Records documenting collection efforts are maintained during the period a pool asset</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is delinquent in accordance with the transaction agreements. Such records are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maintained on at least a monthly basis, or such other period specified in the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64"/>
        </w:trPr>
        <w:tc>
          <w:tcPr>
            <w:tcW w:w="1700" w:type="dxa"/>
            <w:vAlign w:val="bottom"/>
            <w:tcBorders>
              <w:left w:val="single" w:sz="8" w:color="auto"/>
              <w:right w:val="single" w:sz="8" w:color="auto"/>
            </w:tcBorders>
          </w:tcPr>
          <w:p>
            <w:pPr>
              <w:spacing w:after="0"/>
              <w:rPr>
                <w:sz w:val="14"/>
                <w:szCs w:val="14"/>
                <w:color w:val="auto"/>
              </w:rPr>
            </w:pPr>
          </w:p>
        </w:tc>
        <w:tc>
          <w:tcPr>
            <w:tcW w:w="5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transaction agreements, and describe the entity’s activities in monitoring delinquent</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5000" w:type="dxa"/>
            <w:vAlign w:val="bottom"/>
            <w:tcBorders>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pool assets including, for example, phone calls, letters and payment rescheduling</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1122(d)(4)(viii)</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plans in cases where delinquency is deemed temporary (e.g., illness or</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unemployment).</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1122(d)(4)(ix)</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Adjustments to interest rates or rates of return for pool assets with variable rates are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computed based on the related pool asset documents.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Regarding any funds held in trust for an obligor (such as escrow accounts): (A) such</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funds are analyzed, in accordance with the obligor’s pool asset documents, on at</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least an annual basis, or such other period specified in the transaction agreements;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64"/>
        </w:trPr>
        <w:tc>
          <w:tcPr>
            <w:tcW w:w="1700" w:type="dxa"/>
            <w:vAlign w:val="bottom"/>
            <w:tcBorders>
              <w:left w:val="single" w:sz="8" w:color="auto"/>
              <w:right w:val="single" w:sz="8" w:color="auto"/>
            </w:tcBorders>
          </w:tcPr>
          <w:p>
            <w:pPr>
              <w:spacing w:after="0"/>
              <w:rPr>
                <w:sz w:val="14"/>
                <w:szCs w:val="14"/>
                <w:color w:val="auto"/>
              </w:rPr>
            </w:pPr>
          </w:p>
        </w:tc>
        <w:tc>
          <w:tcPr>
            <w:tcW w:w="5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 interest on such funds is paid, or credited, to obligors in accordance with</w:t>
            </w: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5000" w:type="dxa"/>
            <w:vAlign w:val="bottom"/>
            <w:tcBorders>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applicable pool asset documents and state laws; and (C) such funds are returned to</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the obligor within 30 calendar days of full repayment of the related pool assets, or</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such other number of days specified in the transaction agreements.</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Payments made on behalf of an obligor (such as tax or insurance payments) are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made on or before the related penalty or expiration dates, as indicated on the</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55"/>
        </w:trPr>
        <w:tc>
          <w:tcPr>
            <w:tcW w:w="1700" w:type="dxa"/>
            <w:vAlign w:val="bottom"/>
            <w:tcBorders>
              <w:left w:val="single" w:sz="8" w:color="auto"/>
              <w:right w:val="single" w:sz="8" w:color="auto"/>
            </w:tcBorders>
          </w:tcPr>
          <w:p>
            <w:pPr>
              <w:spacing w:after="0"/>
              <w:rPr>
                <w:sz w:val="13"/>
                <w:szCs w:val="13"/>
                <w:color w:val="auto"/>
              </w:rPr>
            </w:pPr>
          </w:p>
        </w:tc>
        <w:tc>
          <w:tcPr>
            <w:tcW w:w="500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appropriate bills or notices for such payments, provided that such support has been</w:t>
            </w:r>
          </w:p>
        </w:tc>
        <w:tc>
          <w:tcPr>
            <w:tcW w:w="132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w:t>
            </w:r>
          </w:p>
        </w:tc>
        <w:tc>
          <w:tcPr>
            <w:tcW w:w="5000" w:type="dxa"/>
            <w:vAlign w:val="bottom"/>
            <w:tcBorders>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received by the Servicer at least 30 calendar days prior to these dates, or such other</w:t>
            </w: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number of days specified in the transaction agreements.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Any late payment penalties in connection with any payment to be made on behalf of</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an obligor are paid from the Servicer’s funds and not charged to the obligor, unless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late payment was due to the obligor’s error or omission.</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Disbursements made on behalf of an obligor are posted within two business days to</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1122(d)(4)(xiii)</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the obligor’s records maintained by the Servicer, or such other number of days</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specified in the transaction 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1122(d)(4)(xiv)</w:t>
            </w: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Delinquencies, charge-offs and uncollectible accounts are recognized and recorded</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in accordance with the transaction agreements.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Borders>
              <w:left w:val="single" w:sz="8" w:color="auto"/>
              <w:right w:val="single" w:sz="8" w:color="auto"/>
            </w:tcBorders>
          </w:tcPr>
          <w:p>
            <w:pPr>
              <w:spacing w:after="0"/>
              <w:rPr>
                <w:sz w:val="12"/>
                <w:szCs w:val="12"/>
                <w:color w:val="auto"/>
              </w:rPr>
            </w:pPr>
          </w:p>
        </w:tc>
        <w:tc>
          <w:tcPr>
            <w:tcW w:w="500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Any external enhancement or other support, identified in Item 1114(a)(1) through (3)</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1122(d)(4)(xv)</w:t>
            </w:r>
          </w:p>
        </w:tc>
        <w:tc>
          <w:tcPr>
            <w:tcW w:w="5000" w:type="dxa"/>
            <w:vAlign w:val="bottom"/>
            <w:tcBorders>
              <w:right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rPr>
              <w:t>or Item 1115 of Regulation AB, is maintained as set forth in the transaction</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0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agreements.</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APPENDIX B</w:t>
      </w:r>
    </w:p>
    <w:p>
      <w:pPr>
        <w:spacing w:after="0" w:line="211" w:lineRule="exact"/>
        <w:rPr>
          <w:sz w:val="20"/>
          <w:szCs w:val="20"/>
          <w:color w:val="auto"/>
        </w:rPr>
      </w:pPr>
    </w:p>
    <w:p>
      <w:pPr>
        <w:ind w:right="3599"/>
        <w:spacing w:after="0" w:line="215" w:lineRule="auto"/>
        <w:rPr>
          <w:sz w:val="20"/>
          <w:szCs w:val="20"/>
          <w:color w:val="auto"/>
        </w:rPr>
      </w:pPr>
      <w:r>
        <w:rPr>
          <w:rFonts w:ascii="Times New Roman" w:cs="Times New Roman" w:eastAsia="Times New Roman" w:hAnsi="Times New Roman"/>
          <w:sz w:val="21"/>
          <w:szCs w:val="21"/>
          <w:color w:val="auto"/>
        </w:rPr>
        <w:t>World Financial Network Credit Card Master Note Trust, Series 2009-VFN World Financial Network Credit Card Master Trust III, Series 2009-VFC1</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World Financial Network Credit Card Master Note Trust, Series 2023-A World Financial Network Credit Card Master Note Trust, Series 2024-A World Financial Network Credit Card Master Note Trust, Series 2024-B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This series was retired on June 16, 2025 and is no longer outstanding as of December 31, 2025.</w:t>
      </w:r>
    </w:p>
    <w:p>
      <w:pPr>
        <w:sectPr>
          <w:pgSz w:w="11900" w:h="16838" w:orient="portrait"/>
          <w:cols w:equalWidth="0" w:num="1">
            <w:col w:w="10139"/>
          </w:cols>
          <w:pgMar w:left="320" w:top="1440"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575A5D"/>
        </w:rPr>
        <w:t>EXHIBIT 33.2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COMENITY SERVICING LLC</w:t>
      </w:r>
    </w:p>
    <w:p>
      <w:pPr>
        <w:spacing w:after="0" w:line="19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u w:val="single" w:color="auto"/>
          <w:color w:val="auto"/>
        </w:rPr>
        <w:t>Management’s Report on Assessment of Compliance</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with SEC Regulation AB Servicing Criteria</w:t>
      </w:r>
    </w:p>
    <w:p>
      <w:pPr>
        <w:spacing w:after="0" w:line="182" w:lineRule="exact"/>
        <w:rPr>
          <w:sz w:val="20"/>
          <w:szCs w:val="20"/>
          <w:color w:val="auto"/>
        </w:rPr>
      </w:pPr>
    </w:p>
    <w:p>
      <w:pPr>
        <w:ind w:left="660" w:hanging="652"/>
        <w:spacing w:after="0" w:line="213" w:lineRule="auto"/>
        <w:tabs>
          <w:tab w:leader="none" w:pos="53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of Comenity Servicing LLC (the “Company”) is responsible for assessing compliance with the servicing criteria applicable to it under paragraph (d) of Item 1122 of Regulation AB, as of and for the 12-month period ending December 31, 2025 (the “Reporting Period”), as set forth in Appendix A hereto. Appendix B identifies the transactions covered by this report and includes asset-backed securities transactions sponsored by Comenity Bank for which the Company acted as servicer involving credit card receivables, accounts receivable and asset based lending receivables, and excludes asset-backed securities transactions sponsored by Comenity Capital Bank, an affiliate of Comenity Bank (the “Platform”);</w:t>
      </w:r>
    </w:p>
    <w:p>
      <w:pPr>
        <w:spacing w:after="0" w:line="183" w:lineRule="exact"/>
        <w:rPr>
          <w:rFonts w:ascii="Times New Roman" w:cs="Times New Roman" w:eastAsia="Times New Roman" w:hAnsi="Times New Roman"/>
          <w:sz w:val="22"/>
          <w:szCs w:val="22"/>
          <w:color w:val="auto"/>
        </w:rPr>
      </w:pPr>
    </w:p>
    <w:p>
      <w:pPr>
        <w:ind w:left="660" w:hanging="652"/>
        <w:spacing w:after="0" w:line="236" w:lineRule="auto"/>
        <w:tabs>
          <w:tab w:leader="none" w:pos="4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paragraph 3 below, the Company used the criteria set forth in paragraph (d) of Item 1122 of Regulation AB to assess the compliance with the applicable servicing criteria;</w:t>
      </w:r>
    </w:p>
    <w:p>
      <w:pPr>
        <w:spacing w:after="0" w:line="177" w:lineRule="exact"/>
        <w:rPr>
          <w:rFonts w:ascii="Times New Roman" w:cs="Times New Roman" w:eastAsia="Times New Roman" w:hAnsi="Times New Roman"/>
          <w:sz w:val="22"/>
          <w:szCs w:val="22"/>
          <w:color w:val="auto"/>
        </w:rPr>
      </w:pPr>
    </w:p>
    <w:p>
      <w:pPr>
        <w:ind w:left="660" w:right="20" w:hanging="652"/>
        <w:spacing w:after="0" w:line="236" w:lineRule="auto"/>
        <w:tabs>
          <w:tab w:leader="none" w:pos="52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criteria listed in the column titled “Inapplicable Servicing Criteria” on Appendix A hereto are inapplicable to the Company based on the activities it performs with respect to the Platform;</w:t>
      </w:r>
    </w:p>
    <w:p>
      <w:pPr>
        <w:spacing w:after="0" w:line="177" w:lineRule="exact"/>
        <w:rPr>
          <w:rFonts w:ascii="Times New Roman" w:cs="Times New Roman" w:eastAsia="Times New Roman" w:hAnsi="Times New Roman"/>
          <w:sz w:val="22"/>
          <w:szCs w:val="22"/>
          <w:color w:val="auto"/>
        </w:rPr>
      </w:pPr>
    </w:p>
    <w:p>
      <w:pPr>
        <w:ind w:left="660" w:hanging="652"/>
        <w:spacing w:after="0" w:line="236" w:lineRule="auto"/>
        <w:tabs>
          <w:tab w:leader="none" w:pos="42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in all material respects, with the applicable servicing criteria as of December 31, 2025 and for the Reporting Period with respect to the Platform taken as a whole;</w:t>
      </w:r>
    </w:p>
    <w:p>
      <w:pPr>
        <w:spacing w:after="0" w:line="177" w:lineRule="exact"/>
        <w:rPr>
          <w:rFonts w:ascii="Times New Roman" w:cs="Times New Roman" w:eastAsia="Times New Roman" w:hAnsi="Times New Roman"/>
          <w:sz w:val="22"/>
          <w:szCs w:val="22"/>
          <w:color w:val="auto"/>
        </w:rPr>
      </w:pPr>
    </w:p>
    <w:p>
      <w:pPr>
        <w:ind w:left="660" w:right="340" w:hanging="652"/>
        <w:spacing w:after="0" w:line="255" w:lineRule="auto"/>
        <w:tabs>
          <w:tab w:leader="none" w:pos="38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not identified and is not aware of any material instance of noncompliance with the applicable servicing criteria as of December 31, 2025 and for the Reporting Period with respect to the Platform taken as a whole;</w:t>
      </w:r>
    </w:p>
    <w:p>
      <w:pPr>
        <w:spacing w:after="0" w:line="161" w:lineRule="exact"/>
        <w:rPr>
          <w:rFonts w:ascii="Times New Roman" w:cs="Times New Roman" w:eastAsia="Times New Roman" w:hAnsi="Times New Roman"/>
          <w:sz w:val="21"/>
          <w:szCs w:val="21"/>
          <w:color w:val="auto"/>
        </w:rPr>
      </w:pPr>
    </w:p>
    <w:p>
      <w:pPr>
        <w:ind w:left="660" w:hanging="652"/>
        <w:spacing w:after="0" w:line="236" w:lineRule="auto"/>
        <w:tabs>
          <w:tab w:leader="none" w:pos="40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Deloitte &amp; Touche LLP, a registered public accounting firm, has issued an attestation report on the Company’s assessment of compliance with the applicable servicing criteria as of December 31, 2025 and for the Reporting Period.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19, 2026</w:t>
      </w:r>
    </w:p>
    <w:p>
      <w:pPr>
        <w:sectPr>
          <w:pgSz w:w="11900" w:h="16838" w:orient="portrait"/>
          <w:cols w:equalWidth="0" w:num="1">
            <w:col w:w="11240"/>
          </w:cols>
          <w:pgMar w:left="320" w:top="108" w:right="339" w:bottom="1440" w:gutter="0" w:footer="0" w:header="0"/>
        </w:sectPr>
      </w:pPr>
    </w:p>
    <w:bookmarkStart w:id="25" w:name="page26"/>
    <w:bookmarkEnd w:id="25"/>
    <w:p>
      <w:pPr>
        <w:ind w:left="3100"/>
        <w:spacing w:after="0"/>
        <w:rPr>
          <w:sz w:val="20"/>
          <w:szCs w:val="20"/>
          <w:color w:val="auto"/>
        </w:rPr>
      </w:pPr>
      <w:r>
        <w:rPr>
          <w:rFonts w:ascii="Times New Roman" w:cs="Times New Roman" w:eastAsia="Times New Roman" w:hAnsi="Times New Roman"/>
          <w:sz w:val="20"/>
          <w:szCs w:val="20"/>
          <w:color w:val="auto"/>
        </w:rPr>
        <w:t>COMENITY SERVICING LLC</w:t>
      </w:r>
    </w:p>
    <w:p>
      <w:pPr>
        <w:spacing w:after="0" w:line="200" w:lineRule="exact"/>
        <w:rPr>
          <w:sz w:val="20"/>
          <w:szCs w:val="20"/>
          <w:color w:val="auto"/>
        </w:rPr>
      </w:pPr>
    </w:p>
    <w:p>
      <w:pPr>
        <w:spacing w:after="0" w:line="2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Tammy McConnaughey</w:t>
      </w:r>
    </w:p>
    <w:p>
      <w:pPr>
        <w:ind w:left="3100"/>
        <w:spacing w:after="0" w:line="211" w:lineRule="auto"/>
        <w:rPr>
          <w:sz w:val="20"/>
          <w:szCs w:val="20"/>
          <w:color w:val="auto"/>
        </w:rPr>
      </w:pPr>
      <w:r>
        <w:rPr>
          <w:rFonts w:ascii="Times New Roman" w:cs="Times New Roman" w:eastAsia="Times New Roman" w:hAnsi="Times New Roman"/>
          <w:sz w:val="20"/>
          <w:szCs w:val="20"/>
          <w:color w:val="auto"/>
        </w:rPr>
        <w:t>Name: Tammy McConnaughey</w:t>
      </w:r>
    </w:p>
    <w:p>
      <w:pPr>
        <w:ind w:left="31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Management Assertion</w:t>
      </w:r>
    </w:p>
    <w:p>
      <w:pPr>
        <w:sectPr>
          <w:pgSz w:w="11900" w:h="16838" w:orient="portrait"/>
          <w:cols w:equalWidth="0" w:num="1">
            <w:col w:w="10120"/>
          </w:cols>
          <w:pgMar w:left="1440" w:top="1426" w:right="339" w:bottom="1440" w:gutter="0" w:footer="0" w:header="0"/>
        </w:sectPr>
      </w:pPr>
    </w:p>
    <w:bookmarkStart w:id="26" w:name="page27"/>
    <w:bookmarkEnd w:id="26"/>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APPENDIX A</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740" w:type="dxa"/>
            <w:vAlign w:val="bottom"/>
            <w:tcBorders>
              <w:top w:val="single" w:sz="8" w:color="auto"/>
              <w:left w:val="single" w:sz="8" w:color="auto"/>
            </w:tcBorders>
          </w:tcPr>
          <w:p>
            <w:pPr>
              <w:spacing w:after="0"/>
              <w:rPr>
                <w:sz w:val="14"/>
                <w:szCs w:val="14"/>
                <w:color w:val="auto"/>
              </w:rPr>
            </w:pPr>
          </w:p>
        </w:tc>
        <w:tc>
          <w:tcPr>
            <w:tcW w:w="4720" w:type="dxa"/>
            <w:vAlign w:val="bottom"/>
            <w:tcBorders>
              <w:top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760" w:type="dxa"/>
            <w:vAlign w:val="bottom"/>
            <w:tcBorders>
              <w:top w:val="single" w:sz="8" w:color="auto"/>
              <w:right w:val="single" w:sz="8" w:color="auto"/>
            </w:tcBorders>
            <w:gridSpan w:val="2"/>
          </w:tcPr>
          <w:p>
            <w:pPr>
              <w:ind w:left="820"/>
              <w:spacing w:after="0" w:line="171" w:lineRule="exact"/>
              <w:rPr>
                <w:sz w:val="20"/>
                <w:szCs w:val="20"/>
                <w:color w:val="auto"/>
              </w:rPr>
            </w:pPr>
            <w:r>
              <w:rPr>
                <w:rFonts w:ascii="Times New Roman" w:cs="Times New Roman" w:eastAsia="Times New Roman" w:hAnsi="Times New Roman"/>
                <w:sz w:val="16"/>
                <w:szCs w:val="16"/>
                <w:b w:val="1"/>
                <w:bCs w:val="1"/>
                <w:color w:val="auto"/>
              </w:rPr>
              <w:t>APPLICABLE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vMerge w:val="continue"/>
          </w:tcPr>
          <w:p>
            <w:pPr>
              <w:spacing w:after="0"/>
              <w:rPr>
                <w:sz w:val="19"/>
                <w:szCs w:val="19"/>
                <w:color w:val="auto"/>
              </w:rPr>
            </w:pPr>
          </w:p>
        </w:tc>
        <w:tc>
          <w:tcPr>
            <w:tcW w:w="276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Performed</w:t>
            </w:r>
          </w:p>
        </w:tc>
        <w:tc>
          <w:tcPr>
            <w:tcW w:w="13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is the</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by</w:t>
            </w:r>
          </w:p>
        </w:tc>
        <w:tc>
          <w:tcPr>
            <w:tcW w:w="13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2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tcBorders>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General Servicing Considerations</w:t>
            </w:r>
          </w:p>
        </w:tc>
        <w:tc>
          <w:tcPr>
            <w:tcW w:w="1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Policies and procedures are instituted to monitor any performance or other</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triggers and events of default in accordance with the transaction agreements.</w:t>
            </w:r>
          </w:p>
        </w:tc>
        <w:tc>
          <w:tcPr>
            <w:tcW w:w="14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If any material servicing activities are outsourced to third parties, policies and</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procedures are instituted to monitor the third party’s performance and</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compliance with such servicing activities.</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1122(d)(1)(iii)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Any requirements in the transaction agreements to maintain a back-up servicer</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for the pool assets are maintained.</w:t>
            </w:r>
          </w:p>
        </w:tc>
        <w:tc>
          <w:tcPr>
            <w:tcW w:w="14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 fidelity bond and errors and omissions policy is in effect on the party</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participating in the servicing function throughout the reporting period in the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1122(d)(1)(iv)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amount of coverage required by and otherwise in accordance with the terms of</w:t>
            </w:r>
          </w:p>
        </w:tc>
        <w:tc>
          <w:tcPr>
            <w:tcW w:w="140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transaction agreements.</w:t>
            </w:r>
          </w:p>
        </w:tc>
        <w:tc>
          <w:tcPr>
            <w:tcW w:w="1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1122(d)(1)(v)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Aggregation of information, as applicable, is mathematically accurate and the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information conveyed accurately reflects the information.</w:t>
            </w: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tcBorders>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Cash Collection and Administration</w:t>
            </w:r>
          </w:p>
        </w:tc>
        <w:tc>
          <w:tcPr>
            <w:tcW w:w="1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Payments on pool assets are deposited into the appropriate custodial bank</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accounts and related bank clearing accounts no more than two business days of</w:t>
            </w:r>
          </w:p>
        </w:tc>
        <w:tc>
          <w:tcPr>
            <w:tcW w:w="140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receipt, or such other number of days specified in the transaction agreements.</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Disbursements made via wire transfer on behalf of an obligor or to an investor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are made only by authorized personnel.</w:t>
            </w: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Advances of funds or guarantees regarding collections, cash flows or</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distributions, and any interest or other fees charged for such advances, are</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made, reviewed and approved as specified in the transaction agreements.</w:t>
            </w:r>
          </w:p>
        </w:tc>
        <w:tc>
          <w:tcPr>
            <w:tcW w:w="14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The related accounts for the transaction, such as cash reserve accounts or</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accounts established as a form of overcollateralization, are separately</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1122(d)(2)(iv)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maintained (e.g., with respect to commingling of cash) as set forth in the</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transaction agreements.</w:t>
            </w:r>
          </w:p>
        </w:tc>
        <w:tc>
          <w:tcPr>
            <w:tcW w:w="1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Each custodial account is maintained at a federally insured depository</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institution as set forth in the transaction agreements. For purposes of this</w:t>
            </w:r>
          </w:p>
        </w:tc>
        <w:tc>
          <w:tcPr>
            <w:tcW w:w="14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55"/>
        </w:trPr>
        <w:tc>
          <w:tcPr>
            <w:tcW w:w="1740" w:type="dxa"/>
            <w:vAlign w:val="bottom"/>
            <w:tcBorders>
              <w:left w:val="single" w:sz="8" w:color="auto"/>
              <w:right w:val="single" w:sz="8" w:color="auto"/>
            </w:tcBorders>
          </w:tcPr>
          <w:p>
            <w:pPr>
              <w:spacing w:after="0"/>
              <w:rPr>
                <w:sz w:val="13"/>
                <w:szCs w:val="13"/>
                <w:color w:val="auto"/>
              </w:rPr>
            </w:pPr>
          </w:p>
        </w:tc>
        <w:tc>
          <w:tcPr>
            <w:tcW w:w="47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criterion, “federally insured depository institution” with respect to a foreign</w:t>
            </w:r>
          </w:p>
        </w:tc>
        <w:tc>
          <w:tcPr>
            <w:tcW w:w="14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1122(d)(2)(v)</w:t>
            </w:r>
          </w:p>
        </w:tc>
        <w:tc>
          <w:tcPr>
            <w:tcW w:w="472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financial institution means a foreign financial institution that meets the</w:t>
            </w:r>
          </w:p>
        </w:tc>
        <w:tc>
          <w:tcPr>
            <w:tcW w:w="14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requirements of Rule 13k-1(b)(1) of the Securities Exchange Act.</w:t>
            </w:r>
          </w:p>
        </w:tc>
        <w:tc>
          <w:tcPr>
            <w:tcW w:w="14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1122(d)(2)(vi)</w:t>
            </w: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Unissued checks are safeguarded so as to prevent unauthorized access.</w:t>
            </w:r>
          </w:p>
        </w:tc>
        <w:tc>
          <w:tcPr>
            <w:tcW w:w="1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7" w:name="page28"/>
    <w:bookmarkEnd w:id="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40" w:type="dxa"/>
            <w:vAlign w:val="bottom"/>
            <w:tcBorders>
              <w:top w:val="single" w:sz="8" w:color="auto"/>
              <w:left w:val="single" w:sz="8" w:color="auto"/>
            </w:tcBorders>
          </w:tcPr>
          <w:p>
            <w:pPr>
              <w:spacing w:after="0"/>
              <w:rPr>
                <w:sz w:val="16"/>
                <w:szCs w:val="16"/>
                <w:color w:val="auto"/>
              </w:rPr>
            </w:pPr>
          </w:p>
        </w:tc>
        <w:tc>
          <w:tcPr>
            <w:tcW w:w="4720" w:type="dxa"/>
            <w:vAlign w:val="bottom"/>
            <w:tcBorders>
              <w:top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760" w:type="dxa"/>
            <w:vAlign w:val="bottom"/>
            <w:tcBorders>
              <w:top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vMerge w:val="continue"/>
          </w:tcPr>
          <w:p>
            <w:pPr>
              <w:spacing w:after="0"/>
              <w:rPr>
                <w:sz w:val="19"/>
                <w:szCs w:val="19"/>
                <w:color w:val="auto"/>
              </w:rPr>
            </w:pPr>
          </w:p>
        </w:tc>
        <w:tc>
          <w:tcPr>
            <w:tcW w:w="276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Performed</w:t>
            </w:r>
          </w:p>
        </w:tc>
        <w:tc>
          <w:tcPr>
            <w:tcW w:w="13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is the</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by</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2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Reconciliations are prepared on a monthly basis for all asset-backed securities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related bank accounts, including custodial accounts and related bank clearing</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accounts. These reconciliations are (A) mathematically accurate; (B) prepared</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within 30 calendar days after the bank statement cutoff date, or such other</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40" w:type="dxa"/>
            <w:vAlign w:val="bottom"/>
            <w:tcBorders>
              <w:left w:val="single" w:sz="8" w:color="auto"/>
              <w:right w:val="single" w:sz="8" w:color="auto"/>
            </w:tcBorders>
          </w:tcPr>
          <w:p>
            <w:pPr>
              <w:spacing w:after="0"/>
              <w:rPr>
                <w:sz w:val="13"/>
                <w:szCs w:val="13"/>
                <w:color w:val="auto"/>
              </w:rPr>
            </w:pPr>
          </w:p>
        </w:tc>
        <w:tc>
          <w:tcPr>
            <w:tcW w:w="4720" w:type="dxa"/>
            <w:vAlign w:val="bottom"/>
            <w:tcBorders>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color w:val="auto"/>
              </w:rPr>
              <w:t>number of days specified in the transaction agreements; (C) reviewed and</w:t>
            </w:r>
          </w:p>
        </w:tc>
        <w:tc>
          <w:tcPr>
            <w:tcW w:w="138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40" w:type="dxa"/>
            <w:vAlign w:val="bottom"/>
            <w:tcBorders>
              <w:left w:val="single" w:sz="8" w:color="auto"/>
              <w:right w:val="single" w:sz="8" w:color="auto"/>
            </w:tcBorders>
          </w:tcPr>
          <w:p>
            <w:pPr>
              <w:spacing w:after="0"/>
              <w:rPr>
                <w:sz w:val="11"/>
                <w:szCs w:val="11"/>
                <w:color w:val="auto"/>
              </w:rPr>
            </w:pPr>
          </w:p>
        </w:tc>
        <w:tc>
          <w:tcPr>
            <w:tcW w:w="472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approved by someone other than the person who prepared the reconciliation;</w:t>
            </w:r>
          </w:p>
        </w:tc>
        <w:tc>
          <w:tcPr>
            <w:tcW w:w="13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and (D) contain explanations for reconciling items. These reconciling items are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1122(d)(2)(vii)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resolved within 90 calendar days of their original identification, or such other</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number of days specified in the transaction 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tcBorders>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Investor Remittances and Reporting</w:t>
            </w:r>
          </w:p>
        </w:tc>
        <w:tc>
          <w:tcPr>
            <w:tcW w:w="1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Reports to investors, including those to be filed with the Commission, are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maintained in accordance with the transaction agreements and applicable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Commission requirements. Specifically, such reports (A) are prepared in</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accordance with timeframes and other terms set forth in the transaction</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X</w:t>
            </w:r>
            <w:r>
              <w:rPr>
                <w:rFonts w:ascii="Times New Roman" w:cs="Times New Roman" w:eastAsia="Times New Roman" w:hAnsi="Times New Roman"/>
                <w:sz w:val="23"/>
                <w:szCs w:val="23"/>
                <w:b w:val="1"/>
                <w:bCs w:val="1"/>
                <w:color w:val="auto"/>
                <w:w w:val="96"/>
                <w:vertAlign w:val="superscript"/>
              </w:rPr>
              <w:t>1</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agreements; (B) provide information calculated in accordance with the terms</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specified in the transaction agreements; (C) are filed with the Commission as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required by its rules and regulations; and (D) agree with investors’ or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trustee’s records as to the total unpaid principal balance and number of pool</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assets serviced by the Servicer.</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Amounts due to investors are allocated and remitted in accordance with</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timeframes, distribution priority and other terms set forth in the transaction</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Disbursements made to an investor are posted within two business days to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Servicer’s investor records, or such other number of days specified in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transaction 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1122(d)(3)(iv)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Amounts remitted to investors per the investor reports agree with cancelled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checks, or other form of payment, or custodial bank statements.</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tcBorders>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Pool Asset Administration</w:t>
            </w:r>
          </w:p>
        </w:tc>
        <w:tc>
          <w:tcPr>
            <w:tcW w:w="1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Collateral or security on pool assets is maintained as required by the transaction</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agreements or related pool asset loan documents.</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Pool asset and related documents are safeguarded as required by the transaction</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agreements.</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Any additions, removals or substitutions to the asset pool are made, reviewed</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and approved in accordance with any conditions or requirements in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transaction 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35" w:lineRule="exact"/>
        <w:rPr>
          <w:sz w:val="20"/>
          <w:szCs w:val="20"/>
          <w:color w:val="auto"/>
        </w:rPr>
      </w:pPr>
    </w:p>
    <w:p>
      <w:pPr>
        <w:jc w:val="both"/>
        <w:ind w:left="140" w:right="20" w:hanging="132"/>
        <w:spacing w:after="0" w:line="206" w:lineRule="auto"/>
        <w:tabs>
          <w:tab w:leader="none" w:pos="124"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Servicing criterion 1122(d)(3)(i) is applicable to the activities the Company performs with respect to the Platform only as it relates to the Company’s obligation to perform the activities described in clauses (A) through (C) thereof. Clause (D) of servicing criterion 1122(d)(3)(i) is not applicable to the activities performed by the Company because neither investors nor the Trustee maintain records as to the total unpaid principal balance and number of pool assets serviced by the Company other than the investor reports.</w:t>
      </w:r>
    </w:p>
    <w:p>
      <w:pPr>
        <w:sectPr>
          <w:pgSz w:w="11900" w:h="16838" w:orient="portrait"/>
          <w:cols w:equalWidth="0" w:num="1">
            <w:col w:w="11260"/>
          </w:cols>
          <w:pgMar w:left="320" w:top="1440" w:right="319" w:bottom="1440" w:gutter="0" w:footer="0" w:header="0"/>
        </w:sectPr>
      </w:pPr>
    </w:p>
    <w:bookmarkStart w:id="28" w:name="page29"/>
    <w:bookmarkEnd w:id="2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40" w:type="dxa"/>
            <w:vAlign w:val="bottom"/>
            <w:tcBorders>
              <w:top w:val="single" w:sz="8" w:color="auto"/>
              <w:left w:val="single" w:sz="8" w:color="auto"/>
            </w:tcBorders>
          </w:tcPr>
          <w:p>
            <w:pPr>
              <w:spacing w:after="0"/>
              <w:rPr>
                <w:sz w:val="16"/>
                <w:szCs w:val="16"/>
                <w:color w:val="auto"/>
              </w:rPr>
            </w:pPr>
          </w:p>
        </w:tc>
        <w:tc>
          <w:tcPr>
            <w:tcW w:w="4720" w:type="dxa"/>
            <w:vAlign w:val="bottom"/>
            <w:tcBorders>
              <w:top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760" w:type="dxa"/>
            <w:vAlign w:val="bottom"/>
            <w:tcBorders>
              <w:top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vMerge w:val="continue"/>
          </w:tcPr>
          <w:p>
            <w:pPr>
              <w:spacing w:after="0"/>
              <w:rPr>
                <w:sz w:val="19"/>
                <w:szCs w:val="19"/>
                <w:color w:val="auto"/>
              </w:rPr>
            </w:pPr>
          </w:p>
        </w:tc>
        <w:tc>
          <w:tcPr>
            <w:tcW w:w="276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Performed</w:t>
            </w:r>
          </w:p>
        </w:tc>
        <w:tc>
          <w:tcPr>
            <w:tcW w:w="13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is the</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4720" w:type="dxa"/>
            <w:vAlign w:val="bottom"/>
            <w:tcBorders>
              <w:right w:val="single" w:sz="8" w:color="auto"/>
            </w:tcBorders>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Criteria</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by</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2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Payments on pool assets, including any payoffs, made in accordance with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related pool asset documents are posted to the Servicer’s obligor records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maintained no more than two business days after receipt, or such other number</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of days specified in the transaction agreements, and allocated to principal,</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1122(d)(4)(iv)</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interest or other items (e.g., escrow) in accordance with the related pool asset</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documents.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The Servicer’s records regarding the pool assets agree with the Servicer’s</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records with respect to an obligor’s unpaid principal balance.</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Changes with respect to the terms or status of an obligor’s pool assets (e.g.,</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loan modifications or re-agings) are made, reviewed and approved by</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authorized personnel in accordance with the transaction agreements and related</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pool asset documents.</w:t>
            </w: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Loss mitigation or recovery actions (e.g., forbearance plans, modifications and</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deeds in lieu of foreclosure, foreclosures and repossessions, as applicable) are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initiated, conducted and concluded in accordance with the timeframes or other</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requirements established by the transaction agreements.</w:t>
            </w: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Records documenting collection efforts are maintained during the period a pool</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asset is delinquent in accordance with the transaction agreements. Such records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are maintained on at least a monthly basis, or such other period specified in the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740" w:type="dxa"/>
            <w:vAlign w:val="bottom"/>
            <w:tcBorders>
              <w:left w:val="single" w:sz="8" w:color="auto"/>
              <w:right w:val="single" w:sz="8" w:color="auto"/>
            </w:tcBorders>
          </w:tcPr>
          <w:p>
            <w:pPr>
              <w:spacing w:after="0"/>
              <w:rPr>
                <w:sz w:val="14"/>
                <w:szCs w:val="14"/>
                <w:color w:val="auto"/>
              </w:rPr>
            </w:pPr>
          </w:p>
        </w:tc>
        <w:tc>
          <w:tcPr>
            <w:tcW w:w="4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transaction agreements, and describe the entity’s activities in monitoring</w:t>
            </w:r>
          </w:p>
        </w:tc>
        <w:tc>
          <w:tcPr>
            <w:tcW w:w="138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40" w:type="dxa"/>
            <w:vAlign w:val="bottom"/>
            <w:tcBorders>
              <w:left w:val="single" w:sz="8" w:color="auto"/>
              <w:right w:val="single" w:sz="8" w:color="auto"/>
            </w:tcBorders>
          </w:tcPr>
          <w:p>
            <w:pPr>
              <w:spacing w:after="0"/>
              <w:rPr>
                <w:sz w:val="11"/>
                <w:szCs w:val="11"/>
                <w:color w:val="auto"/>
              </w:rPr>
            </w:pPr>
          </w:p>
        </w:tc>
        <w:tc>
          <w:tcPr>
            <w:tcW w:w="4720" w:type="dxa"/>
            <w:vAlign w:val="bottom"/>
            <w:tcBorders>
              <w:right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delinquent pool assets including, for example, phone calls, letters and payment</w:t>
            </w:r>
          </w:p>
        </w:tc>
        <w:tc>
          <w:tcPr>
            <w:tcW w:w="13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1122(d)(4)(viii)</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rescheduling plans in cases where delinquency is deemed temporary (e.g.,</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illness or unemployment).</w:t>
            </w:r>
          </w:p>
        </w:tc>
        <w:tc>
          <w:tcPr>
            <w:tcW w:w="13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1122(d)(4)(ix)</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Adjustments to interest rates or rates of return for pool assets with variable</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rates are computed based on the related pool asset documents.</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Regarding any funds held in trust for an obligor (such as escrow accounts): (A)</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such funds are analyzed, in accordance with the obligor’s pool asset</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documents, on at least an annual basis, or such other period specified in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transaction agreements; (B) interest on such funds is paid, or credited, to</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obligors in accordance with applicable pool asset documents and state laws;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and (C) such funds are returned to the obligor within 30 calendar days of full</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w:t>
            </w:r>
          </w:p>
        </w:tc>
        <w:tc>
          <w:tcPr>
            <w:tcW w:w="4720" w:type="dxa"/>
            <w:vAlign w:val="bottom"/>
            <w:tcBorders>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 of the related pool assets, or such other number of days specified in</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transaction agreements.</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Payments made on behalf of an obligor (such as tax or insurance payments) are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made on or before the related penalty or expiration dates, as indicated on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55"/>
        </w:trPr>
        <w:tc>
          <w:tcPr>
            <w:tcW w:w="1740" w:type="dxa"/>
            <w:vAlign w:val="bottom"/>
            <w:tcBorders>
              <w:left w:val="single" w:sz="8" w:color="auto"/>
              <w:right w:val="single" w:sz="8" w:color="auto"/>
            </w:tcBorders>
          </w:tcPr>
          <w:p>
            <w:pPr>
              <w:spacing w:after="0"/>
              <w:rPr>
                <w:sz w:val="13"/>
                <w:szCs w:val="13"/>
                <w:color w:val="auto"/>
              </w:rPr>
            </w:pPr>
          </w:p>
        </w:tc>
        <w:tc>
          <w:tcPr>
            <w:tcW w:w="4720" w:type="dxa"/>
            <w:vAlign w:val="bottom"/>
            <w:tcBorders>
              <w:right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appropriate bills or notices for such payments, provided that such support has</w:t>
            </w:r>
          </w:p>
        </w:tc>
        <w:tc>
          <w:tcPr>
            <w:tcW w:w="13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w:t>
            </w:r>
          </w:p>
        </w:tc>
        <w:tc>
          <w:tcPr>
            <w:tcW w:w="472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been received by the Servicer at least 30 calendar days prior to these dates, or</w:t>
            </w:r>
          </w:p>
        </w:tc>
        <w:tc>
          <w:tcPr>
            <w:tcW w:w="13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such other number of days specified in the transaction agreements.</w:t>
            </w:r>
          </w:p>
        </w:tc>
        <w:tc>
          <w:tcPr>
            <w:tcW w:w="138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Any late payment penalties in connection with any payment to be made on</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behalf of an obligor are paid from the Servicer’s funds and not charged to the</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obligor, unless the late payment was due to the obligor’s error or omission.</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Disbursements made on behalf of an obligor are posted within two business</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1122(d)(4)(xiii)</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days to the obligor’s records maintained by the Servicer, or such other number</w:t>
            </w:r>
          </w:p>
        </w:tc>
        <w:tc>
          <w:tcPr>
            <w:tcW w:w="13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 days specified in the transaction 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9" w:name="page30"/>
    <w:bookmarkEnd w:id="2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40" w:type="dxa"/>
            <w:vAlign w:val="bottom"/>
            <w:tcBorders>
              <w:top w:val="single" w:sz="8" w:color="auto"/>
              <w:left w:val="single" w:sz="8" w:color="auto"/>
            </w:tcBorders>
          </w:tcPr>
          <w:p>
            <w:pPr>
              <w:spacing w:after="0"/>
              <w:rPr>
                <w:sz w:val="16"/>
                <w:szCs w:val="16"/>
                <w:color w:val="auto"/>
              </w:rPr>
            </w:pPr>
          </w:p>
        </w:tc>
        <w:tc>
          <w:tcPr>
            <w:tcW w:w="4720" w:type="dxa"/>
            <w:vAlign w:val="bottom"/>
            <w:tcBorders>
              <w:top w:val="single" w:sz="8" w:color="auto"/>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27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vMerge w:val="continue"/>
          </w:tcPr>
          <w:p>
            <w:pPr>
              <w:spacing w:after="0"/>
              <w:rPr>
                <w:sz w:val="19"/>
                <w:szCs w:val="19"/>
                <w:color w:val="auto"/>
              </w:rPr>
            </w:pPr>
          </w:p>
        </w:tc>
        <w:tc>
          <w:tcPr>
            <w:tcW w:w="2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SERVICING CRITERIA</w:t>
            </w: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Performed by</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Performed</w:t>
            </w:r>
          </w:p>
        </w:tc>
        <w:tc>
          <w:tcPr>
            <w:tcW w:w="13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Vendor(s) for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Borders>
              <w:left w:val="single" w:sz="8" w:color="auto"/>
              <w:right w:val="single" w:sz="8" w:color="auto"/>
            </w:tcBorders>
          </w:tcPr>
          <w:p>
            <w:pPr>
              <w:spacing w:after="0"/>
              <w:rPr>
                <w:sz w:val="16"/>
                <w:szCs w:val="16"/>
                <w:color w:val="auto"/>
              </w:rPr>
            </w:pPr>
          </w:p>
        </w:tc>
        <w:tc>
          <w:tcPr>
            <w:tcW w:w="47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which the</w:t>
            </w: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Directly</w:t>
            </w: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is the</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4720" w:type="dxa"/>
            <w:vAlign w:val="bottom"/>
            <w:tcBorders>
              <w:right w:val="single" w:sz="8" w:color="auto"/>
            </w:tcBorders>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Criteria</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by</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Responsible</w:t>
            </w:r>
          </w:p>
        </w:tc>
        <w:tc>
          <w:tcPr>
            <w:tcW w:w="2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Party</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1122(d)(4)(xiv)</w:t>
            </w: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Delinquencies, charge-offs and uncollectible accounts are recognized and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recorded in accordance with the transaction agreements.</w:t>
            </w:r>
          </w:p>
        </w:tc>
        <w:tc>
          <w:tcPr>
            <w:tcW w:w="1380" w:type="dxa"/>
            <w:vAlign w:val="bottom"/>
            <w:tcBorders>
              <w:bottom w:val="single" w:sz="8" w:color="auto"/>
              <w:right w:val="single" w:sz="8" w:color="auto"/>
            </w:tcBorders>
            <w:vMerge w:val="continue"/>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4720" w:type="dxa"/>
            <w:vAlign w:val="bottom"/>
            <w:tcBorders>
              <w:right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Any external enhancement or other support, identified in Item 1114(a)(1)</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1122(d)(4)(xv)</w:t>
            </w:r>
          </w:p>
        </w:tc>
        <w:tc>
          <w:tcPr>
            <w:tcW w:w="4720" w:type="dxa"/>
            <w:vAlign w:val="bottom"/>
            <w:tcBorders>
              <w:right w:val="single" w:sz="8" w:color="auto"/>
            </w:tcBorders>
          </w:tcPr>
          <w:p>
            <w:pPr>
              <w:ind w:left="80"/>
              <w:spacing w:after="0" w:line="145" w:lineRule="exact"/>
              <w:rPr>
                <w:sz w:val="20"/>
                <w:szCs w:val="20"/>
                <w:color w:val="auto"/>
              </w:rPr>
            </w:pPr>
            <w:r>
              <w:rPr>
                <w:rFonts w:ascii="Times New Roman" w:cs="Times New Roman" w:eastAsia="Times New Roman" w:hAnsi="Times New Roman"/>
                <w:sz w:val="14"/>
                <w:szCs w:val="14"/>
                <w:color w:val="auto"/>
              </w:rPr>
              <w:t>through (3) or Item 1115 of Regulation AB, is maintained as set forth in the</w:t>
            </w:r>
          </w:p>
        </w:tc>
        <w:tc>
          <w:tcPr>
            <w:tcW w:w="138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47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transaction agreements.</w:t>
            </w: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APPENDIX B</w:t>
      </w:r>
    </w:p>
    <w:p>
      <w:pPr>
        <w:spacing w:after="0" w:line="211" w:lineRule="exact"/>
        <w:rPr>
          <w:sz w:val="20"/>
          <w:szCs w:val="20"/>
          <w:color w:val="auto"/>
        </w:rPr>
      </w:pPr>
    </w:p>
    <w:p>
      <w:pPr>
        <w:ind w:right="3599"/>
        <w:spacing w:after="0" w:line="215" w:lineRule="auto"/>
        <w:rPr>
          <w:sz w:val="20"/>
          <w:szCs w:val="20"/>
          <w:color w:val="auto"/>
        </w:rPr>
      </w:pPr>
      <w:r>
        <w:rPr>
          <w:rFonts w:ascii="Times New Roman" w:cs="Times New Roman" w:eastAsia="Times New Roman" w:hAnsi="Times New Roman"/>
          <w:sz w:val="21"/>
          <w:szCs w:val="21"/>
          <w:color w:val="auto"/>
        </w:rPr>
        <w:t>World Financial Network Credit Card Master Note Trust, Series 2009-VFN World Financial Network Credit Card Master Trust III, Series 2009-VFC1</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World Financial Network Credit Card Master Note Trust, Series 2023-A World Financial Network Credit Card Master Note Trust, Series 2024-A World Financial Network Credit Card Master Note Trust, Series 2024-B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This series was retired on June 16, 2025 and is no longer outstanding as of December 31, 2025.</w:t>
      </w:r>
    </w:p>
    <w:p>
      <w:pPr>
        <w:sectPr>
          <w:pgSz w:w="11900" w:h="16838" w:orient="portrait"/>
          <w:cols w:equalWidth="0" w:num="1">
            <w:col w:w="10139"/>
          </w:cols>
          <w:pgMar w:left="320" w:top="1440" w:right="1440" w:bottom="1440" w:gutter="0" w:footer="0" w:header="0"/>
        </w:sectPr>
      </w:pPr>
    </w:p>
    <w:bookmarkStart w:id="31" w:name="page32"/>
    <w:bookmarkEnd w:id="31"/>
    <w:p>
      <w:pPr>
        <w:ind w:left="8840"/>
        <w:spacing w:after="0"/>
        <w:rPr>
          <w:sz w:val="20"/>
          <w:szCs w:val="20"/>
          <w:color w:val="auto"/>
        </w:rPr>
      </w:pPr>
      <w:r>
        <w:rPr>
          <w:rFonts w:ascii="Times New Roman" w:cs="Times New Roman" w:eastAsia="Times New Roman" w:hAnsi="Times New Roman"/>
          <w:sz w:val="25"/>
          <w:szCs w:val="25"/>
          <w:b w:val="1"/>
          <w:bCs w:val="1"/>
          <w:color w:val="auto"/>
        </w:rPr>
        <w:t>Exhibit 33.3</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20"/>
          <w:szCs w:val="20"/>
          <w:color w:val="auto"/>
        </w:rPr>
        <w:t>Management's Assertion</w:t>
      </w:r>
    </w:p>
    <w:p>
      <w:pPr>
        <w:spacing w:after="0" w:line="20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20"/>
          <w:szCs w:val="20"/>
          <w:color w:val="auto"/>
        </w:rPr>
        <w:t>Report on Assessment of Compliance with Applicable Servicing Criteria</w:t>
      </w:r>
    </w:p>
    <w:p>
      <w:pPr>
        <w:spacing w:after="0" w:line="200" w:lineRule="exact"/>
        <w:rPr>
          <w:sz w:val="20"/>
          <w:szCs w:val="20"/>
          <w:color w:val="auto"/>
        </w:rPr>
      </w:pPr>
    </w:p>
    <w:p>
      <w:pPr>
        <w:spacing w:after="0" w:line="272" w:lineRule="exact"/>
        <w:rPr>
          <w:sz w:val="20"/>
          <w:szCs w:val="20"/>
          <w:color w:val="auto"/>
        </w:rPr>
      </w:pPr>
    </w:p>
    <w:p>
      <w:pPr>
        <w:ind w:left="1260"/>
        <w:spacing w:after="0" w:line="263" w:lineRule="auto"/>
        <w:rPr>
          <w:sz w:val="20"/>
          <w:szCs w:val="20"/>
          <w:color w:val="auto"/>
        </w:rPr>
      </w:pPr>
      <w:r>
        <w:rPr>
          <w:rFonts w:ascii="Times New Roman" w:cs="Times New Roman" w:eastAsia="Times New Roman" w:hAnsi="Times New Roman"/>
          <w:sz w:val="19"/>
          <w:szCs w:val="19"/>
          <w:color w:val="auto"/>
        </w:rPr>
        <w:t xml:space="preserve">Management of U.S. Bank National Association and U.S. Bank Trust Company, National Association (collectively “U.S. Bank”) is responsible for assessing compliance as of and for the year ended December 31, 2025, with the servicing criteria set forth in Item 1122 (d) of Regulation AB applicable to it as set forth on Exhibit A hereto. This report covers asset backed securities transactions within the </w:t>
      </w:r>
      <w:r>
        <w:rPr>
          <w:rFonts w:ascii="Times New Roman" w:cs="Times New Roman" w:eastAsia="Times New Roman" w:hAnsi="Times New Roman"/>
          <w:sz w:val="19"/>
          <w:szCs w:val="19"/>
          <w:b w:val="1"/>
          <w:bCs w:val="1"/>
          <w:color w:val="auto"/>
        </w:rPr>
        <w:t>U.S. Bank Corporate Trust Asset-</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b w:val="1"/>
          <w:bCs w:val="1"/>
          <w:color w:val="auto"/>
        </w:rPr>
        <w:t>Backed Securities Platform</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(the “Platform”)</w:t>
      </w:r>
    </w:p>
    <w:p>
      <w:pPr>
        <w:spacing w:after="0" w:line="182" w:lineRule="exact"/>
        <w:rPr>
          <w:sz w:val="20"/>
          <w:szCs w:val="20"/>
          <w:color w:val="auto"/>
        </w:rPr>
      </w:pPr>
    </w:p>
    <w:p>
      <w:pPr>
        <w:ind w:left="1260" w:right="320"/>
        <w:spacing w:after="0" w:line="283" w:lineRule="auto"/>
        <w:rPr>
          <w:sz w:val="20"/>
          <w:szCs w:val="20"/>
          <w:color w:val="auto"/>
        </w:rPr>
      </w:pPr>
      <w:r>
        <w:rPr>
          <w:rFonts w:ascii="Times New Roman" w:cs="Times New Roman" w:eastAsia="Times New Roman" w:hAnsi="Times New Roman"/>
          <w:sz w:val="20"/>
          <w:szCs w:val="20"/>
          <w:color w:val="auto"/>
        </w:rPr>
        <w:t>U.S. Bank hereby provides the following report on its assessment of compliance with the servicing criteria set forth in Item 1122 of Regulation AB applicable to it and as described on Exhibit A hereto:</w:t>
      </w:r>
    </w:p>
    <w:p>
      <w:pPr>
        <w:spacing w:after="0" w:line="173" w:lineRule="exact"/>
        <w:rPr>
          <w:sz w:val="20"/>
          <w:szCs w:val="20"/>
          <w:color w:val="auto"/>
        </w:rPr>
      </w:pPr>
    </w:p>
    <w:p>
      <w:pPr>
        <w:ind w:left="1900" w:right="620" w:hanging="326"/>
        <w:spacing w:after="0" w:line="283" w:lineRule="auto"/>
        <w:tabs>
          <w:tab w:leader="none" w:pos="192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Bank is responsible for assessing its compliance with the servicing criteria applicable to it as noted on the accompanying Exhibit A;</w:t>
      </w:r>
    </w:p>
    <w:p>
      <w:pPr>
        <w:spacing w:after="0" w:line="200" w:lineRule="exact"/>
        <w:rPr>
          <w:rFonts w:ascii="Times New Roman" w:cs="Times New Roman" w:eastAsia="Times New Roman" w:hAnsi="Times New Roman"/>
          <w:sz w:val="20"/>
          <w:szCs w:val="20"/>
          <w:color w:val="auto"/>
        </w:rPr>
      </w:pPr>
    </w:p>
    <w:p>
      <w:pPr>
        <w:ind w:left="1900" w:right="260" w:hanging="326"/>
        <w:spacing w:after="0" w:line="283" w:lineRule="auto"/>
        <w:tabs>
          <w:tab w:leader="none" w:pos="196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paragraph 3 below, U.S. Bank used the criteria set forth in paragraph (d) of Item 1122 of Regulation AB to assess its compliance with the applicable servicing criteria;</w:t>
      </w:r>
    </w:p>
    <w:p>
      <w:pPr>
        <w:spacing w:after="0" w:line="186" w:lineRule="exact"/>
        <w:rPr>
          <w:rFonts w:ascii="Times New Roman" w:cs="Times New Roman" w:eastAsia="Times New Roman" w:hAnsi="Times New Roman"/>
          <w:sz w:val="20"/>
          <w:szCs w:val="20"/>
          <w:color w:val="auto"/>
        </w:rPr>
      </w:pPr>
    </w:p>
    <w:p>
      <w:pPr>
        <w:ind w:left="1900" w:right="680" w:hanging="326"/>
        <w:spacing w:after="0" w:line="261" w:lineRule="auto"/>
        <w:tabs>
          <w:tab w:leader="none" w:pos="191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criteria listed in the column titled “Inapplicable Servicing Criteria” on Exhibit A hereto are inapplicable to U.S. Bank based on the servicing activities it performs directly with respect to the Platform;</w:t>
      </w:r>
    </w:p>
    <w:p>
      <w:pPr>
        <w:spacing w:after="0" w:line="194" w:lineRule="exact"/>
        <w:rPr>
          <w:rFonts w:ascii="Times New Roman" w:cs="Times New Roman" w:eastAsia="Times New Roman" w:hAnsi="Times New Roman"/>
          <w:sz w:val="20"/>
          <w:szCs w:val="20"/>
          <w:color w:val="auto"/>
        </w:rPr>
      </w:pPr>
    </w:p>
    <w:p>
      <w:pPr>
        <w:ind w:left="1900" w:right="240" w:hanging="326"/>
        <w:spacing w:after="0" w:line="283" w:lineRule="auto"/>
        <w:tabs>
          <w:tab w:leader="none" w:pos="192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Bank has complied, in all material respects, with the applicable servicing criteria as of and for the year ended December 31, 2025; and</w:t>
      </w:r>
    </w:p>
    <w:p>
      <w:pPr>
        <w:spacing w:after="0" w:line="173" w:lineRule="exact"/>
        <w:rPr>
          <w:rFonts w:ascii="Times New Roman" w:cs="Times New Roman" w:eastAsia="Times New Roman" w:hAnsi="Times New Roman"/>
          <w:sz w:val="20"/>
          <w:szCs w:val="20"/>
          <w:color w:val="auto"/>
        </w:rPr>
      </w:pPr>
    </w:p>
    <w:p>
      <w:pPr>
        <w:jc w:val="both"/>
        <w:ind w:left="1900" w:right="20" w:hanging="326"/>
        <w:spacing w:after="0" w:line="268" w:lineRule="auto"/>
        <w:tabs>
          <w:tab w:leader="none" w:pos="193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Ernst &amp; Young, LLP, a registered public accounting firm, has issued an attestation report on U.S. Bank’s assessment of compliance with the applicable servicing criteria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______________________</w:t>
      </w:r>
    </w:p>
    <w:p>
      <w:pPr>
        <w:spacing w:after="0" w:line="106" w:lineRule="exact"/>
        <w:rPr>
          <w:sz w:val="20"/>
          <w:szCs w:val="20"/>
          <w:color w:val="auto"/>
        </w:rPr>
      </w:pPr>
    </w:p>
    <w:p>
      <w:pPr>
        <w:ind w:left="1260" w:right="440" w:hanging="10"/>
        <w:spacing w:after="0" w:line="241" w:lineRule="auto"/>
        <w:tabs>
          <w:tab w:leader="none" w:pos="136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U.S. Bank Corporate Trust Asset-Backed Securities Platform (the "Platform") consists of the activities involved in the performance of servicing functions for which the Company provides trustee, securities administration, registrar and paying agent services for (i) publicly issued asset-backed and mortgage-backed transactions the securities of which were offered on or after January 1, 2006 and (ii) certain asset-backed transactions for which the Issuer has voluntarily elected to make Regulation AB compliant filings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280"/>
          </w:cols>
          <w:pgMar w:left="320" w:top="732" w:right="12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Corporate Trust ABS Platform (A)</w:t>
      </w:r>
    </w:p>
    <w:p>
      <w:pPr>
        <w:sectPr>
          <w:pgSz w:w="11900" w:h="16838" w:orient="portrait"/>
          <w:cols w:equalWidth="0" w:num="1">
            <w:col w:w="10280"/>
          </w:cols>
          <w:pgMar w:left="320" w:top="732" w:right="1299" w:bottom="1440" w:gutter="0" w:footer="0" w:header="0"/>
          <w:type w:val="continuous"/>
        </w:sectPr>
      </w:pPr>
    </w:p>
    <w:bookmarkStart w:id="32" w:name="page33"/>
    <w:bookmarkEnd w:id="32"/>
    <w:p>
      <w:pPr>
        <w:ind w:left="130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/s/ Joe Nardi</w:t>
      </w:r>
    </w:p>
    <w:p>
      <w:pPr>
        <w:ind w:left="1300"/>
        <w:spacing w:after="0" w:line="197" w:lineRule="auto"/>
        <w:rPr>
          <w:sz w:val="20"/>
          <w:szCs w:val="20"/>
          <w:color w:val="auto"/>
        </w:rPr>
      </w:pPr>
      <w:r>
        <w:rPr>
          <w:rFonts w:ascii="Times New Roman" w:cs="Times New Roman" w:eastAsia="Times New Roman" w:hAnsi="Times New Roman"/>
          <w:sz w:val="20"/>
          <w:szCs w:val="20"/>
          <w:color w:val="auto"/>
        </w:rPr>
        <w:t>Name: Joe Nardi</w:t>
      </w:r>
    </w:p>
    <w:p>
      <w:pPr>
        <w:ind w:left="130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200" w:lineRule="exact"/>
        <w:rPr>
          <w:sz w:val="20"/>
          <w:szCs w:val="20"/>
          <w:color w:val="auto"/>
        </w:rPr>
      </w:pP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/s/ Joe Nardi</w:t>
      </w:r>
    </w:p>
    <w:p>
      <w:pPr>
        <w:ind w:left="1300"/>
        <w:spacing w:after="0" w:line="211" w:lineRule="auto"/>
        <w:rPr>
          <w:sz w:val="20"/>
          <w:szCs w:val="20"/>
          <w:color w:val="auto"/>
        </w:rPr>
      </w:pPr>
      <w:r>
        <w:rPr>
          <w:rFonts w:ascii="Times New Roman" w:cs="Times New Roman" w:eastAsia="Times New Roman" w:hAnsi="Times New Roman"/>
          <w:sz w:val="20"/>
          <w:szCs w:val="20"/>
          <w:color w:val="auto"/>
        </w:rPr>
        <w:t>Name: Joe Nardi</w:t>
      </w:r>
    </w:p>
    <w:p>
      <w:pPr>
        <w:ind w:left="130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Dated: 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Times New Roman" w:cs="Times New Roman" w:eastAsia="Times New Roman" w:hAnsi="Times New Roman"/>
          <w:sz w:val="14"/>
          <w:szCs w:val="14"/>
          <w:color w:val="auto"/>
        </w:rPr>
        <w:t>Corporate Trust ABS Platform (A)</w:t>
      </w:r>
    </w:p>
    <w:p>
      <w:pPr>
        <w:sectPr>
          <w:pgSz w:w="11900" w:h="16838" w:orient="portrait"/>
          <w:cols w:equalWidth="0" w:num="1">
            <w:col w:w="10139"/>
          </w:cols>
          <w:pgMar w:left="320" w:top="940" w:right="1440" w:bottom="1440" w:gutter="0" w:footer="0" w:header="0"/>
        </w:sectPr>
      </w:pPr>
    </w:p>
    <w:bookmarkStart w:id="33" w:name="page34"/>
    <w:bookmarkEnd w:id="33"/>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A to Management’s Assertion</w:t>
      </w:r>
    </w:p>
    <w:p>
      <w:pPr>
        <w:spacing w:after="0" w:line="32" w:lineRule="exact"/>
        <w:rPr>
          <w:sz w:val="20"/>
          <w:szCs w:val="20"/>
          <w:color w:val="auto"/>
        </w:rPr>
      </w:pPr>
    </w:p>
    <w:tbl>
      <w:tblPr>
        <w:tblLayout w:type="fixed"/>
        <w:tblInd w:w="130" w:type="dxa"/>
        <w:tblCellMar>
          <w:top w:w="0" w:type="dxa"/>
          <w:left w:w="0" w:type="dxa"/>
          <w:bottom w:w="0" w:type="dxa"/>
          <w:right w:w="0" w:type="dxa"/>
        </w:tblCellMar>
      </w:tblPr>
      <w:tr>
        <w:trPr>
          <w:trHeight w:val="204"/>
        </w:trPr>
        <w:tc>
          <w:tcPr>
            <w:tcW w:w="1600" w:type="dxa"/>
            <w:vAlign w:val="bottom"/>
            <w:tcBorders>
              <w:top w:val="single" w:sz="8" w:color="auto"/>
              <w:left w:val="single" w:sz="8" w:color="auto"/>
              <w:right w:val="single" w:sz="8" w:color="auto"/>
            </w:tcBorders>
          </w:tcPr>
          <w:p>
            <w:pPr>
              <w:ind w:left="300"/>
              <w:spacing w:after="0" w:line="204" w:lineRule="exact"/>
              <w:rPr>
                <w:sz w:val="20"/>
                <w:szCs w:val="20"/>
                <w:color w:val="auto"/>
              </w:rPr>
            </w:pPr>
            <w:r>
              <w:rPr>
                <w:rFonts w:ascii="Times New Roman" w:cs="Times New Roman" w:eastAsia="Times New Roman" w:hAnsi="Times New Roman"/>
                <w:sz w:val="22"/>
                <w:szCs w:val="22"/>
                <w:b w:val="1"/>
                <w:bCs w:val="1"/>
                <w:color w:val="auto"/>
              </w:rPr>
              <w:t>Reference</w:t>
            </w:r>
          </w:p>
        </w:tc>
        <w:tc>
          <w:tcPr>
            <w:tcW w:w="6140" w:type="dxa"/>
            <w:vAlign w:val="bottom"/>
            <w:tcBorders>
              <w:top w:val="single" w:sz="8" w:color="auto"/>
              <w:right w:val="single" w:sz="8" w:color="auto"/>
            </w:tcBorders>
          </w:tcPr>
          <w:p>
            <w:pPr>
              <w:ind w:left="2220"/>
              <w:spacing w:after="0" w:line="204" w:lineRule="exact"/>
              <w:rPr>
                <w:sz w:val="20"/>
                <w:szCs w:val="20"/>
                <w:color w:val="auto"/>
              </w:rPr>
            </w:pPr>
            <w:r>
              <w:rPr>
                <w:rFonts w:ascii="Times New Roman" w:cs="Times New Roman" w:eastAsia="Times New Roman" w:hAnsi="Times New Roman"/>
                <w:sz w:val="22"/>
                <w:szCs w:val="22"/>
                <w:b w:val="1"/>
                <w:bCs w:val="1"/>
                <w:color w:val="auto"/>
              </w:rPr>
              <w:t>Servicing Criteria</w:t>
            </w:r>
          </w:p>
        </w:tc>
        <w:tc>
          <w:tcPr>
            <w:tcW w:w="142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2"/>
                <w:szCs w:val="22"/>
                <w:b w:val="1"/>
                <w:bCs w:val="1"/>
                <w:color w:val="auto"/>
                <w:w w:val="96"/>
              </w:rPr>
              <w:t>Applicable</w:t>
            </w:r>
          </w:p>
        </w:tc>
        <w:tc>
          <w:tcPr>
            <w:tcW w:w="1780" w:type="dxa"/>
            <w:vAlign w:val="bottom"/>
            <w:tcBorders>
              <w:top w:val="single" w:sz="8" w:color="auto"/>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22"/>
                <w:szCs w:val="22"/>
                <w:b w:val="1"/>
                <w:bCs w:val="1"/>
                <w:color w:val="auto"/>
                <w:w w:val="98"/>
              </w:rPr>
              <w:t>Inapplicable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1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Servicing</w:t>
            </w:r>
          </w:p>
        </w:tc>
        <w:tc>
          <w:tcPr>
            <w:tcW w:w="17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Servicing Criteria</w:t>
            </w:r>
          </w:p>
        </w:tc>
        <w:tc>
          <w:tcPr>
            <w:tcW w:w="0" w:type="dxa"/>
            <w:vAlign w:val="bottom"/>
          </w:tcPr>
          <w:p>
            <w:pPr>
              <w:spacing w:after="0"/>
              <w:rPr>
                <w:sz w:val="1"/>
                <w:szCs w:val="1"/>
                <w:color w:val="auto"/>
              </w:rPr>
            </w:pPr>
          </w:p>
        </w:tc>
      </w:tr>
      <w:tr>
        <w:trPr>
          <w:trHeight w:val="28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614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Criteria</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60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22"/>
                <w:szCs w:val="22"/>
                <w:b w:val="1"/>
                <w:bCs w:val="1"/>
                <w:color w:val="auto"/>
              </w:rPr>
              <w:t>General Servicing Considerations</w:t>
            </w:r>
          </w:p>
        </w:tc>
        <w:tc>
          <w:tcPr>
            <w:tcW w:w="142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1122(d)(1)(i)</w:t>
            </w:r>
          </w:p>
        </w:tc>
        <w:tc>
          <w:tcPr>
            <w:tcW w:w="614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color w:val="auto"/>
              </w:rPr>
              <w:t>Policies and procedures are instituted to monitor any performance or other triggers and</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600" w:type="dxa"/>
            <w:vAlign w:val="bottom"/>
            <w:tcBorders>
              <w:left w:val="single" w:sz="8" w:color="auto"/>
              <w:right w:val="single" w:sz="8" w:color="auto"/>
            </w:tcBorders>
          </w:tcPr>
          <w:p>
            <w:pPr>
              <w:spacing w:after="0"/>
              <w:rPr>
                <w:sz w:val="10"/>
                <w:szCs w:val="10"/>
                <w:color w:val="auto"/>
              </w:rPr>
            </w:pPr>
          </w:p>
        </w:tc>
        <w:tc>
          <w:tcPr>
            <w:tcW w:w="6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events of default in accordance with the transaction agreements.</w:t>
            </w:r>
          </w:p>
        </w:tc>
        <w:tc>
          <w:tcPr>
            <w:tcW w:w="14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00" w:type="dxa"/>
            <w:vAlign w:val="bottom"/>
            <w:tcBorders>
              <w:left w:val="single" w:sz="8" w:color="auto"/>
              <w:bottom w:val="single" w:sz="8" w:color="auto"/>
              <w:right w:val="single" w:sz="8" w:color="auto"/>
            </w:tcBorders>
          </w:tcPr>
          <w:p>
            <w:pPr>
              <w:spacing w:after="0"/>
              <w:rPr>
                <w:sz w:val="8"/>
                <w:szCs w:val="8"/>
                <w:color w:val="auto"/>
              </w:rPr>
            </w:pPr>
          </w:p>
        </w:tc>
        <w:tc>
          <w:tcPr>
            <w:tcW w:w="6140" w:type="dxa"/>
            <w:vAlign w:val="bottom"/>
            <w:tcBorders>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1122(d)(1)(ii)</w:t>
            </w:r>
          </w:p>
        </w:tc>
        <w:tc>
          <w:tcPr>
            <w:tcW w:w="614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If any material servicing activities are outsourced to third parties, policies and procedures</w:t>
            </w:r>
          </w:p>
        </w:tc>
        <w:tc>
          <w:tcPr>
            <w:tcW w:w="142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are instituted to monitor the third party’s performance and compliance with such servicing</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X</w:t>
            </w:r>
            <w:r>
              <w:rPr>
                <w:rFonts w:ascii="Times New Roman" w:cs="Times New Roman" w:eastAsia="Times New Roman" w:hAnsi="Times New Roman"/>
                <w:sz w:val="21"/>
                <w:szCs w:val="21"/>
                <w:b w:val="1"/>
                <w:bCs w:val="1"/>
                <w:color w:val="auto"/>
                <w:w w:val="96"/>
                <w:vertAlign w:val="superscript"/>
              </w:rPr>
              <w:t>2</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activities.</w:t>
            </w:r>
          </w:p>
        </w:tc>
        <w:tc>
          <w:tcPr>
            <w:tcW w:w="142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1122(d)(1)(iii)</w:t>
            </w:r>
          </w:p>
        </w:tc>
        <w:tc>
          <w:tcPr>
            <w:tcW w:w="614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color w:val="auto"/>
              </w:rPr>
              <w:t>Any requirements in the transaction agreements to maintain a back-up servicer for the</w:t>
            </w:r>
          </w:p>
        </w:tc>
        <w:tc>
          <w:tcPr>
            <w:tcW w:w="142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6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Pool Assets are maintained.</w:t>
            </w:r>
          </w:p>
        </w:tc>
        <w:tc>
          <w:tcPr>
            <w:tcW w:w="14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1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1122(d)(1)(iv)</w:t>
            </w:r>
          </w:p>
        </w:tc>
        <w:tc>
          <w:tcPr>
            <w:tcW w:w="614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A fidelity bond and errors and omissions policy is in effect on the party participating in</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the servicing function throughout the reporting period in the amount of coverage required</w:t>
            </w:r>
          </w:p>
        </w:tc>
        <w:tc>
          <w:tcPr>
            <w:tcW w:w="14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by and otherwise in accordance with the terms of the transaction agreements.</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1122(d)(1)(v)</w:t>
            </w:r>
          </w:p>
        </w:tc>
        <w:tc>
          <w:tcPr>
            <w:tcW w:w="6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Aggregation of information, as applicable, is mathematically accurate and the information</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X</w:t>
            </w:r>
            <w:r>
              <w:rPr>
                <w:rFonts w:ascii="Times New Roman" w:cs="Times New Roman" w:eastAsia="Times New Roman" w:hAnsi="Times New Roman"/>
                <w:sz w:val="21"/>
                <w:szCs w:val="21"/>
                <w:b w:val="1"/>
                <w:bCs w:val="1"/>
                <w:color w:val="auto"/>
                <w:w w:val="96"/>
                <w:vertAlign w:val="superscript"/>
              </w:rPr>
              <w:t>3</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conveyed accurately reflects the information.</w:t>
            </w:r>
          </w:p>
        </w:tc>
        <w:tc>
          <w:tcPr>
            <w:tcW w:w="142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60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22"/>
                <w:szCs w:val="22"/>
                <w:b w:val="1"/>
                <w:bCs w:val="1"/>
                <w:color w:val="auto"/>
              </w:rPr>
              <w:t>Cash Collection and Administration</w:t>
            </w:r>
          </w:p>
        </w:tc>
        <w:tc>
          <w:tcPr>
            <w:tcW w:w="142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1122(d)(2)(i)</w:t>
            </w:r>
          </w:p>
        </w:tc>
        <w:tc>
          <w:tcPr>
            <w:tcW w:w="614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color w:val="auto"/>
              </w:rPr>
              <w:t>Payments on pool assets are deposited into the appropriate custodial bank accounts and</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related bank clearing accounts no more than two business days following receipt, or such</w:t>
            </w:r>
          </w:p>
        </w:tc>
        <w:tc>
          <w:tcPr>
            <w:tcW w:w="14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number of days specified in the transaction agreements.</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1122(d)(2)(ii)</w:t>
            </w:r>
          </w:p>
        </w:tc>
        <w:tc>
          <w:tcPr>
            <w:tcW w:w="6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Disbursements made via wire transfer on behalf of an obligor or to an investor are made</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6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only by authorized personnel.</w:t>
            </w:r>
          </w:p>
        </w:tc>
        <w:tc>
          <w:tcPr>
            <w:tcW w:w="142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140" w:type="dxa"/>
            <w:vAlign w:val="bottom"/>
            <w:tcBorders>
              <w:bottom w:val="single" w:sz="8" w:color="auto"/>
              <w:right w:val="single" w:sz="8" w:color="auto"/>
            </w:tcBorders>
            <w:vMerge w:val="continue"/>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1122(d)(2)(iii)</w:t>
            </w:r>
          </w:p>
        </w:tc>
        <w:tc>
          <w:tcPr>
            <w:tcW w:w="6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Advances of funds or guarantees regarding collections, cash flows or distributions, and</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X</w:t>
            </w:r>
            <w:r>
              <w:rPr>
                <w:rFonts w:ascii="Times New Roman" w:cs="Times New Roman" w:eastAsia="Times New Roman" w:hAnsi="Times New Roman"/>
                <w:sz w:val="21"/>
                <w:szCs w:val="21"/>
                <w:b w:val="1"/>
                <w:bCs w:val="1"/>
                <w:color w:val="auto"/>
                <w:w w:val="96"/>
                <w:vertAlign w:val="superscript"/>
              </w:rPr>
              <w:t>4</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any interest or other fees charged for such advances, are made, reviewed and approved as</w:t>
            </w:r>
          </w:p>
        </w:tc>
        <w:tc>
          <w:tcPr>
            <w:tcW w:w="14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specified in the transaction agreements.</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1122(d)(2)(iv)</w:t>
            </w:r>
          </w:p>
        </w:tc>
        <w:tc>
          <w:tcPr>
            <w:tcW w:w="614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The related accounts for the transaction, such as cash reserve accounts or accounts</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established as a form of over collateralization, are separately maintained (e.g., with</w:t>
            </w:r>
          </w:p>
        </w:tc>
        <w:tc>
          <w:tcPr>
            <w:tcW w:w="142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respect to commingling of cash) as set forth in the transaction agreements.</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1122(d)(2)(v)</w:t>
            </w:r>
          </w:p>
        </w:tc>
        <w:tc>
          <w:tcPr>
            <w:tcW w:w="614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Each custodial account is maintained at a federally insured depository institution as set forth</w:t>
            </w:r>
          </w:p>
        </w:tc>
        <w:tc>
          <w:tcPr>
            <w:tcW w:w="142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4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in the transaction agreements. For purposes of this criterion, “federally insured depository</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6140" w:type="dxa"/>
            <w:vAlign w:val="bottom"/>
            <w:tcBorders>
              <w:right w:val="single" w:sz="8" w:color="auto"/>
            </w:tcBorders>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institution” with respect to a foreign financial institution means a foreign financial</w:t>
            </w:r>
          </w:p>
        </w:tc>
        <w:tc>
          <w:tcPr>
            <w:tcW w:w="142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600" w:type="dxa"/>
            <w:vAlign w:val="bottom"/>
            <w:tcBorders>
              <w:left w:val="single" w:sz="8" w:color="auto"/>
              <w:right w:val="single" w:sz="8" w:color="auto"/>
            </w:tcBorders>
          </w:tcPr>
          <w:p>
            <w:pPr>
              <w:spacing w:after="0"/>
              <w:rPr>
                <w:sz w:val="2"/>
                <w:szCs w:val="2"/>
                <w:color w:val="auto"/>
              </w:rPr>
            </w:pPr>
          </w:p>
        </w:tc>
        <w:tc>
          <w:tcPr>
            <w:tcW w:w="6140" w:type="dxa"/>
            <w:vAlign w:val="bottom"/>
            <w:tcBorders>
              <w:right w:val="single" w:sz="8" w:color="auto"/>
            </w:tcBorders>
            <w:vMerge w:val="continue"/>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institution that meets the requirements of Rule 13k-1(b)(1) of the Securities Exchange Act.</w:t>
            </w:r>
          </w:p>
        </w:tc>
        <w:tc>
          <w:tcPr>
            <w:tcW w:w="142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1122(d)(2)(vi)</w:t>
            </w:r>
          </w:p>
        </w:tc>
        <w:tc>
          <w:tcPr>
            <w:tcW w:w="61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Unissued checks are safeguarded so as to prevent unauthorized access.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______________________</w:t>
      </w:r>
    </w:p>
    <w:p>
      <w:pPr>
        <w:ind w:left="1320" w:hanging="70"/>
        <w:spacing w:after="0" w:line="181" w:lineRule="auto"/>
        <w:tabs>
          <w:tab w:leader="none" w:pos="13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servicing activities were performed by the Company that required the servicing criteria to be complied with.</w:t>
      </w:r>
    </w:p>
    <w:p>
      <w:pPr>
        <w:jc w:val="both"/>
        <w:ind w:left="1260" w:right="2460"/>
        <w:spacing w:after="0" w:line="21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No servicing activities were performed by the Company that required the servicing criteria to be complied with. </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No servicing activities were performed by the Company that required the servicing criteria to be complied with.</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w:t>
      </w:r>
    </w:p>
    <w:p>
      <w:pPr>
        <w:spacing w:after="0"/>
        <w:rPr>
          <w:sz w:val="20"/>
          <w:szCs w:val="20"/>
          <w:color w:val="auto"/>
        </w:rPr>
      </w:pPr>
      <w:r>
        <w:rPr>
          <w:rFonts w:ascii="Times New Roman" w:cs="Times New Roman" w:eastAsia="Times New Roman" w:hAnsi="Times New Roman"/>
          <w:sz w:val="14"/>
          <w:szCs w:val="14"/>
          <w:color w:val="auto"/>
        </w:rPr>
        <w:t>Corporate Trust ABS Platform (A)</w:t>
      </w:r>
    </w:p>
    <w:p>
      <w:pPr>
        <w:sectPr>
          <w:pgSz w:w="11900" w:h="16838" w:orient="portrait"/>
          <w:cols w:equalWidth="0" w:num="1">
            <w:col w:w="11060"/>
          </w:cols>
          <w:pgMar w:left="320" w:top="1179" w:right="519" w:bottom="1440" w:gutter="0" w:footer="0" w:header="0"/>
        </w:sectPr>
      </w:pPr>
    </w:p>
    <w:bookmarkStart w:id="34" w:name="page35"/>
    <w:bookmarkEnd w:id="34"/>
    <w:tbl>
      <w:tblPr>
        <w:tblLayout w:type="fixed"/>
        <w:tblInd w:w="13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right w:val="single" w:sz="8" w:color="auto"/>
            </w:tcBorders>
          </w:tcPr>
          <w:p>
            <w:pPr>
              <w:ind w:left="300"/>
              <w:spacing w:after="0" w:line="216" w:lineRule="exact"/>
              <w:rPr>
                <w:sz w:val="20"/>
                <w:szCs w:val="20"/>
                <w:color w:val="auto"/>
              </w:rPr>
            </w:pPr>
            <w:r>
              <w:rPr>
                <w:rFonts w:ascii="Times New Roman" w:cs="Times New Roman" w:eastAsia="Times New Roman" w:hAnsi="Times New Roman"/>
                <w:sz w:val="22"/>
                <w:szCs w:val="22"/>
                <w:b w:val="1"/>
                <w:bCs w:val="1"/>
                <w:color w:val="auto"/>
              </w:rPr>
              <w:t>Reference</w:t>
            </w:r>
          </w:p>
        </w:tc>
        <w:tc>
          <w:tcPr>
            <w:tcW w:w="6120" w:type="dxa"/>
            <w:vAlign w:val="bottom"/>
            <w:tcBorders>
              <w:top w:val="single" w:sz="8" w:color="auto"/>
              <w:right w:val="single" w:sz="8" w:color="auto"/>
            </w:tcBorders>
          </w:tcPr>
          <w:p>
            <w:pPr>
              <w:ind w:left="2220"/>
              <w:spacing w:after="0" w:line="216" w:lineRule="exact"/>
              <w:rPr>
                <w:sz w:val="20"/>
                <w:szCs w:val="20"/>
                <w:color w:val="auto"/>
              </w:rPr>
            </w:pPr>
            <w:r>
              <w:rPr>
                <w:rFonts w:ascii="Times New Roman" w:cs="Times New Roman" w:eastAsia="Times New Roman" w:hAnsi="Times New Roman"/>
                <w:sz w:val="22"/>
                <w:szCs w:val="22"/>
                <w:b w:val="1"/>
                <w:bCs w:val="1"/>
                <w:color w:val="auto"/>
              </w:rPr>
              <w:t>Servicing Criteria</w:t>
            </w:r>
          </w:p>
        </w:tc>
        <w:tc>
          <w:tcPr>
            <w:tcW w:w="14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Applicable</w:t>
            </w:r>
          </w:p>
        </w:tc>
        <w:tc>
          <w:tcPr>
            <w:tcW w:w="17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Inapplicable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Servicing</w:t>
            </w:r>
          </w:p>
        </w:tc>
        <w:tc>
          <w:tcPr>
            <w:tcW w:w="17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Servicing Criteria</w:t>
            </w: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Criteria</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1122(d)(2)(vii)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Reconciliations are prepared on a monthly basis for all asset-backed securities related</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bank accounts, including custodial accounts and related bank clearing accounts. These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reconciliations are (A) mathematically accurate; (B) prepared within 30 calendar days</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after the bank statement cutoff date, or such other number of days specified in the</w:t>
            </w:r>
          </w:p>
        </w:tc>
        <w:tc>
          <w:tcPr>
            <w:tcW w:w="1440" w:type="dxa"/>
            <w:vAlign w:val="bottom"/>
            <w:tcBorders>
              <w:right w:val="single" w:sz="8" w:color="auto"/>
            </w:tcBorders>
            <w:vMerge w:val="continue"/>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transaction agreements; (C) reviewed and approved by someone other than the person</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who prepared the reconciliation; and (D) contain explanations for reconciling items.</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These reconciling items are resolved within 90 calendar days of their original</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identification, or such other number of days specified in the 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3"/>
        </w:trPr>
        <w:tc>
          <w:tcPr>
            <w:tcW w:w="1600" w:type="dxa"/>
            <w:vAlign w:val="bottom"/>
            <w:tcBorders>
              <w:left w:val="single" w:sz="8" w:color="auto"/>
              <w:bottom w:val="single" w:sz="8" w:color="auto"/>
            </w:tcBorders>
          </w:tcPr>
          <w:p>
            <w:pPr>
              <w:spacing w:after="0"/>
              <w:rPr>
                <w:sz w:val="24"/>
                <w:szCs w:val="24"/>
                <w:color w:val="auto"/>
              </w:rPr>
            </w:pPr>
          </w:p>
        </w:tc>
        <w:tc>
          <w:tcPr>
            <w:tcW w:w="61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22"/>
                <w:szCs w:val="22"/>
                <w:b w:val="1"/>
                <w:bCs w:val="1"/>
                <w:color w:val="auto"/>
              </w:rPr>
              <w:t>Investor Remittances and Reporting</w:t>
            </w:r>
          </w:p>
        </w:tc>
        <w:tc>
          <w:tcPr>
            <w:tcW w:w="14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1122(d)(3)(i)</w:t>
            </w:r>
          </w:p>
        </w:tc>
        <w:tc>
          <w:tcPr>
            <w:tcW w:w="612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color w:val="auto"/>
              </w:rPr>
              <w:t>Reports to investors, including those to be filed with the Commission, are maintained in</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accordance with the transaction agreements and applicable Commission requirements.</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Specifically, such reports (A) are prepared in accordance with timeframes and other terms</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set forth in the transaction agreements; (B) provide information calculated in accordance</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0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100"/>
              <w:spacing w:after="0" w:line="162" w:lineRule="exact"/>
              <w:rPr>
                <w:sz w:val="20"/>
                <w:szCs w:val="20"/>
                <w:color w:val="auto"/>
              </w:rPr>
            </w:pPr>
            <w:r>
              <w:rPr>
                <w:rFonts w:ascii="Times New Roman" w:cs="Times New Roman" w:eastAsia="Times New Roman" w:hAnsi="Times New Roman"/>
                <w:sz w:val="16"/>
                <w:szCs w:val="16"/>
                <w:color w:val="auto"/>
              </w:rPr>
              <w:t>with the terms specified in the transaction agreements; (C) are filed with the Commission</w:t>
            </w:r>
          </w:p>
        </w:tc>
        <w:tc>
          <w:tcPr>
            <w:tcW w:w="14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60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continue"/>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as required by its rules and regulations; and (D) agree with investors’ or the trustee’s</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records as to the total unpaid principal balance and number of Pool Assets serviced by the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Servicer.</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1122(d)(3)(ii)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Amounts due to investors are allocated and remitted in accordance with timeframes,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distribution priority and other terms set forth in the 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1122(d)(3)(iii)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Disbursements made to an investor are posted within two business days to the Servicer’s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investor records, or such other number of days specified in the 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1122(d)(3)(iv)</w:t>
            </w:r>
          </w:p>
        </w:tc>
        <w:tc>
          <w:tcPr>
            <w:tcW w:w="612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Amounts remitted to investors per the investor reports agree with cancelled checks, or</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other form of payment, or custodial bank statements.</w:t>
            </w:r>
          </w:p>
        </w:tc>
        <w:tc>
          <w:tcPr>
            <w:tcW w:w="144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12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3"/>
        </w:trPr>
        <w:tc>
          <w:tcPr>
            <w:tcW w:w="1600" w:type="dxa"/>
            <w:vAlign w:val="bottom"/>
            <w:tcBorders>
              <w:left w:val="single" w:sz="8" w:color="auto"/>
              <w:bottom w:val="single" w:sz="8" w:color="auto"/>
            </w:tcBorders>
          </w:tcPr>
          <w:p>
            <w:pPr>
              <w:spacing w:after="0"/>
              <w:rPr>
                <w:sz w:val="24"/>
                <w:szCs w:val="24"/>
                <w:color w:val="auto"/>
              </w:rPr>
            </w:pPr>
          </w:p>
        </w:tc>
        <w:tc>
          <w:tcPr>
            <w:tcW w:w="61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22"/>
                <w:szCs w:val="22"/>
                <w:b w:val="1"/>
                <w:bCs w:val="1"/>
                <w:color w:val="auto"/>
              </w:rPr>
              <w:t>Pool Asset Administration</w:t>
            </w:r>
          </w:p>
        </w:tc>
        <w:tc>
          <w:tcPr>
            <w:tcW w:w="14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0" w:type="dxa"/>
            <w:vAlign w:val="bottom"/>
            <w:tcBorders>
              <w:left w:val="single" w:sz="8" w:color="auto"/>
              <w:right w:val="single" w:sz="8" w:color="auto"/>
            </w:tcBorders>
          </w:tcPr>
          <w:p>
            <w:pPr>
              <w:ind w:left="120"/>
              <w:spacing w:after="0" w:line="155" w:lineRule="exact"/>
              <w:rPr>
                <w:sz w:val="20"/>
                <w:szCs w:val="20"/>
                <w:color w:val="auto"/>
              </w:rPr>
            </w:pPr>
            <w:r>
              <w:rPr>
                <w:rFonts w:ascii="Times New Roman" w:cs="Times New Roman" w:eastAsia="Times New Roman" w:hAnsi="Times New Roman"/>
                <w:sz w:val="16"/>
                <w:szCs w:val="16"/>
                <w:color w:val="auto"/>
              </w:rPr>
              <w:t>1122(d)(4)(i)</w:t>
            </w:r>
          </w:p>
        </w:tc>
        <w:tc>
          <w:tcPr>
            <w:tcW w:w="6120" w:type="dxa"/>
            <w:vAlign w:val="bottom"/>
            <w:tcBorders>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6"/>
                <w:szCs w:val="16"/>
                <w:color w:val="auto"/>
              </w:rPr>
              <w:t>Collateral or security on pool assets is maintained as required by the transaction</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agreements or related pool asset documents.</w:t>
            </w:r>
          </w:p>
        </w:tc>
        <w:tc>
          <w:tcPr>
            <w:tcW w:w="144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00" w:type="dxa"/>
            <w:vAlign w:val="bottom"/>
            <w:tcBorders>
              <w:left w:val="single" w:sz="8" w:color="auto"/>
              <w:bottom w:val="single" w:sz="8" w:color="auto"/>
              <w:right w:val="single" w:sz="8" w:color="auto"/>
            </w:tcBorders>
          </w:tcPr>
          <w:p>
            <w:pPr>
              <w:spacing w:after="0"/>
              <w:rPr>
                <w:sz w:val="8"/>
                <w:szCs w:val="8"/>
                <w:color w:val="auto"/>
              </w:rPr>
            </w:pPr>
          </w:p>
        </w:tc>
        <w:tc>
          <w:tcPr>
            <w:tcW w:w="6120" w:type="dxa"/>
            <w:vAlign w:val="bottom"/>
            <w:tcBorders>
              <w:bottom w:val="single" w:sz="8" w:color="auto"/>
              <w:right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1122(d)(4)(ii)</w:t>
            </w:r>
          </w:p>
        </w:tc>
        <w:tc>
          <w:tcPr>
            <w:tcW w:w="612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Pool assets and related documents are safeguarded as required by the transaction</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agreements.</w:t>
            </w:r>
          </w:p>
        </w:tc>
        <w:tc>
          <w:tcPr>
            <w:tcW w:w="144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12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1122(d)(4)(iii)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Any additions, removals or substitutions to the asset pool are made, reviewed and</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approved in accordance with any conditions or requirements in the transaction</w:t>
            </w:r>
          </w:p>
        </w:tc>
        <w:tc>
          <w:tcPr>
            <w:tcW w:w="14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color w:val="auto"/>
              </w:rPr>
              <w:t>1122(d)(4)(iv)</w:t>
            </w:r>
          </w:p>
        </w:tc>
        <w:tc>
          <w:tcPr>
            <w:tcW w:w="612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Payments on pool assets, including any payoffs, made in accordance with the related pool</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asset documents are posted to the Servicer’s obligor records maintained no more than two</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business days after receipt, or such other number of days specified in the transaction</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agreements, and allocated to principal, interest or other items (e.g., escrow) in accordance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with the related pool asset documents.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w:t>
      </w:r>
    </w:p>
    <w:p>
      <w:pPr>
        <w:spacing w:after="0"/>
        <w:rPr>
          <w:sz w:val="20"/>
          <w:szCs w:val="20"/>
          <w:color w:val="auto"/>
        </w:rPr>
      </w:pPr>
      <w:r>
        <w:rPr>
          <w:rFonts w:ascii="Times New Roman" w:cs="Times New Roman" w:eastAsia="Times New Roman" w:hAnsi="Times New Roman"/>
          <w:sz w:val="14"/>
          <w:szCs w:val="14"/>
          <w:color w:val="auto"/>
        </w:rPr>
        <w:t>Corporate Trust ABS Platform (A)</w:t>
      </w:r>
    </w:p>
    <w:p>
      <w:pPr>
        <w:sectPr>
          <w:pgSz w:w="11900" w:h="16838" w:orient="portrait"/>
          <w:cols w:equalWidth="0" w:num="1">
            <w:col w:w="11060"/>
          </w:cols>
          <w:pgMar w:left="320" w:top="1267" w:right="519" w:bottom="1440" w:gutter="0" w:footer="0" w:header="0"/>
        </w:sectPr>
      </w:pPr>
    </w:p>
    <w:bookmarkStart w:id="35" w:name="page36"/>
    <w:bookmarkEnd w:id="35"/>
    <w:tbl>
      <w:tblPr>
        <w:tblLayout w:type="fixed"/>
        <w:tblInd w:w="13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right w:val="single" w:sz="8" w:color="auto"/>
            </w:tcBorders>
          </w:tcPr>
          <w:p>
            <w:pPr>
              <w:ind w:left="300"/>
              <w:spacing w:after="0" w:line="216" w:lineRule="exact"/>
              <w:rPr>
                <w:sz w:val="20"/>
                <w:szCs w:val="20"/>
                <w:color w:val="auto"/>
              </w:rPr>
            </w:pPr>
            <w:r>
              <w:rPr>
                <w:rFonts w:ascii="Times New Roman" w:cs="Times New Roman" w:eastAsia="Times New Roman" w:hAnsi="Times New Roman"/>
                <w:sz w:val="22"/>
                <w:szCs w:val="22"/>
                <w:b w:val="1"/>
                <w:bCs w:val="1"/>
                <w:color w:val="auto"/>
              </w:rPr>
              <w:t>Reference</w:t>
            </w:r>
          </w:p>
        </w:tc>
        <w:tc>
          <w:tcPr>
            <w:tcW w:w="6120" w:type="dxa"/>
            <w:vAlign w:val="bottom"/>
            <w:tcBorders>
              <w:top w:val="single" w:sz="8" w:color="auto"/>
              <w:right w:val="single" w:sz="8" w:color="auto"/>
            </w:tcBorders>
          </w:tcPr>
          <w:p>
            <w:pPr>
              <w:ind w:left="2220"/>
              <w:spacing w:after="0" w:line="216" w:lineRule="exact"/>
              <w:rPr>
                <w:sz w:val="20"/>
                <w:szCs w:val="20"/>
                <w:color w:val="auto"/>
              </w:rPr>
            </w:pPr>
            <w:r>
              <w:rPr>
                <w:rFonts w:ascii="Times New Roman" w:cs="Times New Roman" w:eastAsia="Times New Roman" w:hAnsi="Times New Roman"/>
                <w:sz w:val="22"/>
                <w:szCs w:val="22"/>
                <w:b w:val="1"/>
                <w:bCs w:val="1"/>
                <w:color w:val="auto"/>
              </w:rPr>
              <w:t>Servicing Criteria</w:t>
            </w:r>
          </w:p>
        </w:tc>
        <w:tc>
          <w:tcPr>
            <w:tcW w:w="144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Applicable</w:t>
            </w:r>
          </w:p>
        </w:tc>
        <w:tc>
          <w:tcPr>
            <w:tcW w:w="17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Inapplicable</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1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Servicing</w:t>
            </w:r>
          </w:p>
        </w:tc>
        <w:tc>
          <w:tcPr>
            <w:tcW w:w="17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Servicing Criteria</w:t>
            </w: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Criteria</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1122(d)(4)(v)</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Servicer’s records regarding the pool assets agree with the Servicer’s records with</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respect to an obligor’s unpaid principal balance.</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1122(d)(4)(vi)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Changes with respect to the terms or status of an obligor's pool assets (e.g., loan</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modifications or re-agings) are made, reviewed and approved by authorized personnel in</w:t>
            </w:r>
          </w:p>
        </w:tc>
        <w:tc>
          <w:tcPr>
            <w:tcW w:w="14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accordance with the transaction agreements and related pool asset documents.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1122(d)(4)(vii)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Loss mitigation or recovery actions (e.g., forbearance plans, modifications and deeds in</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lieu of foreclosure, foreclosures and repossessions, as applicable) are initiated, conducted</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and concluded in accordance with the timeframes or other requirements established by</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1122(d)(4)(viii)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Records documenting collection efforts are maintained during the period a pool asset is</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delinquent in accordance with the transaction agreements. Such records are maintained on</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at least a monthly basis, or such other period specified in the transaction agreements, and</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describe the entity’s activities in monitoring delinquent pool assets including, for</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example, phone calls, letters and payment rescheduling plans in cases where delinquency</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is deemed temporary (e.g., illness or unemployment).</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1122(d)(4)(ix)</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Adjustments to interest rates or rates of return for pool assets with variable rates are</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computed based on the related pool asset documents.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1122(d)(4)(x)</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Regarding any funds held in trust for an obligor (such as escrow accounts): (A) such funds</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are analyzed, in accordance with the obligor’s pool asset documents, on at least an annual</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basis, or such other period specified in the transaction agreements; (B) interest on such</w:t>
            </w:r>
          </w:p>
        </w:tc>
        <w:tc>
          <w:tcPr>
            <w:tcW w:w="144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funds is paid, or credited, to obligors in accordance with applicable pool asset documents</w:t>
            </w:r>
          </w:p>
        </w:tc>
        <w:tc>
          <w:tcPr>
            <w:tcW w:w="14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and state laws; and (C) such funds are returned to the obligor within 30 calendar days of</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full repayment of the related pool assets, or such other number of days specified in the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1122(d)(4)(xi)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Payments made on behalf of an obligor (such as tax or insurance payments) are made on</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60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or before the related penalty or expiration dates, as indicated on the appropriate bills or</w:t>
            </w:r>
          </w:p>
        </w:tc>
        <w:tc>
          <w:tcPr>
            <w:tcW w:w="144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notices for such payments, provided that such support has been received by the servicer at</w:t>
            </w:r>
          </w:p>
        </w:tc>
        <w:tc>
          <w:tcPr>
            <w:tcW w:w="14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least 30 calendar days prior to these dates, or such other number of days specified in the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1122(d)(4)(xii)</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Any late payment penalties in connection with any payment to be made on behalf of an</w:t>
            </w:r>
          </w:p>
        </w:tc>
        <w:tc>
          <w:tcPr>
            <w:tcW w:w="14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obligor are paid from the Servicer’s funds and not charged to the obligor, unless the late</w:t>
            </w:r>
          </w:p>
        </w:tc>
        <w:tc>
          <w:tcPr>
            <w:tcW w:w="144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payment was due to the obligor’s error or omission.</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spacing w:after="0"/>
              <w:rPr>
                <w:sz w:val="13"/>
                <w:szCs w:val="13"/>
                <w:color w:val="auto"/>
              </w:rPr>
            </w:pPr>
          </w:p>
        </w:tc>
        <w:tc>
          <w:tcPr>
            <w:tcW w:w="612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Disbursements made on behalf of an obligor are posted within two business days to the</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1122(d)(4)(xiii)</w:t>
            </w:r>
          </w:p>
        </w:tc>
        <w:tc>
          <w:tcPr>
            <w:tcW w:w="61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6"/>
                <w:szCs w:val="16"/>
                <w:color w:val="auto"/>
              </w:rPr>
              <w:t>obligor’s records maintained by the servicer, or such other number of days specified in the</w:t>
            </w:r>
          </w:p>
        </w:tc>
        <w:tc>
          <w:tcPr>
            <w:tcW w:w="14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tcBorders>
              <w:left w:val="single" w:sz="8" w:color="auto"/>
              <w:right w:val="single" w:sz="8" w:color="auto"/>
            </w:tcBorders>
            <w:vMerge w:val="continue"/>
          </w:tcPr>
          <w:p>
            <w:pPr>
              <w:spacing w:after="0"/>
              <w:rPr>
                <w:sz w:val="11"/>
                <w:szCs w:val="11"/>
                <w:color w:val="auto"/>
              </w:rPr>
            </w:pPr>
          </w:p>
        </w:tc>
        <w:tc>
          <w:tcPr>
            <w:tcW w:w="6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transaction agreements.</w:t>
            </w:r>
          </w:p>
        </w:tc>
        <w:tc>
          <w:tcPr>
            <w:tcW w:w="144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12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spacing w:after="0"/>
              <w:rPr>
                <w:sz w:val="13"/>
                <w:szCs w:val="13"/>
                <w:color w:val="auto"/>
              </w:rPr>
            </w:pPr>
          </w:p>
        </w:tc>
        <w:tc>
          <w:tcPr>
            <w:tcW w:w="6120" w:type="dxa"/>
            <w:vAlign w:val="bottom"/>
            <w:tcBorders>
              <w:right w:val="single" w:sz="8" w:color="auto"/>
            </w:tcBorders>
          </w:tcPr>
          <w:p>
            <w:pPr>
              <w:ind w:left="100"/>
              <w:spacing w:after="0" w:line="158" w:lineRule="exact"/>
              <w:rPr>
                <w:sz w:val="20"/>
                <w:szCs w:val="20"/>
                <w:color w:val="auto"/>
              </w:rPr>
            </w:pPr>
            <w:r>
              <w:rPr>
                <w:rFonts w:ascii="Times New Roman" w:cs="Times New Roman" w:eastAsia="Times New Roman" w:hAnsi="Times New Roman"/>
                <w:sz w:val="16"/>
                <w:szCs w:val="16"/>
                <w:color w:val="auto"/>
              </w:rPr>
              <w:t>Delinquencies, charge-offs and uncollectible accounts are recognized and recorded in</w:t>
            </w:r>
          </w:p>
        </w:tc>
        <w:tc>
          <w:tcPr>
            <w:tcW w:w="144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X</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1122(d)(4)(xiv)</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accordance with the transaction agreements.</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12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1122(d)(4)(xv)</w:t>
            </w:r>
          </w:p>
        </w:tc>
        <w:tc>
          <w:tcPr>
            <w:tcW w:w="6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Any external enhancement or other support, identified in Item 1114(a)(1) through (3) or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X</w:t>
            </w: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Item 1115 of Regulation AB, is maintained as set forth in the transaction agreements.</w:t>
            </w:r>
          </w:p>
        </w:tc>
        <w:tc>
          <w:tcPr>
            <w:tcW w:w="14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w:t>
      </w:r>
    </w:p>
    <w:p>
      <w:pPr>
        <w:spacing w:after="0"/>
        <w:rPr>
          <w:sz w:val="20"/>
          <w:szCs w:val="20"/>
          <w:color w:val="auto"/>
        </w:rPr>
      </w:pPr>
      <w:r>
        <w:rPr>
          <w:rFonts w:ascii="Times New Roman" w:cs="Times New Roman" w:eastAsia="Times New Roman" w:hAnsi="Times New Roman"/>
          <w:sz w:val="14"/>
          <w:szCs w:val="14"/>
          <w:color w:val="auto"/>
        </w:rPr>
        <w:t>Corporate Trust ABS Platform (A)</w:t>
      </w:r>
    </w:p>
    <w:p>
      <w:pPr>
        <w:sectPr>
          <w:pgSz w:w="11900" w:h="16838" w:orient="portrait"/>
          <w:cols w:equalWidth="0" w:num="1">
            <w:col w:w="11060"/>
          </w:cols>
          <w:pgMar w:left="320" w:top="1267" w:right="519" w:bottom="1440" w:gutter="0" w:footer="0" w:header="0"/>
        </w:sectPr>
      </w:pPr>
    </w:p>
    <w:bookmarkStart w:id="36" w:name="page37"/>
    <w:bookmarkEnd w:id="36"/>
    <w:p>
      <w:pPr>
        <w:jc w:val="right"/>
        <w:spacing w:after="0"/>
        <w:rPr>
          <w:sz w:val="20"/>
          <w:szCs w:val="20"/>
          <w:color w:val="auto"/>
        </w:rPr>
      </w:pPr>
      <w:r>
        <w:rPr>
          <w:rFonts w:ascii="Arial" w:cs="Arial" w:eastAsia="Arial" w:hAnsi="Arial"/>
          <w:sz w:val="25"/>
          <w:szCs w:val="25"/>
          <w:b w:val="1"/>
          <w:bCs w:val="1"/>
          <w:color w:val="auto"/>
        </w:rPr>
        <w:t>Exhibit 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of</w:t>
      </w:r>
    </w:p>
    <w:p>
      <w:pPr>
        <w:spacing w:after="0"/>
        <w:rPr>
          <w:sz w:val="20"/>
          <w:szCs w:val="20"/>
          <w:color w:val="auto"/>
        </w:rPr>
      </w:pPr>
      <w:r>
        <w:rPr>
          <w:rFonts w:ascii="Times New Roman" w:cs="Times New Roman" w:eastAsia="Times New Roman" w:hAnsi="Times New Roman"/>
          <w:sz w:val="19"/>
          <w:szCs w:val="19"/>
          <w:color w:val="auto"/>
        </w:rPr>
        <w:t>Comenity Bank:</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examined management of Comenity Bank’s assertion, included in the accompanying Management’s Report on Assessment of Compliance with SEC Regulation AB Servicing Criteria, that Comenity Bank (the “Bank”) complied with the servicing criteria set forth in Item 1122(d) of the Securities and Exchange Commission’s Regulation AB for the asset-backed securities transactions sponsored by the Bank for which the Bank acted as a servicer involving credit card receivables, accounts receivables and asset based lending receivables (the “Platform”), excluding criteria 1122 (d)</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9"/>
          <w:szCs w:val="19"/>
          <w:color w:val="auto"/>
        </w:rPr>
        <w:t>(1)(iii), (d)(1)(v), (d)(2)(i), (d)(2)(ii), (d)(2)(iii), (d)(2)(vi), (d)(2)(vii), (d)(3)(i), (d)(3)(ii), (d)(3)(iii), (d)(3)(iv), (d)(4)(i), (d)(4)(iv), (d)(4)(v), (d)(4) (vi), (d)(4)(viii), (d)(4)(ix), (d)(4)(x), (d)(4)(xi), (d)(4)(xii), (d)(4)(xiii), (d)(4)(xiv), and (d)(4)(xv) (the “servicing criteria”) described in Appendix A to the accompanying Management’s Report on Assessment of Compliance with SEC Regulation AB Servicing Criteria, as of and for the year ended December 31, 2025, which management has determined are not applicable to the activities performed by the Bank with respect to the Platform. Appendix B to management’s assertion identifies the individual asset-backed transactions defined by management as constituting the Platform. Management is responsible for the Bank’s compliance with the servicing criteria and its assertion. Our responsibility is to express an opinion on management’s assertion about the Bank’s compliance with the servicing criteria based on our examination.</w:t>
      </w:r>
    </w:p>
    <w:p>
      <w:pPr>
        <w:spacing w:after="0" w:line="20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Bank's compliance with the servicing criteria, including tests on a sample basis of the servicing activities related to the Platform, determining whether the Bank performed those selected activities in compliance with the servicing criteria during the specified period, and performing such other procedures as we considered necessary in the circumstances. Our procedures were limited to selected servicing activities performed by the Bank during the period covered by this report and, accordingly, such samples may not have included servicing activities related to each asset-backed transaction included in the Platform. Further, an examination is not designed to detect noncompliance arising from errors that may have occurred prior to the period specified above that may have affected the balances or amounts calculated or reported by the Bank during the period covered by this report. We believe that the evidence we obtained in our examination is sufficient and appropriate to provide a reasonable basis for our opinion.</w:t>
      </w:r>
    </w:p>
    <w:p>
      <w:pPr>
        <w:spacing w:after="0" w:line="218"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9"/>
          <w:szCs w:val="19"/>
          <w:color w:val="auto"/>
        </w:rPr>
        <w:t>We are required to be independent and to meet our other ethical responsibilities in accordance with relevant ethical requirements relating to the engagement.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examination does not provide a legal determination on the Bank’s compliance with the servicing criteria.</w:t>
      </w:r>
    </w:p>
    <w:p>
      <w:pPr>
        <w:spacing w:after="0" w:line="2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In our opinion, management's assertion that the Bank complied with the servicing criteria as of and for the year ended December 31, 2025, is fairly stated, in all material respects.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DELOITTE &amp; TOUCHE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19, 2026</w:t>
      </w:r>
    </w:p>
    <w:p>
      <w:pPr>
        <w:sectPr>
          <w:pgSz w:w="11900" w:h="16838" w:orient="portrait"/>
          <w:cols w:equalWidth="0" w:num="1">
            <w:col w:w="11240"/>
          </w:cols>
          <w:pgMar w:left="320" w:top="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5"/>
          <w:szCs w:val="25"/>
          <w:b w:val="1"/>
          <w:bCs w:val="1"/>
          <w:color w:val="auto"/>
        </w:rPr>
        <w:t>Exhibit 34.2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of</w:t>
      </w:r>
    </w:p>
    <w:p>
      <w:pPr>
        <w:spacing w:after="0"/>
        <w:rPr>
          <w:sz w:val="20"/>
          <w:szCs w:val="20"/>
          <w:color w:val="auto"/>
        </w:rPr>
      </w:pPr>
      <w:r>
        <w:rPr>
          <w:rFonts w:ascii="Times New Roman" w:cs="Times New Roman" w:eastAsia="Times New Roman" w:hAnsi="Times New Roman"/>
          <w:sz w:val="19"/>
          <w:szCs w:val="19"/>
          <w:color w:val="auto"/>
        </w:rPr>
        <w:t>Comenity Servicing LLC:</w:t>
      </w:r>
    </w:p>
    <w:p>
      <w:pPr>
        <w:spacing w:after="0" w:line="19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9"/>
          <w:szCs w:val="19"/>
          <w:color w:val="auto"/>
        </w:rPr>
        <w:t>We have examined management of Comenity Servicing LLC’s assertion, included in the accompanying Management’s Report on Assessment of Compliance with SEC Regulation AB Servicing Criteria, that Comenity Servicing LLC (the “Company”) complied with the servicing criteria set forth in Item 1122(d) of the Securities and Exchange Commission’s Regulation AB for the asset-backed securities transactions sponsored by Comenity Bank for which the Company acted as a servicer involving credit card receivables, accounts receivables and asset based lending receivables, and excludes asset backed securities transactions sponsored by Comenity Capital Bank, an affiliate of Comenity Bank (the “Platform”), excluding criteria 1122 (d)(1)(i), (d)(1)(ii), (d)(1)(iii), (d)(2)(iii), (d)(2)(iv), (d)(2)(v), (d)(2)(vi), (d)(3)(i.D), (d)(3)(iii), (d)(4)(i), (d)(4)(iii), (d)(4) (x), (d)(4)(xi), (d)(4)(xii), and (d)(4)(xiii) (the “servicing criteria”) described in Appendix A to the accompanying Management’s Report on Assessment of Compliance with SEC Regulation AB Servicing Criteria, as of and for the year ended December 31, 2025, which management has determined are not applicable to the activities performed by the Company with respect to the Platform. Appendix B to management’s assertion identifies the individual asset-backed transactions defined by management as constituting the Platform. Management is responsible for the Company’s compliance with the servicing criteria and its assertion. Our responsibility is to express an opinion on management’s assertion about the Company’s compliance with the servicing criteria based on our examination.</w:t>
      </w:r>
    </w:p>
    <w:p>
      <w:pPr>
        <w:spacing w:after="0" w:line="2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Company's compliance with the servicing criteria, including tests on a sample basis of the servicing activities related to the Platform,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Platform.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spacing w:after="0" w:line="21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9"/>
          <w:szCs w:val="19"/>
          <w:color w:val="auto"/>
        </w:rPr>
        <w:t>We are required to be independent and to meet our other ethical responsibilities in accordance with relevant ethical requirements relating to the engagement.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examination does not provide a legal determination on the Company’s compliance with the servicing criteria.</w:t>
      </w:r>
    </w:p>
    <w:p>
      <w:pPr>
        <w:spacing w:after="0" w:line="24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color w:val="auto"/>
        </w:rPr>
        <w:t>In our opinion, management's assertion that the Company complied with the servicing criteria as of and for the year ended December 31, 2025, is fairly stated, in all material respects.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DELOITTE &amp; TOUCHE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rPr>
          <w:sz w:val="20"/>
          <w:szCs w:val="20"/>
          <w:color w:val="auto"/>
        </w:rPr>
      </w:pPr>
      <w:r>
        <w:rPr>
          <w:rFonts w:ascii="Times New Roman" w:cs="Times New Roman" w:eastAsia="Times New Roman" w:hAnsi="Times New Roman"/>
          <w:sz w:val="19"/>
          <w:szCs w:val="19"/>
          <w:color w:val="auto"/>
        </w:rPr>
        <w:t>March 19, 2026</w:t>
      </w:r>
    </w:p>
    <w:p>
      <w:pPr>
        <w:sectPr>
          <w:pgSz w:w="11900" w:h="16838" w:orient="portrait"/>
          <w:cols w:equalWidth="0" w:num="1">
            <w:col w:w="11240"/>
          </w:cols>
          <w:pgMar w:left="320" w:top="9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5"/>
          <w:szCs w:val="25"/>
          <w:b w:val="1"/>
          <w:bCs w:val="1"/>
          <w:color w:val="auto"/>
        </w:rPr>
        <w:t>Exhibit 34.3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 and U.S. Bank Trust Company, National Association</w:t>
      </w:r>
    </w:p>
    <w:p>
      <w:pPr>
        <w:spacing w:after="0" w:line="234"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We have examined management’s assertion, included in the accompanying Report on Assessment of Compliance with Applicable Servicing Criteria, that U.S. Bank National Association and U.S. Bank Trust Company, National Association (collectively, the “Company”) complied with the servicing criteria set forth in Item 1122(d) of the Securities and Exchange Commission’s Regulation AB for the U.S. Bank Corporate Trust Asset-Backed Securities Platform (the “Platform”), for which the Company provides trustee, securities administration, registrar and paying agent services, as of and for the year ended December 31, 2025, except for servicing criteria Items 1122(d)(1)(iii), 1122(d)(4)(i)-(ii), and 1122(d)(4)(iv)-(xiv), which the Company has determined are not applicable to the activities it performs with respect to the servicing platform covered by this report. Management is responsible for the Company’s compliance with those servicing criteria. Our responsibility is to express an opinion on management’s assertion about the Company’s compliance with the servicing criteria based on our examination.</w:t>
      </w:r>
    </w:p>
    <w:p>
      <w:pPr>
        <w:spacing w:after="0" w:line="219"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Items 1122(d)(1)(ii), 1122(d)(1)(v), and 1122(d)(2)(iii) of Regulation AB, there were no servicing activities performed by the Company during the year ended December 31, 2024 that required these servicing criteria to be complied with. We believe that the evidence we obtained is sufficient and appropriate to provide a reasonable basis for our opinion.</w:t>
      </w:r>
    </w:p>
    <w:p>
      <w:pPr>
        <w:spacing w:after="0" w:line="217"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of the Company and to meet our other ethical responsibilities, in accordance with the relevant ethical requirements related to our examination engagement.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examination does not provide a legal determination on the Company’s compliance with the servicing criteria.</w:t>
      </w:r>
    </w:p>
    <w:p>
      <w:pPr>
        <w:spacing w:after="0" w:line="25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 our opinion, management’s assertion that the Company complied with the aforementioned servicing criteria as of and for the year ended December 31, 2025, for the U.S. Bank Corporate Trust Asset-Backed Securities Platform is fairly stated, in all material respects.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060"/>
          </w:cols>
          <w:pgMar w:left="500" w:top="8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COMPLIANCE CERTIFICATE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Comenity Bank (the “Servicer”) hereby certifies as of December 31, 2025 as follows:</w:t>
      </w:r>
    </w:p>
    <w:p>
      <w:pPr>
        <w:spacing w:after="0" w:line="247" w:lineRule="exact"/>
        <w:rPr>
          <w:sz w:val="20"/>
          <w:szCs w:val="20"/>
          <w:color w:val="auto"/>
        </w:rPr>
      </w:pPr>
    </w:p>
    <w:p>
      <w:pPr>
        <w:ind w:left="660" w:hanging="652"/>
        <w:spacing w:after="0" w:line="251" w:lineRule="auto"/>
        <w:tabs>
          <w:tab w:leader="none" w:pos="40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reviewed, for the period beginning January 1, 2025 and ending December 31, 2025: (a) the activities of the Servicer as they related to the Second Amended and Restated Pooling and Servicing Agreement, dated as of August 1, 2001 (as amended and supplemented from time to time, the “</w:t>
      </w: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among WFN Credit Company, LLC, the Servicer and U.S. Bank National Association, as trustee; and (b) the Servicer’s performance under the Servicing Agreement. Such review of the activities of the Servicer and the performance by the Servicer of its obligations under the Servicing Agreement has been made by persons under the direct supervision of the undersigned.</w:t>
      </w:r>
    </w:p>
    <w:p>
      <w:pPr>
        <w:spacing w:after="0" w:line="221" w:lineRule="exact"/>
        <w:rPr>
          <w:rFonts w:ascii="Times New Roman" w:cs="Times New Roman" w:eastAsia="Times New Roman" w:hAnsi="Times New Roman"/>
          <w:sz w:val="22"/>
          <w:szCs w:val="22"/>
          <w:color w:val="auto"/>
        </w:rPr>
      </w:pPr>
    </w:p>
    <w:p>
      <w:pPr>
        <w:ind w:left="660" w:hanging="652"/>
        <w:spacing w:after="0" w:line="271" w:lineRule="auto"/>
        <w:tabs>
          <w:tab w:leader="none" w:pos="4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undersigned, based on such review, the Servicer has fulfilled all of its obligations under the Servicing Agreement in all material respects for the period beginning January 1, 2025 and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report is delivered pursuant to Item 1123 of Regulation AB.</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Tom McGuire</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Tom McGuire</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ectPr>
          <w:pgSz w:w="11900" w:h="16838" w:orient="portrait"/>
          <w:cols w:equalWidth="0" w:num="1">
            <w:col w:w="11240"/>
          </w:cols>
          <w:pgMar w:left="320" w:top="1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35.2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COMPLIANCE CERTIFICATE</w:t>
      </w: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Comenity Servicing LLC (the “Servicer”) hereby certifies as of December 31, 2025 as follows:</w:t>
      </w:r>
    </w:p>
    <w:p>
      <w:pPr>
        <w:spacing w:after="0" w:line="220" w:lineRule="exact"/>
        <w:rPr>
          <w:sz w:val="20"/>
          <w:szCs w:val="20"/>
          <w:color w:val="auto"/>
        </w:rPr>
      </w:pPr>
    </w:p>
    <w:p>
      <w:pPr>
        <w:ind w:left="660" w:hanging="652"/>
        <w:spacing w:after="0" w:line="249" w:lineRule="auto"/>
        <w:tabs>
          <w:tab w:leader="none" w:pos="4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reviewed, for the period beginning January 1, 2025 and ending December 31, 2025: (a) the activities of the Servicer as they related to (i) the Sixth Amended and Restated Service Agreement, dated as of January 1, 2025 (as amended and supplemented from time to time, the “</w:t>
      </w:r>
      <w:r>
        <w:rPr>
          <w:rFonts w:ascii="Times New Roman" w:cs="Times New Roman" w:eastAsia="Times New Roman" w:hAnsi="Times New Roman"/>
          <w:sz w:val="22"/>
          <w:szCs w:val="22"/>
          <w:u w:val="single" w:color="auto"/>
          <w:color w:val="auto"/>
        </w:rPr>
        <w:t>Service Agreement</w:t>
      </w:r>
      <w:r>
        <w:rPr>
          <w:rFonts w:ascii="Times New Roman" w:cs="Times New Roman" w:eastAsia="Times New Roman" w:hAnsi="Times New Roman"/>
          <w:sz w:val="22"/>
          <w:szCs w:val="22"/>
          <w:color w:val="auto"/>
        </w:rPr>
        <w:t>”), and (ii) the Service Agreement, dated as of April 1, 2025 (as amended and supplemented from time to time, the “</w:t>
      </w:r>
      <w:r>
        <w:rPr>
          <w:rFonts w:ascii="Times New Roman" w:cs="Times New Roman" w:eastAsia="Times New Roman" w:hAnsi="Times New Roman"/>
          <w:sz w:val="22"/>
          <w:szCs w:val="22"/>
          <w:u w:val="single" w:color="auto"/>
          <w:color w:val="auto"/>
        </w:rPr>
        <w:t>Limited Service Agreement</w:t>
      </w:r>
      <w:r>
        <w:rPr>
          <w:rFonts w:ascii="Times New Roman" w:cs="Times New Roman" w:eastAsia="Times New Roman" w:hAnsi="Times New Roman"/>
          <w:sz w:val="22"/>
          <w:szCs w:val="22"/>
          <w:color w:val="auto"/>
        </w:rPr>
        <w:t>” and, together with the Service Agreement, collectively, the “</w:t>
      </w:r>
      <w:r>
        <w:rPr>
          <w:rFonts w:ascii="Times New Roman" w:cs="Times New Roman" w:eastAsia="Times New Roman" w:hAnsi="Times New Roman"/>
          <w:sz w:val="22"/>
          <w:szCs w:val="22"/>
          <w:u w:val="single" w:color="auto"/>
          <w:color w:val="auto"/>
        </w:rPr>
        <w:t>Servicing Agreement</w:t>
      </w:r>
      <w:r>
        <w:rPr>
          <w:rFonts w:ascii="Times New Roman" w:cs="Times New Roman" w:eastAsia="Times New Roman" w:hAnsi="Times New Roman"/>
          <w:sz w:val="22"/>
          <w:szCs w:val="22"/>
          <w:color w:val="auto"/>
        </w:rPr>
        <w:t>”), each between the Servicer and Comenity Bank; and (b) the Servicer’s performance under the Servicing Agreement. Such review of the activities of the Servicer and the performance by the Servicer of its obligations under the Servicing Agreement has been made by persons under the direct supervision of the undersigned.</w:t>
      </w:r>
    </w:p>
    <w:p>
      <w:pPr>
        <w:spacing w:after="0" w:line="195" w:lineRule="exact"/>
        <w:rPr>
          <w:rFonts w:ascii="Times New Roman" w:cs="Times New Roman" w:eastAsia="Times New Roman" w:hAnsi="Times New Roman"/>
          <w:sz w:val="22"/>
          <w:szCs w:val="22"/>
          <w:color w:val="auto"/>
        </w:rPr>
      </w:pPr>
    </w:p>
    <w:p>
      <w:pPr>
        <w:ind w:left="660" w:hanging="652"/>
        <w:spacing w:after="0" w:line="271" w:lineRule="auto"/>
        <w:tabs>
          <w:tab w:leader="none" w:pos="45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undersigned, based on such review, the Servicer has fulfilled all of its obligations under the Servicing Agreement in all material respects for the period beginning January 1, 2025 and ending December 31, 2025.</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This report is delivered pursuant to Item 1123 of Regulation 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COMENITY SERVICING LLC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Tammy McConnaughey</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Tammy McConnaughey</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President</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lvl w:ilvl="1">
      <w:lvlJc w:val="left"/>
      <w:lvlText w:val="(%2)"/>
      <w:numFmt w:val="decimal"/>
      <w:start w:val="2"/>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78" Type="http://schemas.openxmlformats.org/officeDocument/2006/relationships/image" Target="media/image2.png"/><Relationship Id="rId9" Type="http://schemas.openxmlformats.org/officeDocument/2006/relationships/hyperlink" Target="https://www.sec.gov/Archives/edgar/data/1139552/000091205701513708/a2047926zex-3_1.txt" TargetMode="External"/><Relationship Id="rId10" Type="http://schemas.openxmlformats.org/officeDocument/2006/relationships/hyperlink" Target="https://www.sec.gov/Archives/edgar/data/1139552/000091205701531116/a2058322zex-3_1.txt" TargetMode="External"/><Relationship Id="rId11" Type="http://schemas.openxmlformats.org/officeDocument/2006/relationships/hyperlink" Target="https://www.sec.gov/Archives/edgar/data/1139552/000091205701531116/a2058322zex-4_1.txt" TargetMode="External"/><Relationship Id="rId12" Type="http://schemas.openxmlformats.org/officeDocument/2006/relationships/hyperlink" Target="https://www.sec.gov/Archives/edgar/data/1139552/000110465903006988/j9579_ex4.htm" TargetMode="External"/><Relationship Id="rId13" Type="http://schemas.openxmlformats.org/officeDocument/2006/relationships/hyperlink" Target="https://www.sec.gov/Archives/edgar/data/1140096/000110465903019712/a03-3020_1ex4d2.htm" TargetMode="External"/><Relationship Id="rId14" Type="http://schemas.openxmlformats.org/officeDocument/2006/relationships/hyperlink" Target="https://www.sec.gov/Archives/edgar/data/1139552/000095013407013486/d47576exv4w3.htm" TargetMode="External"/><Relationship Id="rId15" Type="http://schemas.openxmlformats.org/officeDocument/2006/relationships/hyperlink" Target="https://www.sec.gov/Archives/edgar/data/1139552/000095013408010459/d57243exv4w2.htm" TargetMode="External"/><Relationship Id="rId16" Type="http://schemas.openxmlformats.org/officeDocument/2006/relationships/hyperlink" Target="https://www.sec.gov/Archives/edgar/data/1139552/000119312510151149/dex41.htm" TargetMode="External"/><Relationship Id="rId17" Type="http://schemas.openxmlformats.org/officeDocument/2006/relationships/hyperlink" Target="https://www.sec.gov/Archives/edgar/data/1139552/000110121513000036/exhibit4-2.htm" TargetMode="External"/><Relationship Id="rId18" Type="http://schemas.openxmlformats.org/officeDocument/2006/relationships/hyperlink" Target="https://www.sec.gov/Archives/edgar/data/1139552/000110121516000387/exhibit_4-3.htm" TargetMode="External"/><Relationship Id="rId19" Type="http://schemas.openxmlformats.org/officeDocument/2006/relationships/hyperlink" Target="https://www.sec.gov/Archives/edgar/data/1139552/000110121520000124/exhibit_4-1.htm" TargetMode="External"/><Relationship Id="rId20" Type="http://schemas.openxmlformats.org/officeDocument/2006/relationships/hyperlink" Target="https://www.sec.gov/Archives/edgar/data/1139552/000110121524000097/exhibit414-26x24.htm" TargetMode="External"/><Relationship Id="rId21" Type="http://schemas.openxmlformats.org/officeDocument/2006/relationships/hyperlink" Target="https://www.sec.gov/Archives/edgar/data/1139552/000110121521000110/exhibit_4-1.htm" TargetMode="External"/><Relationship Id="rId22" Type="http://schemas.openxmlformats.org/officeDocument/2006/relationships/hyperlink" Target="https://www.sec.gov/Archives/edgar/data/1139552/000110121523000097/exhibit411.htm" TargetMode="External"/><Relationship Id="rId23" Type="http://schemas.openxmlformats.org/officeDocument/2006/relationships/hyperlink" Target="https://www.sec.gov/Archives/edgar/data/1139552/000110121523000225/exhibit41.htm" TargetMode="External"/><Relationship Id="rId24" Type="http://schemas.openxmlformats.org/officeDocument/2006/relationships/hyperlink" Target="https://www.sec.gov/Archives/edgar/data/1139552/000110121524000097/exhibit424-26x24.htm" TargetMode="External"/><Relationship Id="rId25" Type="http://schemas.openxmlformats.org/officeDocument/2006/relationships/hyperlink" Target="https://www.sec.gov/Archives/edgar/data/1139552/000110121524000123/exhibit415-15x24.htm" TargetMode="External"/><Relationship Id="rId26" Type="http://schemas.openxmlformats.org/officeDocument/2006/relationships/hyperlink" Target="https://www.sec.gov/Archives/edgar/data/1139552/000110121524000194/exhibit41series2024-bx8xk8.htm" TargetMode="External"/><Relationship Id="rId27" Type="http://schemas.openxmlformats.org/officeDocument/2006/relationships/hyperlink" Target="https://www.sec.gov/Archives/edgar/data/1139552/000091205701531116/a2058322zex-4_3.txt" TargetMode="External"/><Relationship Id="rId28" Type="http://schemas.openxmlformats.org/officeDocument/2006/relationships/hyperlink" Target="https://www.sec.gov/Archives/edgar/data/1139552/000090256102000602/exj42.txt" TargetMode="External"/><Relationship Id="rId29" Type="http://schemas.openxmlformats.org/officeDocument/2006/relationships/hyperlink" Target="https://www.sec.gov/Archives/edgar/data/1139552/000110465904022067/a04-8661_1ex4d2.htm" TargetMode="External"/><Relationship Id="rId30" Type="http://schemas.openxmlformats.org/officeDocument/2006/relationships/hyperlink" Target="https://www.sec.gov/Archives/edgar/data/1139552/000095013405006844/d23863exv4w2.htm" TargetMode="External"/><Relationship Id="rId31" Type="http://schemas.openxmlformats.org/officeDocument/2006/relationships/hyperlink" Target="https://www.sec.gov/Archives/edgar/data/1139552/000095013407013486/d47576exv4w2.htm" TargetMode="External"/><Relationship Id="rId32" Type="http://schemas.openxmlformats.org/officeDocument/2006/relationships/hyperlink" Target="https://www.sec.gov/Archives/edgar/data/1139552/000095013407022388/d50884exv4w2.htm" TargetMode="External"/><Relationship Id="rId33" Type="http://schemas.openxmlformats.org/officeDocument/2006/relationships/hyperlink" Target="https://www.sec.gov/Archives/edgar/data/1139552/000119312510151149/dex44.htm" TargetMode="External"/><Relationship Id="rId34" Type="http://schemas.openxmlformats.org/officeDocument/2006/relationships/hyperlink" Target="https://www.sec.gov/Archives/edgar/data/1139552/000110121511000054/exhibit_4-1.htm" TargetMode="External"/><Relationship Id="rId35" Type="http://schemas.openxmlformats.org/officeDocument/2006/relationships/hyperlink" Target="https://www.sec.gov/Archives/edgar/data/1139552/000110121511000145/exhibit_4-3.htm" TargetMode="External"/><Relationship Id="rId36" Type="http://schemas.openxmlformats.org/officeDocument/2006/relationships/hyperlink" Target="https://www.sec.gov/Archives/edgar/data/1139552/000110121516000387/exhibit_4-4.htm" TargetMode="External"/><Relationship Id="rId37" Type="http://schemas.openxmlformats.org/officeDocument/2006/relationships/hyperlink" Target="https://www.sec.gov/Archives/edgar/data/1139552/000110121524000097/exhibit454-26x24.htm" TargetMode="External"/><Relationship Id="rId38" Type="http://schemas.openxmlformats.org/officeDocument/2006/relationships/hyperlink" Target="https://www.sec.gov/Archives/edgar/data/1139552/000119312510187165/dex43.htm" TargetMode="External"/><Relationship Id="rId39" Type="http://schemas.openxmlformats.org/officeDocument/2006/relationships/hyperlink" Target="https://www.sec.gov/Archives/edgar/data/1139552/000091205701531116/a2058322zex-4_4.txt" TargetMode="External"/><Relationship Id="rId40" Type="http://schemas.openxmlformats.org/officeDocument/2006/relationships/hyperlink" Target="https://www.sec.gov/Archives/edgar/data/1139552/000110121521000100/exhibit_4-2.htm" TargetMode="External"/><Relationship Id="rId41" Type="http://schemas.openxmlformats.org/officeDocument/2006/relationships/hyperlink" Target="https://www.sec.gov/Archives/edgar/data/1139552/000110121521000100/exhibit_4-1.htm" TargetMode="External"/><Relationship Id="rId42" Type="http://schemas.openxmlformats.org/officeDocument/2006/relationships/hyperlink" Target="https://www.sec.gov/Archives/edgar/data/1139552/000091205701531116/a2058322zex-4_5.txt" TargetMode="External"/><Relationship Id="rId43" Type="http://schemas.openxmlformats.org/officeDocument/2006/relationships/hyperlink" Target="https://www.sec.gov/Archives/edgar/data/1139552/000095012309028395/d68593exv4w1.htm" TargetMode="External"/><Relationship Id="rId44" Type="http://schemas.openxmlformats.org/officeDocument/2006/relationships/hyperlink" Target="https://www.sec.gov/Archives/edgar/data/1139552/000110121525000002/exhibit991to1-1x25wfnform8.htm" TargetMode="External"/><Relationship Id="rId45" Type="http://schemas.openxmlformats.org/officeDocument/2006/relationships/hyperlink" Target="https://www.sec.gov/Archives/edgar/data/1139552/000110121525000068/exhibit991to4-1x25form8xk.htm" TargetMode="External"/><Relationship Id="rId46" Type="http://schemas.openxmlformats.org/officeDocument/2006/relationships/hyperlink" Target="https://www.sec.gov/Archives/edgar/data/1139552/000110121525000068/exhibit992to4-1x25form8xk.htm" TargetMode="External"/><Relationship Id="rId47" Type="http://schemas.openxmlformats.org/officeDocument/2006/relationships/hyperlink" Target="https://www.sec.gov/Archives/edgar/data/1139552/000110121525000094/exhibit991to6-1x25form8xk.htm" TargetMode="External"/><Relationship Id="rId48" Type="http://schemas.openxmlformats.org/officeDocument/2006/relationships/hyperlink" Target="https://www.sec.gov/Archives/edgar/data/1139552/000113955225000010/exhibit99110125form8-k.htm" TargetMode="External"/><Relationship Id="rId49" Type="http://schemas.openxmlformats.org/officeDocument/2006/relationships/hyperlink" Target="https://www.sec.gov/Archives/edgar/data/1139552/000113955226000003/exhibit99101-01x26form8xk.htm" TargetMode="External"/><Relationship Id="rId50" Type="http://schemas.openxmlformats.org/officeDocument/2006/relationships/hyperlink" Target="https://www.sec.gov/Archives/edgar/data/1139552/000110121525000068/exhibit993to4-1x25form8xk.htm" TargetMode="External"/><Relationship Id="rId51" Type="http://schemas.openxmlformats.org/officeDocument/2006/relationships/hyperlink" Target="https://www.sec.gov/Archives/edgar/data/1139552/000091205701531116/a2058322zex-4_6.txt" TargetMode="External"/><Relationship Id="rId52" Type="http://schemas.openxmlformats.org/officeDocument/2006/relationships/hyperlink" Target="https://www.sec.gov/Archives/edgar/data/1139552/000110465904022067/a04-8661_1ex4d1.htm" TargetMode="External"/><Relationship Id="rId53" Type="http://schemas.openxmlformats.org/officeDocument/2006/relationships/hyperlink" Target="https://www.sec.gov/Archives/edgar/data/1139552/000095013405006844/d23863exv4w1.htm" TargetMode="External"/><Relationship Id="rId54" Type="http://schemas.openxmlformats.org/officeDocument/2006/relationships/hyperlink" Target="https://www.sec.gov/Archives/edgar/data/1139552/000095013407013486/d47576exv4w1.htm" TargetMode="External"/><Relationship Id="rId55" Type="http://schemas.openxmlformats.org/officeDocument/2006/relationships/hyperlink" Target="https://www.sec.gov/Archives/edgar/data/1139552/000095013407022388/d50884exv4w1.htm" TargetMode="External"/><Relationship Id="rId56" Type="http://schemas.openxmlformats.org/officeDocument/2006/relationships/hyperlink" Target="https://www.sec.gov/Archives/edgar/data/1139552/000095013408010459/d57243exv4w1.htm" TargetMode="External"/><Relationship Id="rId57" Type="http://schemas.openxmlformats.org/officeDocument/2006/relationships/hyperlink" Target="https://www.sec.gov/Archives/edgar/data/1139552/000119312510151149/dex42.htm" TargetMode="External"/><Relationship Id="rId58" Type="http://schemas.openxmlformats.org/officeDocument/2006/relationships/hyperlink" Target="https://www.sec.gov/Archives/edgar/data/1139552/000110121511000145/exhibit_4-1.htm" TargetMode="External"/><Relationship Id="rId59" Type="http://schemas.openxmlformats.org/officeDocument/2006/relationships/hyperlink" Target="https://www.sec.gov/Archives/edgar/data/1139552/000110121516000490/exhibit_4-1.htm" TargetMode="External"/><Relationship Id="rId60" Type="http://schemas.openxmlformats.org/officeDocument/2006/relationships/hyperlink" Target="https://www.sec.gov/Archives/edgar/data/1139552/000110121518000191/exhibit_4-1.htm" TargetMode="External"/><Relationship Id="rId61" Type="http://schemas.openxmlformats.org/officeDocument/2006/relationships/hyperlink" Target="https://www.sec.gov/Archives/edgar/data/1139552/000110121520000124/exhibit_4-2.htm" TargetMode="External"/><Relationship Id="rId62" Type="http://schemas.openxmlformats.org/officeDocument/2006/relationships/hyperlink" Target="https://www.sec.gov/Archives/edgar/data/1139552/000110121520000189/exhibit_4-1.htm" TargetMode="External"/><Relationship Id="rId63" Type="http://schemas.openxmlformats.org/officeDocument/2006/relationships/hyperlink" Target="https://www.sec.gov/Archives/edgar/data/1139552/000110121524000097/exhibit434-26x24.htm" TargetMode="External"/><Relationship Id="rId64" Type="http://schemas.openxmlformats.org/officeDocument/2006/relationships/hyperlink" Target="https://www.sec.gov/Archives/edgar/data/1139552/000119312510187165/dex41.htm" TargetMode="External"/><Relationship Id="rId65" Type="http://schemas.openxmlformats.org/officeDocument/2006/relationships/hyperlink" Target="https://www.sec.gov/Archives/edgar/data/1139552/000110121521000110/exhibit_4-2.htm" TargetMode="External"/><Relationship Id="rId66" Type="http://schemas.openxmlformats.org/officeDocument/2006/relationships/hyperlink" Target="https://www.sec.gov/Archives/edgar/data/1139552/000091205701531116/a2058322zex-4_7.txt" TargetMode="External"/><Relationship Id="rId67" Type="http://schemas.openxmlformats.org/officeDocument/2006/relationships/hyperlink" Target="https://www.sec.gov/Archives/edgar/data/1139552/000090256102000602/exh43.txt" TargetMode="External"/><Relationship Id="rId68" Type="http://schemas.openxmlformats.org/officeDocument/2006/relationships/hyperlink" Target="https://www.sec.gov/Archives/edgar/data/1139552/000110121516000387/exhibit_4-1.htm" TargetMode="External"/><Relationship Id="rId69" Type="http://schemas.openxmlformats.org/officeDocument/2006/relationships/hyperlink" Target="https://www.sec.gov/Archives/edgar/data/1139552/000110121521000110/exhibit_4-3.htm" TargetMode="External"/><Relationship Id="rId70" Type="http://schemas.openxmlformats.org/officeDocument/2006/relationships/hyperlink" Target="https://www.sec.gov/Archives/edgar/data/1139552/000091205701531116/a2058322zex-4_8.txt" TargetMode="External"/><Relationship Id="rId71" Type="http://schemas.openxmlformats.org/officeDocument/2006/relationships/hyperlink" Target="https://www.sec.gov/Archives/edgar/data/1139552/000119312510151149/dex43.htm" TargetMode="External"/><Relationship Id="rId72" Type="http://schemas.openxmlformats.org/officeDocument/2006/relationships/hyperlink" Target="https://www.sec.gov/Archives/edgar/data/1139552/000110121511000145/exhibit_4-2.htm" TargetMode="External"/><Relationship Id="rId73" Type="http://schemas.openxmlformats.org/officeDocument/2006/relationships/hyperlink" Target="https://www.sec.gov/Archives/edgar/data/1139552/000110121516000387/exhibit_4-2.htm" TargetMode="External"/><Relationship Id="rId74" Type="http://schemas.openxmlformats.org/officeDocument/2006/relationships/hyperlink" Target="https://www.sec.gov/Archives/edgar/data/1139552/000110121520000124/exhibit_4-3.htm" TargetMode="External"/><Relationship Id="rId75" Type="http://schemas.openxmlformats.org/officeDocument/2006/relationships/hyperlink" Target="https://www.sec.gov/Archives/edgar/data/1139552/000110121524000097/exhibit444-26x24.htm" TargetMode="External"/><Relationship Id="rId76" Type="http://schemas.openxmlformats.org/officeDocument/2006/relationships/hyperlink" Target="https://www.sec.gov/Archives/edgar/data/1139552/000119312510187165/dex42.htm" TargetMode="External"/><Relationship Id="rId77" Type="http://schemas.openxmlformats.org/officeDocument/2006/relationships/hyperlink" Target="https://www.sec.gov/Archives/edgar/data/1139552/000110121516000387/exhibit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2026-03-19T16:39:43Z</dcterms:created>
  <dcterms:modified xsi:type="dcterms:W3CDTF">2026-03-19T16:39:43Z</dcterms:modified>
</cp:coreProperties>
</file>