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 Pursuant</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to Section 13 or 15(d) of the</w:t>
      </w: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February 28, 2022</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World Financial Network Credit Card Master Note Trust</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Issuing Entity as Specified in its Charter)</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Numbers of Issuing Entity: 333-208463 and 333-230197-02</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Central Index Key Number of Issuing Entity: 0001282663</w:t>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World Financial Network Credit Card Master Trust</w:t>
      </w:r>
    </w:p>
    <w:p>
      <w:pPr>
        <w:jc w:val="center"/>
        <w:ind w:right="20"/>
        <w:spacing w:after="0"/>
        <w:rPr>
          <w:sz w:val="20"/>
          <w:szCs w:val="20"/>
          <w:color w:val="auto"/>
        </w:rPr>
      </w:pPr>
      <w:r>
        <w:rPr>
          <w:rFonts w:ascii="Arial" w:cs="Arial" w:eastAsia="Arial" w:hAnsi="Arial"/>
          <w:sz w:val="18"/>
          <w:szCs w:val="18"/>
          <w:i w:val="1"/>
          <w:iCs w:val="1"/>
          <w:color w:val="auto"/>
        </w:rPr>
        <w:t>(Exact Name of Issuer of Collateral Certificate as Specified in its Charter)</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Numbers of Issuer of the Collateral Certificate: 333-208463-02 and 333-230197-01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Central Index Key Number of Issuer of the Collateral Certificate: 0001140096</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WFN Credit Company, LLC</w:t>
      </w:r>
    </w:p>
    <w:p>
      <w:pPr>
        <w:jc w:val="center"/>
        <w:ind w:right="20"/>
        <w:spacing w:after="0"/>
        <w:rPr>
          <w:sz w:val="20"/>
          <w:szCs w:val="20"/>
          <w:color w:val="auto"/>
        </w:rPr>
      </w:pPr>
      <w:r>
        <w:rPr>
          <w:rFonts w:ascii="Arial" w:cs="Arial" w:eastAsia="Arial" w:hAnsi="Arial"/>
          <w:sz w:val="18"/>
          <w:szCs w:val="18"/>
          <w:i w:val="1"/>
          <w:iCs w:val="1"/>
          <w:color w:val="auto"/>
        </w:rPr>
        <w:t>(Exact Name of Depositor/Registrant as Specified in its Charter)</w:t>
      </w: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Numbers of Depositor: 333-208463-01 and 333-230197</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Central Index Key Number of Depositor: 0001139552</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Comenity Bank</w:t>
      </w:r>
    </w:p>
    <w:p>
      <w:pPr>
        <w:jc w:val="center"/>
        <w:ind w:right="20"/>
        <w:spacing w:after="0"/>
        <w:rPr>
          <w:sz w:val="20"/>
          <w:szCs w:val="20"/>
          <w:color w:val="auto"/>
        </w:rPr>
      </w:pPr>
      <w:r>
        <w:rPr>
          <w:rFonts w:ascii="Arial" w:cs="Arial" w:eastAsia="Arial" w:hAnsi="Arial"/>
          <w:sz w:val="18"/>
          <w:szCs w:val="18"/>
          <w:i w:val="1"/>
          <w:iCs w:val="1"/>
          <w:color w:val="auto"/>
        </w:rPr>
        <w:t>(Exact Name of Sponsor as Specified in its Charter)</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Central Index Key Number of Sponsor: 0001007254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(State or Other Jurisdiction of Incorporation of Issuing Entity and Registrant)</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31-1772814</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(I.R.S. Employer Identification No. of Registrant)</w:t>
      </w:r>
    </w:p>
    <w:p>
      <w:pPr>
        <w:sectPr>
          <w:pgSz w:w="11900" w:h="16838" w:orient="portrait"/>
          <w:cols w:equalWidth="0" w:num="1">
            <w:col w:w="11260"/>
          </w:cols>
          <w:pgMar w:left="320" w:top="783" w:right="319" w:bottom="466" w:gutter="0" w:footer="0" w:header="0"/>
        </w:sectPr>
      </w:pPr>
    </w:p>
    <w:p>
      <w:pPr>
        <w:spacing w:after="0" w:line="192"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3095 Loyalty Circle, Columbus, Ohio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43219</w:t>
      </w:r>
    </w:p>
    <w:p>
      <w:pPr>
        <w:spacing w:after="0" w:line="61" w:lineRule="exact"/>
        <w:rPr>
          <w:sz w:val="24"/>
          <w:szCs w:val="24"/>
          <w:color w:val="auto"/>
        </w:rPr>
      </w:pPr>
    </w:p>
    <w:p>
      <w:pPr>
        <w:sectPr>
          <w:pgSz w:w="11900" w:h="16838" w:orient="portrait"/>
          <w:cols w:equalWidth="0" w:num="2">
            <w:col w:w="7840" w:space="720"/>
            <w:col w:w="2700"/>
          </w:cols>
          <w:pgMar w:left="320" w:top="783" w:right="319" w:bottom="466" w:gutter="0" w:footer="0" w:header="0"/>
          <w:type w:val="continuous"/>
        </w:sectPr>
      </w:pPr>
    </w:p>
    <w:p>
      <w:pPr>
        <w:ind w:left="1100"/>
        <w:spacing w:after="0"/>
        <w:rPr>
          <w:sz w:val="20"/>
          <w:szCs w:val="20"/>
          <w:color w:val="auto"/>
        </w:rPr>
      </w:pPr>
      <w:r>
        <w:rPr>
          <w:rFonts w:ascii="Arial" w:cs="Arial" w:eastAsia="Arial" w:hAnsi="Arial"/>
          <w:sz w:val="16"/>
          <w:szCs w:val="16"/>
          <w:i w:val="1"/>
          <w:iCs w:val="1"/>
          <w:color w:val="auto"/>
        </w:rPr>
        <w:t>(Address of Principal Executive Offices of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680" w:space="720"/>
            <w:col w:w="2860"/>
          </w:cols>
          <w:pgMar w:left="320" w:top="783" w:right="319" w:bottom="466" w:gutter="0" w:footer="0" w:header="0"/>
          <w:type w:val="continuous"/>
        </w:sectPr>
      </w:pP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(614) 729-5044</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60"/>
          </w:cols>
          <w:pgMar w:left="320" w:top="783" w:right="319" w:bottom="466" w:gutter="0" w:footer="0" w:header="0"/>
          <w:type w:val="continuous"/>
        </w:sectPr>
      </w:pPr>
    </w:p>
    <w:p>
      <w:pPr>
        <w:spacing w:after="0" w:line="219" w:lineRule="exact"/>
        <w:rPr>
          <w:sz w:val="24"/>
          <w:szCs w:val="24"/>
          <w:color w:val="auto"/>
        </w:rPr>
      </w:pPr>
    </w:p>
    <w:p>
      <w:pPr>
        <w:ind w:right="700"/>
        <w:spacing w:after="0" w:line="24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120" w:hanging="112"/>
        <w:spacing w:after="0" w:line="234"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ind w:left="120" w:hanging="112"/>
        <w:spacing w:after="0" w:line="234"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ind w:left="120" w:hanging="112"/>
        <w:spacing w:after="0" w:line="234"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Securities registered pursuant to Section 12(b) of the Securities Exchange Act of 1934:</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N/A</w:t>
            </w:r>
          </w:p>
        </w:tc>
        <w:tc>
          <w:tcPr>
            <w:tcW w:w="37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N/A</w:t>
            </w:r>
          </w:p>
        </w:tc>
        <w:tc>
          <w:tcPr>
            <w:tcW w:w="3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N/A</w:t>
            </w:r>
          </w:p>
        </w:tc>
      </w:tr>
    </w:tbl>
    <w:p>
      <w:pPr>
        <w:spacing w:after="0" w:line="168" w:lineRule="exact"/>
        <w:rPr>
          <w:sz w:val="24"/>
          <w:szCs w:val="24"/>
          <w:color w:val="auto"/>
        </w:rPr>
      </w:pPr>
    </w:p>
    <w:p>
      <w:pPr>
        <w:ind w:right="400"/>
        <w:spacing w:after="0" w:line="283"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152" w:lineRule="exact"/>
        <w:rPr>
          <w:sz w:val="24"/>
          <w:szCs w:val="24"/>
          <w:color w:val="auto"/>
        </w:rPr>
      </w:pPr>
    </w:p>
    <w:p>
      <w:pPr>
        <w:ind w:right="160"/>
        <w:spacing w:after="0" w:line="283"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783" w:right="319" w:bottom="466"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40"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On February 28, 2022, Comenity Bank (“Bank”) and Comenity Servicing LLC (“Servicer”) entered into the Second Amendment (“Amendment”) to that certain Third Amended and Restated Service Agreement, dated as of April 23, 2019 (as amended, the “Service Agreement”), by and between Bank and Servicer, which Service Agreement was filed as Exhibit 99.1 of the current report on Form 8-K on April 23, 2019. A copy of the Amendment is filed with this Form 8-K as Exhibit 99.1.</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1000" w:hanging="344"/>
        <w:spacing w:after="0"/>
        <w:tabs>
          <w:tab w:leader="none" w:pos="100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left="1020" w:hanging="364"/>
        <w:spacing w:after="0"/>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left="1020" w:hanging="364"/>
        <w:spacing w:after="0"/>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gridSpan w:val="4"/>
          </w:tcPr>
          <w:p>
            <w:pPr>
              <w:spacing w:after="0"/>
              <w:rPr>
                <w:sz w:val="20"/>
                <w:szCs w:val="20"/>
                <w:color w:val="auto"/>
              </w:rPr>
            </w:pPr>
            <w:r>
              <w:rPr>
                <w:rFonts w:ascii="Arial" w:cs="Arial" w:eastAsia="Arial" w:hAnsi="Arial"/>
                <w:sz w:val="22"/>
                <w:szCs w:val="22"/>
                <w:b w:val="1"/>
                <w:bCs w:val="1"/>
                <w:color w:val="auto"/>
                <w:w w:val="92"/>
              </w:rPr>
              <w:t>Exhibit</w:t>
            </w:r>
          </w:p>
        </w:tc>
        <w:tc>
          <w:tcPr>
            <w:tcW w:w="10540" w:type="dxa"/>
            <w:vAlign w:val="bottom"/>
            <w:gridSpan w:val="3"/>
          </w:tcPr>
          <w:p>
            <w:pPr>
              <w:ind w:left="320"/>
              <w:spacing w:after="0"/>
              <w:rPr>
                <w:sz w:val="20"/>
                <w:szCs w:val="20"/>
                <w:color w:val="auto"/>
              </w:rPr>
            </w:pPr>
            <w:r>
              <w:rPr>
                <w:rFonts w:ascii="Arial" w:cs="Arial" w:eastAsia="Arial" w:hAnsi="Arial"/>
                <w:sz w:val="22"/>
                <w:szCs w:val="22"/>
                <w:b w:val="1"/>
                <w:bCs w:val="1"/>
                <w:color w:val="auto"/>
              </w:rPr>
              <w:t>Document Description</w:t>
            </w:r>
          </w:p>
        </w:tc>
      </w:tr>
      <w:tr>
        <w:trPr>
          <w:trHeight w:val="223"/>
        </w:trPr>
        <w:tc>
          <w:tcPr>
            <w:tcW w:w="700" w:type="dxa"/>
            <w:vAlign w:val="bottom"/>
            <w:tcBorders>
              <w:top w:val="single" w:sz="8" w:color="auto"/>
            </w:tcBorders>
            <w:gridSpan w:val="4"/>
          </w:tcPr>
          <w:p>
            <w:pPr>
              <w:spacing w:after="0" w:line="223" w:lineRule="exact"/>
              <w:rPr>
                <w:sz w:val="20"/>
                <w:szCs w:val="20"/>
                <w:color w:val="auto"/>
              </w:rPr>
            </w:pPr>
            <w:r>
              <w:rPr>
                <w:rFonts w:ascii="Arial" w:cs="Arial" w:eastAsia="Arial" w:hAnsi="Arial"/>
                <w:sz w:val="22"/>
                <w:szCs w:val="22"/>
                <w:b w:val="1"/>
                <w:bCs w:val="1"/>
                <w:color w:val="auto"/>
              </w:rPr>
              <w:t>No.</w:t>
            </w:r>
          </w:p>
        </w:tc>
        <w:tc>
          <w:tcPr>
            <w:tcW w:w="320" w:type="dxa"/>
            <w:vAlign w:val="bottom"/>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8140" w:type="dxa"/>
            <w:vAlign w:val="bottom"/>
          </w:tcPr>
          <w:p>
            <w:pPr>
              <w:spacing w:after="0"/>
              <w:rPr>
                <w:sz w:val="19"/>
                <w:szCs w:val="19"/>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439"/>
        </w:trPr>
        <w:tc>
          <w:tcPr>
            <w:tcW w:w="700" w:type="dxa"/>
            <w:vAlign w:val="bottom"/>
            <w:gridSpan w:val="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Exhibit</w:t>
              </w:r>
            </w:hyperlink>
          </w:p>
        </w:tc>
        <w:tc>
          <w:tcPr>
            <w:tcW w:w="10540" w:type="dxa"/>
            <w:vAlign w:val="bottom"/>
            <w:gridSpan w:val="3"/>
          </w:tcPr>
          <w:p>
            <w:pPr>
              <w:ind w:left="320"/>
              <w:spacing w:after="0"/>
              <w:rPr>
                <w:sz w:val="20"/>
                <w:szCs w:val="20"/>
                <w:color w:val="auto"/>
              </w:rPr>
            </w:pPr>
            <w:r>
              <w:rPr>
                <w:rFonts w:ascii="Arial" w:cs="Arial" w:eastAsia="Arial" w:hAnsi="Arial"/>
                <w:sz w:val="22"/>
                <w:szCs w:val="22"/>
                <w:color w:val="auto"/>
              </w:rPr>
              <w:t>Second Amendment to Third Amended and Restated Service Agreement, as Amended</w:t>
            </w:r>
          </w:p>
        </w:tc>
      </w:tr>
      <w:tr>
        <w:trPr>
          <w:trHeight w:val="223"/>
        </w:trPr>
        <w:tc>
          <w:tcPr>
            <w:tcW w:w="640" w:type="dxa"/>
            <w:vAlign w:val="bottom"/>
            <w:tcBorders>
              <w:top w:val="single" w:sz="8" w:color="0000EE"/>
            </w:tcBorders>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99.</w:t>
              </w:r>
              <w:r>
                <w:rPr>
                  <w:rFonts w:ascii="Arial" w:cs="Arial" w:eastAsia="Arial" w:hAnsi="Arial"/>
                  <w:sz w:val="22"/>
                  <w:szCs w:val="22"/>
                  <w:u w:val="single" w:color="auto"/>
                  <w:color w:val="0000EE"/>
                </w:rPr>
                <w:t>1</w:t>
              </w:r>
            </w:hyperlink>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140" w:type="dxa"/>
            <w:vAlign w:val="bottom"/>
          </w:tcPr>
          <w:p>
            <w:pPr>
              <w:spacing w:after="0"/>
              <w:rPr>
                <w:sz w:val="19"/>
                <w:szCs w:val="19"/>
                <w:color w:val="auto"/>
              </w:rPr>
            </w:pPr>
          </w:p>
        </w:tc>
      </w:tr>
      <w:tr>
        <w:trPr>
          <w:trHeight w:val="439"/>
        </w:trPr>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7140"/>
        <w:spacing w:after="0"/>
        <w:rPr>
          <w:sz w:val="20"/>
          <w:szCs w:val="20"/>
          <w:color w:val="auto"/>
        </w:rPr>
      </w:pPr>
      <w:r>
        <w:rPr>
          <w:rFonts w:ascii="Arial" w:cs="Arial" w:eastAsia="Arial" w:hAnsi="Arial"/>
          <w:sz w:val="22"/>
          <w:szCs w:val="22"/>
          <w:b w:val="1"/>
          <w:bCs w:val="1"/>
          <w:color w:val="auto"/>
        </w:rPr>
        <w:t>WFN CREDIT COMPANY, LLC as</w:t>
      </w:r>
    </w:p>
    <w:p>
      <w:pPr>
        <w:spacing w:after="0" w:line="14" w:lineRule="exact"/>
        <w:rPr>
          <w:sz w:val="20"/>
          <w:szCs w:val="20"/>
          <w:color w:val="auto"/>
        </w:rPr>
      </w:pPr>
    </w:p>
    <w:p>
      <w:pPr>
        <w:ind w:left="7140"/>
        <w:spacing w:after="0"/>
        <w:rPr>
          <w:sz w:val="20"/>
          <w:szCs w:val="20"/>
          <w:color w:val="auto"/>
        </w:rPr>
      </w:pPr>
      <w:r>
        <w:rPr>
          <w:rFonts w:ascii="Arial" w:cs="Arial" w:eastAsia="Arial" w:hAnsi="Arial"/>
          <w:sz w:val="22"/>
          <w:szCs w:val="22"/>
          <w:b w:val="1"/>
          <w:bCs w:val="1"/>
          <w:color w:val="auto"/>
        </w:rPr>
        <w:t>depositor</w:t>
      </w:r>
    </w:p>
    <w:p>
      <w:pPr>
        <w:spacing w:after="0" w:line="200" w:lineRule="exact"/>
        <w:rPr>
          <w:sz w:val="20"/>
          <w:szCs w:val="20"/>
          <w:color w:val="auto"/>
        </w:rPr>
      </w:pPr>
    </w:p>
    <w:p>
      <w:pPr>
        <w:spacing w:after="0" w:line="25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Blackham</w:t>
      </w:r>
    </w:p>
    <w:p>
      <w:pPr>
        <w:ind w:left="7140"/>
        <w:spacing w:after="0" w:line="238" w:lineRule="auto"/>
        <w:rPr>
          <w:sz w:val="20"/>
          <w:szCs w:val="20"/>
          <w:color w:val="auto"/>
        </w:rPr>
      </w:pPr>
      <w:r>
        <w:rPr>
          <w:rFonts w:ascii="Arial" w:cs="Arial" w:eastAsia="Arial" w:hAnsi="Arial"/>
          <w:sz w:val="22"/>
          <w:szCs w:val="22"/>
          <w:color w:val="auto"/>
        </w:rPr>
        <w:t>Name: Michael Blackham</w:t>
      </w:r>
    </w:p>
    <w:p>
      <w:pPr>
        <w:ind w:left="7140"/>
        <w:spacing w:after="0"/>
        <w:rPr>
          <w:sz w:val="20"/>
          <w:szCs w:val="20"/>
          <w:color w:val="auto"/>
        </w:rPr>
      </w:pPr>
      <w:r>
        <w:rPr>
          <w:rFonts w:ascii="Arial" w:cs="Arial" w:eastAsia="Arial" w:hAnsi="Arial"/>
          <w:sz w:val="22"/>
          <w:szCs w:val="22"/>
          <w:color w:val="auto"/>
        </w:rPr>
        <w:t>Title: Treasurer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THIRD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 AGREEMENT</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Second Amendment (the “Second Amendment”), dated February 28, 2022, is to the Third Amended and Restated Service Agreement dated April 23, 2019, as amended (the “Agreement”), by and between Comenity Bank, a Delaware state bank, with its principal place of business at One Righter Parkway, Suite 100, Wilmington, DE 19803 (“Bank”), and Comenity Servicing LLC, a Texas limited liability company with its principal place of business at 3095 Loyalty Circle, Columbus, OH 43219 (“Servicer”).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Bank and Servicer entered into that certain Agreement to outsource certain data processing activities and certain other administrative and servicing functions;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Bank and Servicer amended the Agreement on February 20, 2020; and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Bank and Servicer now desire to further amend the Agreement as stated below.</w:t>
      </w:r>
    </w:p>
    <w:p>
      <w:pPr>
        <w:spacing w:after="0" w:line="23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NOW, THEREFORE, in consideration of the mutual agreements hereinafter set forth, and for other good and valuable consideration, the receipt and adequacy of which is hereby acknowledged, Bank and Servicer agree as follows:</w:t>
      </w:r>
    </w:p>
    <w:p>
      <w:pPr>
        <w:spacing w:after="0" w:line="172" w:lineRule="exact"/>
        <w:rPr>
          <w:sz w:val="20"/>
          <w:szCs w:val="20"/>
          <w:color w:val="auto"/>
        </w:rPr>
      </w:pPr>
    </w:p>
    <w:p>
      <w:pPr>
        <w:ind w:firstLine="656"/>
        <w:spacing w:after="0" w:line="256" w:lineRule="auto"/>
        <w:tabs>
          <w:tab w:leader="none" w:pos="1147"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New Appendix A</w:t>
      </w:r>
      <w:r>
        <w:rPr>
          <w:rFonts w:ascii="Arial" w:cs="Arial" w:eastAsia="Arial" w:hAnsi="Arial"/>
          <w:sz w:val="22"/>
          <w:szCs w:val="22"/>
          <w:color w:val="auto"/>
        </w:rPr>
        <w:t>. Appendix A is hereby deleted in its entirety and replaced with the new Appendix A, attached</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and incorporated herein by reference.</w:t>
      </w:r>
    </w:p>
    <w:p>
      <w:pPr>
        <w:spacing w:after="0" w:line="189" w:lineRule="exact"/>
        <w:rPr>
          <w:rFonts w:ascii="Arial" w:cs="Arial" w:eastAsia="Arial" w:hAnsi="Arial"/>
          <w:sz w:val="22"/>
          <w:szCs w:val="22"/>
          <w:b w:val="1"/>
          <w:bCs w:val="1"/>
          <w:color w:val="auto"/>
        </w:rPr>
      </w:pPr>
    </w:p>
    <w:p>
      <w:pPr>
        <w:ind w:right="20" w:firstLine="656"/>
        <w:spacing w:after="0" w:line="256" w:lineRule="auto"/>
        <w:tabs>
          <w:tab w:leader="none" w:pos="1161"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New Appendix B</w:t>
      </w:r>
      <w:r>
        <w:rPr>
          <w:rFonts w:ascii="Arial" w:cs="Arial" w:eastAsia="Arial" w:hAnsi="Arial"/>
          <w:sz w:val="22"/>
          <w:szCs w:val="22"/>
          <w:color w:val="auto"/>
        </w:rPr>
        <w:t>. Appendix B is hereby deleted in its entirety and replaced with the new Appendix B, attached</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and incorporated herein by reference.</w:t>
      </w:r>
    </w:p>
    <w:p>
      <w:pPr>
        <w:spacing w:after="0" w:line="189" w:lineRule="exact"/>
        <w:rPr>
          <w:rFonts w:ascii="Arial" w:cs="Arial" w:eastAsia="Arial" w:hAnsi="Arial"/>
          <w:sz w:val="22"/>
          <w:szCs w:val="22"/>
          <w:b w:val="1"/>
          <w:bCs w:val="1"/>
          <w:color w:val="auto"/>
        </w:rPr>
      </w:pPr>
    </w:p>
    <w:p>
      <w:pPr>
        <w:ind w:firstLine="656"/>
        <w:spacing w:after="0" w:line="256" w:lineRule="auto"/>
        <w:tabs>
          <w:tab w:leader="none" w:pos="1174"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that the changes set forth in this Amendment shall be effective on February 1,</w:t>
      </w:r>
      <w:r>
        <w:rPr>
          <w:rFonts w:ascii="Arial" w:cs="Arial" w:eastAsia="Arial" w:hAnsi="Arial"/>
          <w:sz w:val="22"/>
          <w:szCs w:val="22"/>
          <w:b w:val="1"/>
          <w:bCs w:val="1"/>
          <w:color w:val="auto"/>
        </w:rPr>
        <w:t xml:space="preserve"> </w:t>
      </w:r>
      <w:r>
        <w:rPr>
          <w:rFonts w:ascii="Arial" w:cs="Arial" w:eastAsia="Arial" w:hAnsi="Arial"/>
          <w:sz w:val="22"/>
          <w:szCs w:val="22"/>
          <w:color w:val="auto"/>
        </w:rPr>
        <w:t>2022 (the “Second Amendment Effective Date”).</w:t>
      </w:r>
    </w:p>
    <w:p>
      <w:pPr>
        <w:spacing w:after="0" w:line="189" w:lineRule="exact"/>
        <w:rPr>
          <w:rFonts w:ascii="Arial" w:cs="Arial" w:eastAsia="Arial" w:hAnsi="Arial"/>
          <w:sz w:val="22"/>
          <w:szCs w:val="22"/>
          <w:b w:val="1"/>
          <w:bCs w:val="1"/>
          <w:color w:val="auto"/>
        </w:rPr>
      </w:pPr>
    </w:p>
    <w:p>
      <w:pPr>
        <w:jc w:val="both"/>
        <w:ind w:firstLine="656"/>
        <w:spacing w:after="0" w:line="289" w:lineRule="auto"/>
        <w:tabs>
          <w:tab w:leader="none" w:pos="1174"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xml:space="preserve">. </w:t>
      </w:r>
      <w:r>
        <w:rPr>
          <w:rFonts w:ascii="Arial" w:cs="Arial" w:eastAsia="Arial" w:hAnsi="Arial"/>
          <w:sz w:val="19"/>
          <w:szCs w:val="19"/>
          <w:color w:val="auto"/>
        </w:rPr>
        <w:t>Capitalized terms not otherwise defined in this Amendment shall have the meanings assigned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them in the Agreement. Other than as set forth above, the parties agree that the Agreement, as amended by this Amendment, shall continue in full force and effect. The parties may execute this Amendment in one or more counterparts, each of which shall be deemed an original, but all of which shall constitute but one and the same instrument.</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line="230" w:lineRule="auto"/>
        <w:rPr>
          <w:sz w:val="20"/>
          <w:szCs w:val="20"/>
          <w:color w:val="auto"/>
        </w:rPr>
      </w:pPr>
      <w:r>
        <w:rPr>
          <w:rFonts w:ascii="Arial" w:cs="Arial" w:eastAsia="Arial" w:hAnsi="Arial"/>
          <w:sz w:val="22"/>
          <w:szCs w:val="22"/>
          <w:color w:val="auto"/>
        </w:rPr>
        <w:t>Comenity Servicing LLC/Comenity Bank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Amendment to be executed by their authorized officers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above.</w:t>
      </w:r>
    </w:p>
    <w:p>
      <w:pPr>
        <w:spacing w:after="0" w:line="200" w:lineRule="exact"/>
        <w:rPr>
          <w:sz w:val="20"/>
          <w:szCs w:val="20"/>
          <w:color w:val="auto"/>
        </w:rPr>
      </w:pPr>
    </w:p>
    <w:p>
      <w:pPr>
        <w:spacing w:after="0" w:line="232" w:lineRule="exact"/>
        <w:rPr>
          <w:sz w:val="20"/>
          <w:szCs w:val="20"/>
          <w:color w:val="auto"/>
        </w:rPr>
      </w:pPr>
    </w:p>
    <w:p>
      <w:pPr>
        <w:ind w:left="7140"/>
        <w:spacing w:after="0"/>
        <w:rPr>
          <w:sz w:val="20"/>
          <w:szCs w:val="20"/>
          <w:color w:val="auto"/>
        </w:rPr>
      </w:pPr>
      <w:r>
        <w:rPr>
          <w:rFonts w:ascii="Arial" w:cs="Arial" w:eastAsia="Arial" w:hAnsi="Arial"/>
          <w:sz w:val="22"/>
          <w:szCs w:val="22"/>
          <w:b w:val="1"/>
          <w:bCs w:val="1"/>
          <w:color w:val="auto"/>
        </w:rPr>
        <w:t>Comenity Servicing LLC</w:t>
      </w:r>
    </w:p>
    <w:p>
      <w:pPr>
        <w:spacing w:after="0" w:line="239"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Julie Fire</w:t>
      </w:r>
    </w:p>
    <w:p>
      <w:pPr>
        <w:ind w:left="7140"/>
        <w:spacing w:after="0" w:line="238" w:lineRule="auto"/>
        <w:rPr>
          <w:sz w:val="20"/>
          <w:szCs w:val="20"/>
          <w:color w:val="auto"/>
        </w:rPr>
      </w:pPr>
      <w:r>
        <w:rPr>
          <w:rFonts w:ascii="Arial" w:cs="Arial" w:eastAsia="Arial" w:hAnsi="Arial"/>
          <w:sz w:val="22"/>
          <w:szCs w:val="22"/>
          <w:color w:val="auto"/>
        </w:rPr>
        <w:t>Name: Julie Fire</w:t>
      </w:r>
    </w:p>
    <w:p>
      <w:pPr>
        <w:ind w:left="7140"/>
        <w:spacing w:after="0"/>
        <w:tabs>
          <w:tab w:leader="none" w:pos="81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Senior  Vice  President,  Care  and</w:t>
      </w:r>
    </w:p>
    <w:p>
      <w:pPr>
        <w:spacing w:after="0" w:line="25" w:lineRule="exact"/>
        <w:rPr>
          <w:sz w:val="20"/>
          <w:szCs w:val="20"/>
          <w:color w:val="auto"/>
        </w:rPr>
      </w:pPr>
    </w:p>
    <w:p>
      <w:pPr>
        <w:ind w:left="7780"/>
        <w:spacing w:after="0"/>
        <w:rPr>
          <w:sz w:val="20"/>
          <w:szCs w:val="20"/>
          <w:color w:val="auto"/>
        </w:rPr>
      </w:pPr>
      <w:r>
        <w:rPr>
          <w:rFonts w:ascii="Arial" w:cs="Arial" w:eastAsia="Arial" w:hAnsi="Arial"/>
          <w:sz w:val="22"/>
          <w:szCs w:val="22"/>
          <w:color w:val="auto"/>
        </w:rPr>
        <w:t>Experience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140"/>
        <w:spacing w:after="0"/>
        <w:rPr>
          <w:sz w:val="20"/>
          <w:szCs w:val="20"/>
          <w:color w:val="auto"/>
        </w:rPr>
      </w:pPr>
      <w:r>
        <w:rPr>
          <w:rFonts w:ascii="Arial" w:cs="Arial" w:eastAsia="Arial" w:hAnsi="Arial"/>
          <w:sz w:val="22"/>
          <w:szCs w:val="22"/>
          <w:b w:val="1"/>
          <w:bCs w:val="1"/>
          <w:color w:val="auto"/>
        </w:rPr>
        <w:t>Comenity Bank</w:t>
      </w:r>
    </w:p>
    <w:p>
      <w:pPr>
        <w:spacing w:after="0" w:line="239"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Baron Schlachter</w:t>
      </w:r>
    </w:p>
    <w:p>
      <w:pPr>
        <w:ind w:left="7140"/>
        <w:spacing w:after="0" w:line="238" w:lineRule="auto"/>
        <w:rPr>
          <w:sz w:val="20"/>
          <w:szCs w:val="20"/>
          <w:color w:val="auto"/>
        </w:rPr>
      </w:pPr>
      <w:r>
        <w:rPr>
          <w:rFonts w:ascii="Arial" w:cs="Arial" w:eastAsia="Arial" w:hAnsi="Arial"/>
          <w:sz w:val="22"/>
          <w:szCs w:val="22"/>
          <w:color w:val="auto"/>
        </w:rPr>
        <w:t>Name: Baron Schlachter</w:t>
      </w:r>
    </w:p>
    <w:p>
      <w:pPr>
        <w:ind w:left="7140"/>
        <w:spacing w:after="0"/>
        <w:tabs>
          <w:tab w:leader="none" w:pos="7840" w:val="left"/>
        </w:tabs>
        <w:rPr>
          <w:sz w:val="20"/>
          <w:szCs w:val="20"/>
          <w:color w:val="auto"/>
        </w:rPr>
      </w:pPr>
      <w:r>
        <w:rPr>
          <w:rFonts w:ascii="Arial" w:cs="Arial" w:eastAsia="Arial" w:hAnsi="Arial"/>
          <w:sz w:val="22"/>
          <w:szCs w:val="22"/>
          <w:color w:val="auto"/>
        </w:rPr>
        <w:t>Title:</w:t>
        <w:tab/>
        <w:t>Comenity Bank President</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line="230" w:lineRule="auto"/>
        <w:rPr>
          <w:sz w:val="20"/>
          <w:szCs w:val="20"/>
          <w:color w:val="auto"/>
        </w:rPr>
      </w:pPr>
      <w:r>
        <w:rPr>
          <w:rFonts w:ascii="Arial" w:cs="Arial" w:eastAsia="Arial" w:hAnsi="Arial"/>
          <w:sz w:val="22"/>
          <w:szCs w:val="22"/>
          <w:color w:val="auto"/>
        </w:rPr>
        <w:t>Comenity Servicing LLC/Comenity Bank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 w:name="page6"/>
    <w:bookmarkEnd w:id="5"/>
    <w:p>
      <w:pPr>
        <w:ind w:left="5000"/>
        <w:spacing w:after="0"/>
        <w:rPr>
          <w:sz w:val="20"/>
          <w:szCs w:val="20"/>
          <w:color w:val="auto"/>
        </w:rPr>
      </w:pPr>
      <w:r>
        <w:rPr>
          <w:rFonts w:ascii="Arial" w:cs="Arial" w:eastAsia="Arial" w:hAnsi="Arial"/>
          <w:sz w:val="22"/>
          <w:szCs w:val="22"/>
          <w:b w:val="1"/>
          <w:bCs w:val="1"/>
          <w:u w:val="single" w:color="auto"/>
          <w:color w:val="231F20"/>
        </w:rPr>
        <w:t>APPENDIX A</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231F20"/>
        </w:rPr>
        <w:t>SERVICES AND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231F20"/>
        </w:rPr>
        <w:t>PERFORMANCE STANDARDS</w:t>
      </w:r>
    </w:p>
    <w:p>
      <w:pPr>
        <w:spacing w:after="0" w:line="121" w:lineRule="exact"/>
        <w:rPr>
          <w:sz w:val="20"/>
          <w:szCs w:val="20"/>
          <w:color w:val="auto"/>
        </w:rPr>
      </w:pPr>
    </w:p>
    <w:p>
      <w:pPr>
        <w:jc w:val="both"/>
        <w:ind w:left="600" w:right="520"/>
        <w:spacing w:after="0" w:line="287" w:lineRule="auto"/>
        <w:rPr>
          <w:sz w:val="20"/>
          <w:szCs w:val="20"/>
          <w:color w:val="auto"/>
        </w:rPr>
      </w:pPr>
      <w:r>
        <w:rPr>
          <w:rFonts w:ascii="Arial" w:cs="Arial" w:eastAsia="Arial" w:hAnsi="Arial"/>
          <w:sz w:val="19"/>
          <w:szCs w:val="19"/>
          <w:color w:val="231F20"/>
        </w:rPr>
        <w:t>Servicer will provide the following Services to Bank, subject to and in accordance with the Bank’s policies, procedures and directives. All of such Services shall be provided by Servicer in accordance with the direction of and guidance provided by Bank management and/or in accordance with industry best practices. The Services will be measured by the corresponding Performance Standards and associated Measuring Periods, as set forth below.</w:t>
      </w:r>
    </w:p>
    <w:p>
      <w:pPr>
        <w:spacing w:after="0" w:line="12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u w:val="single" w:color="auto"/>
          <w:color w:val="auto"/>
        </w:rPr>
        <w:t>SECTION I: SERVICES AND PERFORMANCE STANDARDS APPLICABLE TO ALL COMENITY BANK PRODUCTS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0" w:type="dxa"/>
            <w:vAlign w:val="bottom"/>
            <w:tcBorders>
              <w:top w:val="single" w:sz="8" w:color="auto"/>
              <w:left w:val="single" w:sz="8" w:color="auto"/>
              <w:right w:val="single" w:sz="8" w:color="auto"/>
            </w:tcBorders>
            <w:shd w:val="clear" w:color="auto" w:fill="D6D1B7"/>
          </w:tcPr>
          <w:p>
            <w:pPr>
              <w:jc w:val="right"/>
              <w:spacing w:after="0" w:line="162" w:lineRule="exact"/>
              <w:rPr>
                <w:sz w:val="20"/>
                <w:szCs w:val="20"/>
                <w:color w:val="auto"/>
              </w:rPr>
            </w:pPr>
            <w:r>
              <w:rPr>
                <w:rFonts w:ascii="Arial" w:cs="Arial" w:eastAsia="Arial" w:hAnsi="Arial"/>
                <w:sz w:val="18"/>
                <w:szCs w:val="18"/>
                <w:b w:val="1"/>
                <w:bCs w:val="1"/>
                <w:color w:val="231F20"/>
              </w:rPr>
              <w:t>Item</w:t>
            </w:r>
          </w:p>
        </w:tc>
        <w:tc>
          <w:tcPr>
            <w:tcW w:w="520" w:type="dxa"/>
            <w:vAlign w:val="bottom"/>
            <w:tcBorders>
              <w:top w:val="single" w:sz="8" w:color="auto"/>
            </w:tcBorders>
            <w:shd w:val="clear" w:color="auto" w:fill="D6D1B7"/>
          </w:tcPr>
          <w:p>
            <w:pPr>
              <w:spacing w:after="0"/>
              <w:rPr>
                <w:sz w:val="14"/>
                <w:szCs w:val="14"/>
                <w:color w:val="auto"/>
              </w:rPr>
            </w:pPr>
          </w:p>
        </w:tc>
        <w:tc>
          <w:tcPr>
            <w:tcW w:w="5760" w:type="dxa"/>
            <w:vAlign w:val="bottom"/>
            <w:tcBorders>
              <w:top w:val="single" w:sz="8" w:color="auto"/>
              <w:right w:val="single" w:sz="8" w:color="auto"/>
            </w:tcBorders>
            <w:shd w:val="clear" w:color="auto" w:fill="D6D1B7"/>
          </w:tcPr>
          <w:p>
            <w:pPr>
              <w:ind w:left="2340"/>
              <w:spacing w:after="0" w:line="162" w:lineRule="exact"/>
              <w:rPr>
                <w:sz w:val="20"/>
                <w:szCs w:val="20"/>
                <w:color w:val="auto"/>
              </w:rPr>
            </w:pPr>
            <w:r>
              <w:rPr>
                <w:rFonts w:ascii="Arial" w:cs="Arial" w:eastAsia="Arial" w:hAnsi="Arial"/>
                <w:sz w:val="18"/>
                <w:szCs w:val="18"/>
                <w:b w:val="1"/>
                <w:bCs w:val="1"/>
                <w:color w:val="231F20"/>
              </w:rPr>
              <w:t>Service</w:t>
            </w:r>
          </w:p>
        </w:tc>
        <w:tc>
          <w:tcPr>
            <w:tcW w:w="2880" w:type="dxa"/>
            <w:vAlign w:val="bottom"/>
            <w:tcBorders>
              <w:top w:val="single" w:sz="8" w:color="auto"/>
              <w:right w:val="single" w:sz="8" w:color="auto"/>
            </w:tcBorders>
            <w:shd w:val="clear" w:color="auto" w:fill="D6D1B7"/>
          </w:tcPr>
          <w:p>
            <w:pPr>
              <w:ind w:left="1380"/>
              <w:spacing w:after="0" w:line="162" w:lineRule="exact"/>
              <w:rPr>
                <w:sz w:val="20"/>
                <w:szCs w:val="20"/>
                <w:color w:val="auto"/>
              </w:rPr>
            </w:pPr>
            <w:r>
              <w:rPr>
                <w:rFonts w:ascii="Arial" w:cs="Arial" w:eastAsia="Arial" w:hAnsi="Arial"/>
                <w:sz w:val="18"/>
                <w:szCs w:val="18"/>
                <w:b w:val="1"/>
                <w:bCs w:val="1"/>
                <w:color w:val="231F20"/>
              </w:rPr>
              <w:t>Performance</w:t>
            </w:r>
          </w:p>
        </w:tc>
        <w:tc>
          <w:tcPr>
            <w:tcW w:w="1520" w:type="dxa"/>
            <w:vAlign w:val="bottom"/>
            <w:tcBorders>
              <w:top w:val="single" w:sz="8" w:color="auto"/>
              <w:right w:val="single" w:sz="8" w:color="auto"/>
            </w:tcBorders>
            <w:shd w:val="clear" w:color="auto" w:fill="D6D1B7"/>
          </w:tcPr>
          <w:p>
            <w:pPr>
              <w:ind w:left="260"/>
              <w:spacing w:after="0" w:line="162" w:lineRule="exact"/>
              <w:rPr>
                <w:sz w:val="20"/>
                <w:szCs w:val="20"/>
                <w:color w:val="auto"/>
              </w:rPr>
            </w:pPr>
            <w:r>
              <w:rPr>
                <w:rFonts w:ascii="Arial" w:cs="Arial" w:eastAsia="Arial" w:hAnsi="Arial"/>
                <w:sz w:val="18"/>
                <w:szCs w:val="18"/>
                <w:b w:val="1"/>
                <w:bCs w:val="1"/>
                <w:color w:val="231F20"/>
              </w:rPr>
              <w:t>Measuring</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520" w:type="dxa"/>
            <w:vAlign w:val="bottom"/>
            <w:tcBorders>
              <w:bottom w:val="single" w:sz="8" w:color="auto"/>
            </w:tcBorders>
            <w:shd w:val="clear" w:color="auto" w:fill="D6D1B7"/>
          </w:tcPr>
          <w:p>
            <w:pPr>
              <w:spacing w:after="0"/>
              <w:rPr>
                <w:sz w:val="17"/>
                <w:szCs w:val="17"/>
                <w:color w:val="auto"/>
              </w:rPr>
            </w:pPr>
          </w:p>
        </w:tc>
        <w:tc>
          <w:tcPr>
            <w:tcW w:w="5760" w:type="dxa"/>
            <w:vAlign w:val="bottom"/>
            <w:tcBorders>
              <w:bottom w:val="single" w:sz="8" w:color="auto"/>
              <w:right w:val="single" w:sz="8" w:color="auto"/>
            </w:tcBorders>
            <w:shd w:val="clear" w:color="auto" w:fill="D6D1B7"/>
          </w:tcPr>
          <w:p>
            <w:pPr>
              <w:spacing w:after="0"/>
              <w:rPr>
                <w:sz w:val="17"/>
                <w:szCs w:val="17"/>
                <w:color w:val="auto"/>
              </w:rPr>
            </w:pPr>
          </w:p>
        </w:tc>
        <w:tc>
          <w:tcPr>
            <w:tcW w:w="2880" w:type="dxa"/>
            <w:vAlign w:val="bottom"/>
            <w:tcBorders>
              <w:bottom w:val="single" w:sz="8" w:color="auto"/>
              <w:right w:val="single" w:sz="8" w:color="auto"/>
            </w:tcBorders>
            <w:shd w:val="clear" w:color="auto" w:fill="D6D1B7"/>
          </w:tcPr>
          <w:p>
            <w:pPr>
              <w:ind w:left="1380"/>
              <w:spacing w:after="0" w:line="202" w:lineRule="exact"/>
              <w:rPr>
                <w:sz w:val="20"/>
                <w:szCs w:val="20"/>
                <w:color w:val="auto"/>
              </w:rPr>
            </w:pPr>
            <w:r>
              <w:rPr>
                <w:rFonts w:ascii="Arial" w:cs="Arial" w:eastAsia="Arial" w:hAnsi="Arial"/>
                <w:sz w:val="18"/>
                <w:szCs w:val="18"/>
                <w:b w:val="1"/>
                <w:bCs w:val="1"/>
                <w:color w:val="231F20"/>
              </w:rPr>
              <w:t>Standard</w:t>
            </w:r>
          </w:p>
        </w:tc>
        <w:tc>
          <w:tcPr>
            <w:tcW w:w="1520" w:type="dxa"/>
            <w:vAlign w:val="bottom"/>
            <w:tcBorders>
              <w:bottom w:val="single" w:sz="8" w:color="auto"/>
              <w:right w:val="single" w:sz="8" w:color="auto"/>
            </w:tcBorders>
            <w:shd w:val="clear" w:color="auto" w:fill="D6D1B7"/>
          </w:tcPr>
          <w:p>
            <w:pPr>
              <w:ind w:left="420"/>
              <w:spacing w:after="0" w:line="202" w:lineRule="exact"/>
              <w:rPr>
                <w:sz w:val="20"/>
                <w:szCs w:val="20"/>
                <w:color w:val="auto"/>
              </w:rPr>
            </w:pPr>
            <w:r>
              <w:rPr>
                <w:rFonts w:ascii="Arial" w:cs="Arial" w:eastAsia="Arial" w:hAnsi="Arial"/>
                <w:sz w:val="18"/>
                <w:szCs w:val="18"/>
                <w:b w:val="1"/>
                <w:bCs w:val="1"/>
                <w:color w:val="231F20"/>
              </w:rPr>
              <w:t>Period</w:t>
            </w:r>
          </w:p>
        </w:tc>
        <w:tc>
          <w:tcPr>
            <w:tcW w:w="0" w:type="dxa"/>
            <w:vAlign w:val="bottom"/>
          </w:tcPr>
          <w:p>
            <w:pPr>
              <w:spacing w:after="0"/>
              <w:rPr>
                <w:sz w:val="1"/>
                <w:szCs w:val="1"/>
                <w:color w:val="auto"/>
              </w:rPr>
            </w:pPr>
          </w:p>
        </w:tc>
      </w:tr>
      <w:tr>
        <w:trPr>
          <w:trHeight w:val="182"/>
        </w:trPr>
        <w:tc>
          <w:tcPr>
            <w:tcW w:w="560" w:type="dxa"/>
            <w:vAlign w:val="bottom"/>
            <w:tcBorders>
              <w:left w:val="single" w:sz="8" w:color="auto"/>
              <w:right w:val="single" w:sz="8" w:color="auto"/>
            </w:tcBorders>
          </w:tcPr>
          <w:p>
            <w:pPr>
              <w:jc w:val="right"/>
              <w:ind w:right="130"/>
              <w:spacing w:after="0" w:line="182" w:lineRule="exact"/>
              <w:rPr>
                <w:sz w:val="20"/>
                <w:szCs w:val="20"/>
                <w:color w:val="auto"/>
              </w:rPr>
            </w:pPr>
            <w:r>
              <w:rPr>
                <w:rFonts w:ascii="Arial" w:cs="Arial" w:eastAsia="Arial" w:hAnsi="Arial"/>
                <w:sz w:val="18"/>
                <w:szCs w:val="18"/>
                <w:color w:val="7F7F7F"/>
              </w:rPr>
              <w:t>1</w:t>
            </w:r>
          </w:p>
        </w:tc>
        <w:tc>
          <w:tcPr>
            <w:tcW w:w="6280" w:type="dxa"/>
            <w:vAlign w:val="bottom"/>
            <w:tcBorders>
              <w:right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231F20"/>
              </w:rPr>
              <w:t>BSA/AML</w:t>
            </w:r>
          </w:p>
        </w:tc>
        <w:tc>
          <w:tcPr>
            <w:tcW w:w="28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rPr>
              <w:t>File currency transaction reports</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57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231F20"/>
                <w:w w:val="97"/>
              </w:rPr>
              <w:t>Support day-to-day functions of the Compliance function in the areas of</w:t>
            </w: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within regulatory requirements or</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BSA/AML/OFAC, to ensure all regulatory requirements are met.</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applicable policy or procedural</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 w:type="dxa"/>
            <w:vAlign w:val="bottom"/>
            <w:tcBorders>
              <w:left w:val="single" w:sz="8" w:color="auto"/>
              <w:right w:val="single" w:sz="8" w:color="auto"/>
            </w:tcBorders>
          </w:tcPr>
          <w:p>
            <w:pPr>
              <w:spacing w:after="0"/>
              <w:rPr>
                <w:sz w:val="22"/>
                <w:szCs w:val="22"/>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231F20"/>
              </w:rPr>
              <w:t>•</w:t>
            </w:r>
          </w:p>
        </w:tc>
        <w:tc>
          <w:tcPr>
            <w:tcW w:w="57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231F20"/>
                <w:w w:val="95"/>
              </w:rPr>
              <w:t>Initiate review of Watch List Filtering, Suspicious Activity Monitoring, and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timing requirements.</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231F20"/>
              </w:rPr>
              <w:t>OFAC alerts.</w:t>
            </w:r>
          </w:p>
        </w:tc>
        <w:tc>
          <w:tcPr>
            <w:tcW w:w="288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560" w:type="dxa"/>
            <w:vAlign w:val="bottom"/>
            <w:tcBorders>
              <w:left w:val="single" w:sz="8" w:color="auto"/>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760" w:type="dxa"/>
            <w:vAlign w:val="bottom"/>
            <w:tcBorders>
              <w:right w:val="single" w:sz="8" w:color="auto"/>
            </w:tcBorders>
            <w:vMerge w:val="continue"/>
          </w:tcPr>
          <w:p>
            <w:pPr>
              <w:spacing w:after="0"/>
              <w:rPr>
                <w:sz w:val="6"/>
                <w:szCs w:val="6"/>
                <w:color w:val="auto"/>
              </w:rPr>
            </w:pPr>
          </w:p>
        </w:tc>
        <w:tc>
          <w:tcPr>
            <w:tcW w:w="2880" w:type="dxa"/>
            <w:vAlign w:val="bottom"/>
            <w:tcBorders>
              <w:right w:val="single" w:sz="8" w:color="auto"/>
            </w:tcBorders>
            <w:vMerge w:val="restart"/>
          </w:tcPr>
          <w:p>
            <w:pPr>
              <w:ind w:left="120"/>
              <w:spacing w:after="0" w:line="182" w:lineRule="exact"/>
              <w:rPr>
                <w:sz w:val="20"/>
                <w:szCs w:val="20"/>
                <w:color w:val="auto"/>
              </w:rPr>
            </w:pPr>
            <w:r>
              <w:rPr>
                <w:rFonts w:ascii="Arial" w:cs="Arial" w:eastAsia="Arial" w:hAnsi="Arial"/>
                <w:sz w:val="18"/>
                <w:szCs w:val="18"/>
                <w:color w:val="231F20"/>
              </w:rPr>
              <w:t>Monthly Currency Transaction</w:t>
            </w:r>
          </w:p>
        </w:tc>
        <w:tc>
          <w:tcPr>
            <w:tcW w:w="1520" w:type="dxa"/>
            <w:vAlign w:val="bottom"/>
            <w:tcBorders>
              <w:right w:val="single" w:sz="8" w:color="auto"/>
            </w:tcBorders>
            <w:vMerge w:val="restart"/>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right w:val="single" w:sz="8" w:color="auto"/>
            </w:tcBorders>
          </w:tcPr>
          <w:p>
            <w:pPr>
              <w:spacing w:after="0"/>
              <w:rPr>
                <w:sz w:val="9"/>
                <w:szCs w:val="9"/>
                <w:color w:val="auto"/>
              </w:rPr>
            </w:pPr>
          </w:p>
        </w:tc>
        <w:tc>
          <w:tcPr>
            <w:tcW w:w="520" w:type="dxa"/>
            <w:vAlign w:val="bottom"/>
            <w:vMerge w:val="restart"/>
          </w:tcPr>
          <w:p>
            <w:pPr>
              <w:ind w:left="320"/>
              <w:spacing w:after="0"/>
              <w:rPr>
                <w:sz w:val="20"/>
                <w:szCs w:val="20"/>
                <w:color w:val="auto"/>
              </w:rPr>
            </w:pPr>
            <w:r>
              <w:rPr>
                <w:rFonts w:ascii="Arial" w:cs="Arial" w:eastAsia="Arial" w:hAnsi="Arial"/>
                <w:sz w:val="18"/>
                <w:szCs w:val="18"/>
                <w:color w:val="231F20"/>
              </w:rPr>
              <w:t>•</w:t>
            </w:r>
          </w:p>
        </w:tc>
        <w:tc>
          <w:tcPr>
            <w:tcW w:w="57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231F20"/>
                <w:w w:val="92"/>
              </w:rPr>
              <w:t>Support reporting for senior Bank management, committees and boards as</w:t>
            </w:r>
          </w:p>
        </w:tc>
        <w:tc>
          <w:tcPr>
            <w:tcW w:w="28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60" w:type="dxa"/>
            <w:vAlign w:val="bottom"/>
            <w:tcBorders>
              <w:left w:val="single" w:sz="8" w:color="auto"/>
              <w:right w:val="single" w:sz="8" w:color="auto"/>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576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231F20"/>
              </w:rPr>
              <w:t>Reporting:</w:t>
            </w:r>
          </w:p>
        </w:tc>
        <w:tc>
          <w:tcPr>
            <w:tcW w:w="1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60" w:type="dxa"/>
            <w:vAlign w:val="bottom"/>
            <w:tcBorders>
              <w:left w:val="single" w:sz="8" w:color="auto"/>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231F20"/>
              </w:rPr>
              <w:t>requested.</w:t>
            </w:r>
          </w:p>
        </w:tc>
        <w:tc>
          <w:tcPr>
            <w:tcW w:w="288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6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760" w:type="dxa"/>
            <w:vAlign w:val="bottom"/>
            <w:tcBorders>
              <w:right w:val="single" w:sz="8" w:color="auto"/>
            </w:tcBorders>
            <w:vMerge w:val="continue"/>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231F20"/>
              </w:rPr>
              <w:t>1. Report Currency Transaction</w:t>
            </w:r>
          </w:p>
        </w:tc>
        <w:tc>
          <w:tcPr>
            <w:tcW w:w="1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 w:type="dxa"/>
            <w:vAlign w:val="bottom"/>
            <w:tcBorders>
              <w:left w:val="single" w:sz="8" w:color="auto"/>
              <w:right w:val="single" w:sz="8" w:color="auto"/>
            </w:tcBorders>
          </w:tcPr>
          <w:p>
            <w:pPr>
              <w:spacing w:after="0"/>
              <w:rPr>
                <w:sz w:val="19"/>
                <w:szCs w:val="19"/>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231F20"/>
              </w:rPr>
              <w:t>•</w:t>
            </w:r>
          </w:p>
        </w:tc>
        <w:tc>
          <w:tcPr>
            <w:tcW w:w="57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231F20"/>
                <w:w w:val="91"/>
              </w:rPr>
              <w:t>Analyze account and customer activity to determine if Currency Transaction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w w:val="96"/>
              </w:rPr>
              <w:t>Reports filed on behalf of the Bank.</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Reports (CTRs) are warranted.</w:t>
            </w: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2. Report Currency Transaction</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57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231F20"/>
              </w:rPr>
              <w:t>Prepare and support CTRs reporting to senior bank management,</w:t>
            </w: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Reports filed outside of regulatory</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committees and boards.</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requirements or outside of</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76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120"/>
              <w:spacing w:after="0" w:line="175" w:lineRule="exact"/>
              <w:rPr>
                <w:sz w:val="20"/>
                <w:szCs w:val="20"/>
                <w:color w:val="auto"/>
              </w:rPr>
            </w:pPr>
            <w:r>
              <w:rPr>
                <w:rFonts w:ascii="Arial" w:cs="Arial" w:eastAsia="Arial" w:hAnsi="Arial"/>
                <w:sz w:val="18"/>
                <w:szCs w:val="18"/>
                <w:color w:val="231F20"/>
              </w:rPr>
              <w:t>applicable policy or procedural</w:t>
            </w:r>
          </w:p>
        </w:tc>
        <w:tc>
          <w:tcPr>
            <w:tcW w:w="1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timing requirement.</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760" w:type="dxa"/>
            <w:vAlign w:val="bottom"/>
            <w:tcBorders>
              <w:right w:val="single" w:sz="8" w:color="auto"/>
            </w:tcBorders>
          </w:tcPr>
          <w:p>
            <w:pPr>
              <w:spacing w:after="0"/>
              <w:rPr>
                <w:sz w:val="16"/>
                <w:szCs w:val="16"/>
                <w:color w:val="auto"/>
              </w:rPr>
            </w:pPr>
          </w:p>
        </w:tc>
        <w:tc>
          <w:tcPr>
            <w:tcW w:w="28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76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rPr>
              <w:t>Report 100% of matches to</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FinCEN within the reporting</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deadline stated in the information</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request.</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760" w:type="dxa"/>
            <w:vAlign w:val="bottom"/>
            <w:tcBorders>
              <w:right w:val="single" w:sz="8" w:color="auto"/>
            </w:tcBorders>
          </w:tcPr>
          <w:p>
            <w:pPr>
              <w:spacing w:after="0"/>
              <w:rPr>
                <w:sz w:val="16"/>
                <w:szCs w:val="16"/>
                <w:color w:val="auto"/>
              </w:rPr>
            </w:pPr>
          </w:p>
        </w:tc>
        <w:tc>
          <w:tcPr>
            <w:tcW w:w="28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76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rPr>
              <w:t>FinCEN 314(a) Match and</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Subsequent Investigation</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Reporting:</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1. Report the number of matches</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w w:val="98"/>
              </w:rPr>
              <w:t>reported to FinCEN and number of</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accounts referred to the FIU for</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additional review.</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2. Report any matches reported</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outside the deadline indicated by</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FinCEN in the information sharing</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0" w:type="dxa"/>
            <w:vAlign w:val="bottom"/>
            <w:tcBorders>
              <w:left w:val="single" w:sz="8" w:color="auto"/>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7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231F20"/>
              </w:rPr>
              <w:t>request.</w:t>
            </w: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62"/>
        </w:trPr>
        <w:tc>
          <w:tcPr>
            <w:tcW w:w="600" w:type="dxa"/>
            <w:vAlign w:val="bottom"/>
            <w:tcBorders>
              <w:top w:val="single" w:sz="8" w:color="auto"/>
              <w:left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520" w:type="dxa"/>
            <w:vAlign w:val="bottom"/>
            <w:tcBorders>
              <w:top w:val="single" w:sz="8" w:color="auto"/>
            </w:tcBorders>
            <w:shd w:val="clear" w:color="auto" w:fill="D6D1B7"/>
          </w:tcPr>
          <w:p>
            <w:pPr>
              <w:spacing w:after="0"/>
              <w:rPr>
                <w:sz w:val="14"/>
                <w:szCs w:val="14"/>
                <w:color w:val="auto"/>
              </w:rPr>
            </w:pPr>
          </w:p>
        </w:tc>
        <w:tc>
          <w:tcPr>
            <w:tcW w:w="5080" w:type="dxa"/>
            <w:vAlign w:val="bottom"/>
            <w:tcBorders>
              <w:top w:val="single" w:sz="8" w:color="auto"/>
              <w:right w:val="single" w:sz="8" w:color="auto"/>
            </w:tcBorders>
            <w:shd w:val="clear" w:color="auto" w:fill="D6D1B7"/>
          </w:tcPr>
          <w:p>
            <w:pPr>
              <w:ind w:left="2040"/>
              <w:spacing w:after="0" w:line="162" w:lineRule="exact"/>
              <w:rPr>
                <w:sz w:val="20"/>
                <w:szCs w:val="20"/>
                <w:color w:val="auto"/>
              </w:rPr>
            </w:pPr>
            <w:r>
              <w:rPr>
                <w:rFonts w:ascii="Arial" w:cs="Arial" w:eastAsia="Arial" w:hAnsi="Arial"/>
                <w:sz w:val="18"/>
                <w:szCs w:val="18"/>
                <w:b w:val="1"/>
                <w:bCs w:val="1"/>
                <w:color w:val="231F20"/>
              </w:rPr>
              <w:t>Service</w:t>
            </w:r>
          </w:p>
        </w:tc>
        <w:tc>
          <w:tcPr>
            <w:tcW w:w="3900" w:type="dxa"/>
            <w:vAlign w:val="bottom"/>
            <w:tcBorders>
              <w:top w:val="single" w:sz="8" w:color="auto"/>
              <w:right w:val="single" w:sz="8" w:color="auto"/>
            </w:tcBorders>
            <w:shd w:val="clear" w:color="auto" w:fill="D6D1B7"/>
          </w:tcPr>
          <w:p>
            <w:pPr>
              <w:ind w:left="88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140" w:type="dxa"/>
            <w:vAlign w:val="bottom"/>
            <w:tcBorders>
              <w:top w:val="single" w:sz="8" w:color="auto"/>
              <w:right w:val="single" w:sz="8" w:color="auto"/>
            </w:tcBorders>
            <w:shd w:val="clear" w:color="auto" w:fill="D6D1B7"/>
          </w:tcPr>
          <w:p>
            <w:pPr>
              <w:ind w:left="200"/>
              <w:spacing w:after="0" w:line="162" w:lineRule="exact"/>
              <w:rPr>
                <w:sz w:val="20"/>
                <w:szCs w:val="20"/>
                <w:color w:val="auto"/>
              </w:rPr>
            </w:pPr>
            <w:r>
              <w:rPr>
                <w:rFonts w:ascii="Arial" w:cs="Arial" w:eastAsia="Arial" w:hAnsi="Arial"/>
                <w:sz w:val="18"/>
                <w:szCs w:val="18"/>
                <w:b w:val="1"/>
                <w:bCs w:val="1"/>
                <w:color w:val="231F20"/>
                <w:w w:val="99"/>
              </w:rPr>
              <w:t>Measuring</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520" w:type="dxa"/>
            <w:vAlign w:val="bottom"/>
            <w:tcBorders>
              <w:bottom w:val="single" w:sz="8" w:color="auto"/>
            </w:tcBorders>
            <w:shd w:val="clear" w:color="auto" w:fill="D6D1B7"/>
          </w:tcPr>
          <w:p>
            <w:pPr>
              <w:spacing w:after="0"/>
              <w:rPr>
                <w:sz w:val="17"/>
                <w:szCs w:val="17"/>
                <w:color w:val="auto"/>
              </w:rPr>
            </w:pPr>
          </w:p>
        </w:tc>
        <w:tc>
          <w:tcPr>
            <w:tcW w:w="5080" w:type="dxa"/>
            <w:vAlign w:val="bottom"/>
            <w:tcBorders>
              <w:bottom w:val="single" w:sz="8" w:color="auto"/>
              <w:right w:val="single" w:sz="8" w:color="auto"/>
            </w:tcBorders>
            <w:shd w:val="clear" w:color="auto" w:fill="D6D1B7"/>
          </w:tcPr>
          <w:p>
            <w:pPr>
              <w:spacing w:after="0"/>
              <w:rPr>
                <w:sz w:val="17"/>
                <w:szCs w:val="17"/>
                <w:color w:val="auto"/>
              </w:rPr>
            </w:pPr>
          </w:p>
        </w:tc>
        <w:tc>
          <w:tcPr>
            <w:tcW w:w="3900" w:type="dxa"/>
            <w:vAlign w:val="bottom"/>
            <w:tcBorders>
              <w:bottom w:val="single" w:sz="8" w:color="auto"/>
              <w:right w:val="single" w:sz="8" w:color="auto"/>
            </w:tcBorders>
            <w:shd w:val="clear" w:color="auto" w:fill="D6D1B7"/>
          </w:tcPr>
          <w:p>
            <w:pPr>
              <w:spacing w:after="0"/>
              <w:rPr>
                <w:sz w:val="17"/>
                <w:szCs w:val="17"/>
                <w:color w:val="auto"/>
              </w:rPr>
            </w:pPr>
          </w:p>
        </w:tc>
        <w:tc>
          <w:tcPr>
            <w:tcW w:w="1140" w:type="dxa"/>
            <w:vAlign w:val="bottom"/>
            <w:tcBorders>
              <w:bottom w:val="single" w:sz="8" w:color="auto"/>
              <w:right w:val="single" w:sz="8" w:color="auto"/>
            </w:tcBorders>
            <w:shd w:val="clear" w:color="auto" w:fill="D6D1B7"/>
          </w:tcPr>
          <w:p>
            <w:pPr>
              <w:ind w:left="360"/>
              <w:spacing w:after="0" w:line="202" w:lineRule="exact"/>
              <w:rPr>
                <w:sz w:val="20"/>
                <w:szCs w:val="20"/>
                <w:color w:val="auto"/>
              </w:rPr>
            </w:pPr>
            <w:r>
              <w:rPr>
                <w:rFonts w:ascii="Arial" w:cs="Arial" w:eastAsia="Arial" w:hAnsi="Arial"/>
                <w:sz w:val="18"/>
                <w:szCs w:val="18"/>
                <w:b w:val="1"/>
                <w:bCs w:val="1"/>
                <w:color w:val="231F20"/>
              </w:rPr>
              <w:t>Period</w:t>
            </w: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0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rPr>
              <w:t>1st Level Watch List Filtering (WLF) Alerts:</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 Initiate action on ≥95% of Watch List Filtering</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w w:val="94"/>
              </w:rPr>
              <w:t>Alerts within 21 calendar days of alert generation.</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39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0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rPr>
              <w:t>1st Level Suspicious Activity Monitoring (SAM)</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Alerts:</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 Initiate action on ≥95% of Suspicious Activity</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w w:val="96"/>
              </w:rPr>
              <w:t>Monitoring Alerts within 30 calendar days of alert</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231F20"/>
              </w:rPr>
              <w:t>generation.</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0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rPr>
              <w:t>OFAC Real Time Alerts:</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 Initiate action on ≥95% of OFAC Real Time</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231F20"/>
                <w:w w:val="97"/>
              </w:rPr>
              <w:t>Alerts within 4 calendar days of alert generation.</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99"/>
              </w:rPr>
              <w:t>2</w:t>
            </w:r>
          </w:p>
        </w:tc>
        <w:tc>
          <w:tcPr>
            <w:tcW w:w="5600" w:type="dxa"/>
            <w:vAlign w:val="bottom"/>
            <w:tcBorders>
              <w:right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231F20"/>
              </w:rPr>
              <w:t>Accounting, Settlement &amp; Other Services</w:t>
            </w:r>
          </w:p>
        </w:tc>
        <w:tc>
          <w:tcPr>
            <w:tcW w:w="39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w w:val="98"/>
              </w:rPr>
              <w:t>Post all valid transactions to customer accounts</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50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231F20"/>
                <w:w w:val="89"/>
              </w:rPr>
              <w:t>All services and support deemed reasonable as compared to similar</w:t>
            </w:r>
          </w:p>
        </w:tc>
        <w:tc>
          <w:tcPr>
            <w:tcW w:w="3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w w:val="97"/>
              </w:rPr>
              <w:t>within 24-36 hour of receipt of transaction file on</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w w:val="94"/>
              </w:rPr>
              <w:t>financial services provided by an internal accounting department,</w:t>
            </w:r>
          </w:p>
        </w:tc>
        <w:tc>
          <w:tcPr>
            <w:tcW w:w="39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a business day.</w:t>
            </w: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231F20"/>
              </w:rPr>
              <w:t>including but not limited to daily posting of transactions, daily</w:t>
            </w:r>
          </w:p>
        </w:tc>
        <w:tc>
          <w:tcPr>
            <w:tcW w:w="3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w w:val="95"/>
              </w:rPr>
              <w:t>general ledger production, timely account reconciliation within an</w:t>
            </w:r>
          </w:p>
        </w:tc>
        <w:tc>
          <w:tcPr>
            <w:tcW w:w="39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80" w:type="dxa"/>
            <w:vAlign w:val="bottom"/>
            <w:tcBorders>
              <w:right w:val="single" w:sz="8" w:color="auto"/>
            </w:tcBorders>
          </w:tcPr>
          <w:p>
            <w:pPr>
              <w:ind w:left="140"/>
              <w:spacing w:after="0" w:line="168" w:lineRule="exact"/>
              <w:rPr>
                <w:sz w:val="20"/>
                <w:szCs w:val="20"/>
                <w:color w:val="auto"/>
              </w:rPr>
            </w:pPr>
            <w:r>
              <w:rPr>
                <w:rFonts w:ascii="Arial" w:cs="Arial" w:eastAsia="Arial" w:hAnsi="Arial"/>
                <w:sz w:val="18"/>
                <w:szCs w:val="18"/>
                <w:color w:val="231F20"/>
                <w:w w:val="96"/>
              </w:rPr>
              <w:t>acceptable materiality factor as determined by Bank, and timely</w:t>
            </w:r>
          </w:p>
        </w:tc>
        <w:tc>
          <w:tcPr>
            <w:tcW w:w="3900" w:type="dxa"/>
            <w:vAlign w:val="bottom"/>
            <w:tcBorders>
              <w:right w:val="single" w:sz="8" w:color="auto"/>
            </w:tcBorders>
          </w:tcPr>
          <w:p>
            <w:pPr>
              <w:ind w:left="120"/>
              <w:spacing w:after="0" w:line="168" w:lineRule="exact"/>
              <w:rPr>
                <w:sz w:val="20"/>
                <w:szCs w:val="20"/>
                <w:color w:val="auto"/>
              </w:rPr>
            </w:pPr>
            <w:r>
              <w:rPr>
                <w:rFonts w:ascii="Arial" w:cs="Arial" w:eastAsia="Arial" w:hAnsi="Arial"/>
                <w:sz w:val="18"/>
                <w:szCs w:val="18"/>
                <w:color w:val="231F20"/>
              </w:rPr>
              <w:t>Develop and load the Annual Budget report by</w:t>
            </w:r>
          </w:p>
        </w:tc>
        <w:tc>
          <w:tcPr>
            <w:tcW w:w="1140" w:type="dxa"/>
            <w:vAlign w:val="bottom"/>
            <w:tcBorders>
              <w:right w:val="single" w:sz="8" w:color="auto"/>
            </w:tcBorders>
          </w:tcPr>
          <w:p>
            <w:pPr>
              <w:ind w:left="580"/>
              <w:spacing w:after="0" w:line="168" w:lineRule="exact"/>
              <w:rPr>
                <w:sz w:val="20"/>
                <w:szCs w:val="20"/>
                <w:color w:val="auto"/>
              </w:rPr>
            </w:pPr>
            <w:r>
              <w:rPr>
                <w:rFonts w:ascii="Arial" w:cs="Arial" w:eastAsia="Arial" w:hAnsi="Arial"/>
                <w:sz w:val="18"/>
                <w:szCs w:val="18"/>
                <w:color w:val="231F20"/>
              </w:rPr>
              <w:t>A</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231F20"/>
              </w:rPr>
              <w:t>preparation of monthly financial reports. Any regulatory or</w:t>
            </w:r>
          </w:p>
        </w:tc>
        <w:tc>
          <w:tcPr>
            <w:tcW w:w="3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rPr>
              <w:t>January 31st.</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231F20"/>
              </w:rPr>
              <w:t>financial reporting as appropriate.</w:t>
            </w:r>
          </w:p>
        </w:tc>
        <w:tc>
          <w:tcPr>
            <w:tcW w:w="3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right w:val="single" w:sz="8" w:color="auto"/>
            </w:tcBorders>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18"/>
                <w:szCs w:val="18"/>
                <w:color w:val="231F20"/>
              </w:rPr>
              <w:t>•</w:t>
            </w:r>
          </w:p>
        </w:tc>
        <w:tc>
          <w:tcPr>
            <w:tcW w:w="5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231F20"/>
                <w:w w:val="96"/>
              </w:rPr>
              <w:t>All client settlement and related services, as well as budgeting,</w:t>
            </w:r>
          </w:p>
        </w:tc>
        <w:tc>
          <w:tcPr>
            <w:tcW w:w="390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right w:val="single" w:sz="8" w:color="auto"/>
            </w:tcBorders>
          </w:tcPr>
          <w:p>
            <w:pPr>
              <w:spacing w:after="0"/>
              <w:rPr>
                <w:sz w:val="6"/>
                <w:szCs w:val="6"/>
                <w:color w:val="auto"/>
              </w:rPr>
            </w:pPr>
          </w:p>
        </w:tc>
        <w:tc>
          <w:tcPr>
            <w:tcW w:w="520" w:type="dxa"/>
            <w:vAlign w:val="bottom"/>
            <w:vMerge w:val="continue"/>
          </w:tcPr>
          <w:p>
            <w:pPr>
              <w:spacing w:after="0"/>
              <w:rPr>
                <w:sz w:val="6"/>
                <w:szCs w:val="6"/>
                <w:color w:val="auto"/>
              </w:rPr>
            </w:pPr>
          </w:p>
        </w:tc>
        <w:tc>
          <w:tcPr>
            <w:tcW w:w="5080" w:type="dxa"/>
            <w:vAlign w:val="bottom"/>
            <w:tcBorders>
              <w:right w:val="single" w:sz="8" w:color="auto"/>
            </w:tcBorders>
            <w:vMerge w:val="continue"/>
          </w:tcPr>
          <w:p>
            <w:pPr>
              <w:spacing w:after="0"/>
              <w:rPr>
                <w:sz w:val="6"/>
                <w:szCs w:val="6"/>
                <w:color w:val="auto"/>
              </w:rPr>
            </w:pPr>
          </w:p>
        </w:tc>
        <w:tc>
          <w:tcPr>
            <w:tcW w:w="3900" w:type="dxa"/>
            <w:vAlign w:val="bottom"/>
            <w:tcBorders>
              <w:right w:val="single" w:sz="8" w:color="auto"/>
            </w:tcBorders>
            <w:vMerge w:val="restart"/>
          </w:tcPr>
          <w:p>
            <w:pPr>
              <w:ind w:left="120"/>
              <w:spacing w:after="0" w:line="182" w:lineRule="exact"/>
              <w:rPr>
                <w:sz w:val="20"/>
                <w:szCs w:val="20"/>
                <w:color w:val="auto"/>
              </w:rPr>
            </w:pPr>
            <w:r>
              <w:rPr>
                <w:rFonts w:ascii="Arial" w:cs="Arial" w:eastAsia="Arial" w:hAnsi="Arial"/>
                <w:sz w:val="18"/>
                <w:szCs w:val="18"/>
                <w:color w:val="231F20"/>
                <w:w w:val="94"/>
              </w:rPr>
              <w:t>Report the Monthly Forecast by the 11th business</w:t>
            </w:r>
          </w:p>
        </w:tc>
        <w:tc>
          <w:tcPr>
            <w:tcW w:w="1140" w:type="dxa"/>
            <w:vAlign w:val="bottom"/>
            <w:tcBorders>
              <w:right w:val="single" w:sz="8" w:color="auto"/>
            </w:tcBorders>
            <w:vMerge w:val="restart"/>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231F20"/>
              </w:rPr>
              <w:t>general ledger support and other accounting assistance. Any</w:t>
            </w:r>
          </w:p>
        </w:tc>
        <w:tc>
          <w:tcPr>
            <w:tcW w:w="39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3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231F20"/>
              </w:rPr>
              <w:t>day of the following month.</w:t>
            </w: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231F20"/>
              </w:rPr>
              <w:t>financial reporting and analysis as appropriate.</w:t>
            </w:r>
          </w:p>
        </w:tc>
        <w:tc>
          <w:tcPr>
            <w:tcW w:w="39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sz w:val="16"/>
                <w:szCs w:val="16"/>
                <w:color w:val="auto"/>
              </w:rPr>
            </w:pPr>
          </w:p>
        </w:tc>
        <w:tc>
          <w:tcPr>
            <w:tcW w:w="39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99"/>
              </w:rPr>
              <w:t>3</w:t>
            </w:r>
          </w:p>
        </w:tc>
        <w:tc>
          <w:tcPr>
            <w:tcW w:w="5600" w:type="dxa"/>
            <w:vAlign w:val="bottom"/>
            <w:tcBorders>
              <w:right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231F20"/>
              </w:rPr>
              <w:t>Applications Development</w:t>
            </w:r>
          </w:p>
        </w:tc>
        <w:tc>
          <w:tcPr>
            <w:tcW w:w="39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231F20"/>
              </w:rPr>
              <w:t>Maintain 99.5% availability of applications</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231F20"/>
              </w:rPr>
              <w:t>•</w:t>
            </w:r>
          </w:p>
        </w:tc>
        <w:tc>
          <w:tcPr>
            <w:tcW w:w="50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231F20"/>
              </w:rPr>
              <w:t>Management and maintenance of processing applications,</w:t>
            </w:r>
          </w:p>
        </w:tc>
        <w:tc>
          <w:tcPr>
            <w:tcW w:w="39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system to process all applications.</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 w:type="dxa"/>
            <w:vAlign w:val="bottom"/>
            <w:tcBorders>
              <w:left w:val="single" w:sz="8" w:color="auto"/>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w w:val="96"/>
              </w:rPr>
              <w:t>including new feature development, product enhancements and</w:t>
            </w:r>
          </w:p>
        </w:tc>
        <w:tc>
          <w:tcPr>
            <w:tcW w:w="3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231F20"/>
              </w:rPr>
              <w:t>problem resolution.</w:t>
            </w:r>
          </w:p>
        </w:tc>
        <w:tc>
          <w:tcPr>
            <w:tcW w:w="3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231F20"/>
              </w:rPr>
              <w:t>•</w:t>
            </w:r>
          </w:p>
        </w:tc>
        <w:tc>
          <w:tcPr>
            <w:tcW w:w="50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231F20"/>
              </w:rPr>
              <w:t>Provision of development staff with specialized knowledge of</w:t>
            </w:r>
          </w:p>
        </w:tc>
        <w:tc>
          <w:tcPr>
            <w:tcW w:w="3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rPr>
              <w:t>Bank processing applications.</w:t>
            </w:r>
          </w:p>
        </w:tc>
        <w:tc>
          <w:tcPr>
            <w:tcW w:w="390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80" w:type="dxa"/>
            <w:vAlign w:val="bottom"/>
            <w:tcBorders>
              <w:bottom w:val="single" w:sz="8" w:color="auto"/>
              <w:right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600" w:type="dxa"/>
            <w:vAlign w:val="bottom"/>
            <w:tcBorders>
              <w:top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440" w:type="dxa"/>
            <w:vAlign w:val="bottom"/>
            <w:tcBorders>
              <w:top w:val="single" w:sz="8" w:color="auto"/>
            </w:tcBorders>
            <w:shd w:val="clear" w:color="auto" w:fill="D6D1B7"/>
          </w:tcPr>
          <w:p>
            <w:pPr>
              <w:spacing w:after="0"/>
              <w:rPr>
                <w:sz w:val="14"/>
                <w:szCs w:val="14"/>
                <w:color w:val="auto"/>
              </w:rPr>
            </w:pPr>
          </w:p>
        </w:tc>
        <w:tc>
          <w:tcPr>
            <w:tcW w:w="5160" w:type="dxa"/>
            <w:vAlign w:val="bottom"/>
            <w:tcBorders>
              <w:top w:val="single" w:sz="8" w:color="auto"/>
            </w:tcBorders>
            <w:shd w:val="clear" w:color="auto" w:fill="D6D1B7"/>
          </w:tcPr>
          <w:p>
            <w:pPr>
              <w:ind w:left="2120"/>
              <w:spacing w:after="0" w:line="162" w:lineRule="exact"/>
              <w:rPr>
                <w:sz w:val="20"/>
                <w:szCs w:val="20"/>
                <w:color w:val="auto"/>
              </w:rPr>
            </w:pPr>
            <w:r>
              <w:rPr>
                <w:rFonts w:ascii="Arial" w:cs="Arial" w:eastAsia="Arial" w:hAnsi="Arial"/>
                <w:sz w:val="18"/>
                <w:szCs w:val="18"/>
                <w:b w:val="1"/>
                <w:bCs w:val="1"/>
                <w:color w:val="231F20"/>
              </w:rPr>
              <w:t>Service</w:t>
            </w:r>
          </w:p>
        </w:tc>
        <w:tc>
          <w:tcPr>
            <w:tcW w:w="3640" w:type="dxa"/>
            <w:vAlign w:val="bottom"/>
            <w:tcBorders>
              <w:top w:val="single" w:sz="8" w:color="auto"/>
            </w:tcBorders>
            <w:shd w:val="clear" w:color="auto" w:fill="D6D1B7"/>
          </w:tcPr>
          <w:p>
            <w:pPr>
              <w:ind w:left="106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380" w:type="dxa"/>
            <w:vAlign w:val="bottom"/>
            <w:tcBorders>
              <w:top w:val="single" w:sz="8" w:color="auto"/>
            </w:tcBorders>
            <w:shd w:val="clear" w:color="auto" w:fill="D6D1B7"/>
          </w:tcPr>
          <w:p>
            <w:pPr>
              <w:jc w:val="center"/>
              <w:ind w:left="270"/>
              <w:spacing w:after="0" w:line="162" w:lineRule="exact"/>
              <w:rPr>
                <w:sz w:val="20"/>
                <w:szCs w:val="20"/>
                <w:color w:val="auto"/>
              </w:rPr>
            </w:pPr>
            <w:r>
              <w:rPr>
                <w:rFonts w:ascii="Arial" w:cs="Arial" w:eastAsia="Arial" w:hAnsi="Arial"/>
                <w:sz w:val="18"/>
                <w:szCs w:val="18"/>
                <w:b w:val="1"/>
                <w:bCs w:val="1"/>
                <w:color w:val="231F20"/>
                <w:w w:val="91"/>
              </w:rPr>
              <w:t>Measuring</w:t>
            </w:r>
          </w:p>
        </w:tc>
        <w:tc>
          <w:tcPr>
            <w:tcW w:w="20" w:type="dxa"/>
            <w:vAlign w:val="bottom"/>
            <w:tcBorders>
              <w:top w:val="single" w:sz="8" w:color="auto"/>
            </w:tcBorders>
          </w:tcPr>
          <w:p>
            <w:pPr>
              <w:spacing w:after="0"/>
              <w:rPr>
                <w:sz w:val="14"/>
                <w:szCs w:val="14"/>
                <w:color w:val="auto"/>
              </w:rPr>
            </w:pPr>
          </w:p>
        </w:tc>
      </w:tr>
      <w:tr>
        <w:trPr>
          <w:trHeight w:val="203"/>
        </w:trPr>
        <w:tc>
          <w:tcPr>
            <w:tcW w:w="600" w:type="dxa"/>
            <w:vAlign w:val="bottom"/>
            <w:tcBorders>
              <w:bottom w:val="single" w:sz="8" w:color="auto"/>
            </w:tcBorders>
            <w:shd w:val="clear" w:color="auto" w:fill="D6D1B7"/>
          </w:tcPr>
          <w:p>
            <w:pPr>
              <w:spacing w:after="0"/>
              <w:rPr>
                <w:sz w:val="17"/>
                <w:szCs w:val="17"/>
                <w:color w:val="auto"/>
              </w:rPr>
            </w:pPr>
          </w:p>
        </w:tc>
        <w:tc>
          <w:tcPr>
            <w:tcW w:w="440" w:type="dxa"/>
            <w:vAlign w:val="bottom"/>
            <w:tcBorders>
              <w:bottom w:val="single" w:sz="8" w:color="auto"/>
            </w:tcBorders>
            <w:shd w:val="clear" w:color="auto" w:fill="D6D1B7"/>
          </w:tcPr>
          <w:p>
            <w:pPr>
              <w:spacing w:after="0"/>
              <w:rPr>
                <w:sz w:val="17"/>
                <w:szCs w:val="17"/>
                <w:color w:val="auto"/>
              </w:rPr>
            </w:pPr>
          </w:p>
        </w:tc>
        <w:tc>
          <w:tcPr>
            <w:tcW w:w="5160" w:type="dxa"/>
            <w:vAlign w:val="bottom"/>
            <w:tcBorders>
              <w:bottom w:val="single" w:sz="8" w:color="auto"/>
            </w:tcBorders>
            <w:shd w:val="clear" w:color="auto" w:fill="D6D1B7"/>
          </w:tcPr>
          <w:p>
            <w:pPr>
              <w:spacing w:after="0"/>
              <w:rPr>
                <w:sz w:val="17"/>
                <w:szCs w:val="17"/>
                <w:color w:val="auto"/>
              </w:rPr>
            </w:pPr>
          </w:p>
        </w:tc>
        <w:tc>
          <w:tcPr>
            <w:tcW w:w="3640" w:type="dxa"/>
            <w:vAlign w:val="bottom"/>
            <w:tcBorders>
              <w:bottom w:val="single" w:sz="8" w:color="auto"/>
            </w:tcBorders>
            <w:shd w:val="clear" w:color="auto" w:fill="D6D1B7"/>
          </w:tcPr>
          <w:p>
            <w:pPr>
              <w:spacing w:after="0"/>
              <w:rPr>
                <w:sz w:val="17"/>
                <w:szCs w:val="17"/>
                <w:color w:val="auto"/>
              </w:rPr>
            </w:pPr>
          </w:p>
        </w:tc>
        <w:tc>
          <w:tcPr>
            <w:tcW w:w="1380" w:type="dxa"/>
            <w:vAlign w:val="bottom"/>
            <w:tcBorders>
              <w:bottom w:val="single" w:sz="8" w:color="auto"/>
            </w:tcBorders>
            <w:shd w:val="clear" w:color="auto" w:fill="D6D1B7"/>
          </w:tcPr>
          <w:p>
            <w:pPr>
              <w:jc w:val="center"/>
              <w:ind w:left="270"/>
              <w:spacing w:after="0" w:line="202" w:lineRule="exact"/>
              <w:rPr>
                <w:sz w:val="20"/>
                <w:szCs w:val="20"/>
                <w:color w:val="auto"/>
              </w:rPr>
            </w:pPr>
            <w:r>
              <w:rPr>
                <w:rFonts w:ascii="Arial" w:cs="Arial" w:eastAsia="Arial" w:hAnsi="Arial"/>
                <w:sz w:val="18"/>
                <w:szCs w:val="18"/>
                <w:b w:val="1"/>
                <w:bCs w:val="1"/>
                <w:color w:val="231F20"/>
                <w:w w:val="89"/>
              </w:rPr>
              <w:t>Period</w:t>
            </w:r>
          </w:p>
        </w:tc>
        <w:tc>
          <w:tcPr>
            <w:tcW w:w="20" w:type="dxa"/>
            <w:vAlign w:val="bottom"/>
            <w:tcBorders>
              <w:bottom w:val="single" w:sz="8" w:color="auto"/>
            </w:tcBorders>
          </w:tcPr>
          <w:p>
            <w:pPr>
              <w:spacing w:after="0"/>
              <w:rPr>
                <w:sz w:val="17"/>
                <w:szCs w:val="17"/>
                <w:color w:val="auto"/>
              </w:rPr>
            </w:pPr>
          </w:p>
        </w:tc>
      </w:tr>
      <w:tr>
        <w:trPr>
          <w:trHeight w:val="182"/>
        </w:trPr>
        <w:tc>
          <w:tcPr>
            <w:tcW w:w="600" w:type="dxa"/>
            <w:vAlign w:val="bottom"/>
          </w:tcPr>
          <w:p>
            <w:pPr>
              <w:jc w:val="right"/>
              <w:ind w:right="150"/>
              <w:spacing w:after="0" w:line="182" w:lineRule="exact"/>
              <w:rPr>
                <w:sz w:val="20"/>
                <w:szCs w:val="20"/>
                <w:color w:val="auto"/>
              </w:rPr>
            </w:pPr>
            <w:r>
              <w:rPr>
                <w:rFonts w:ascii="Arial" w:cs="Arial" w:eastAsia="Arial" w:hAnsi="Arial"/>
                <w:sz w:val="18"/>
                <w:szCs w:val="18"/>
                <w:color w:val="7F7F7F"/>
              </w:rPr>
              <w:t>4</w:t>
            </w:r>
          </w:p>
        </w:tc>
        <w:tc>
          <w:tcPr>
            <w:tcW w:w="560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auto"/>
              </w:rPr>
              <w:t>Business Continuity and Disaster Recovery Services</w:t>
            </w:r>
          </w:p>
        </w:tc>
        <w:tc>
          <w:tcPr>
            <w:tcW w:w="3640" w:type="dxa"/>
            <w:vAlign w:val="bottom"/>
          </w:tcPr>
          <w:p>
            <w:pPr>
              <w:ind w:left="120"/>
              <w:spacing w:after="0" w:line="182" w:lineRule="exact"/>
              <w:rPr>
                <w:sz w:val="20"/>
                <w:szCs w:val="20"/>
                <w:color w:val="auto"/>
              </w:rPr>
            </w:pPr>
            <w:r>
              <w:rPr>
                <w:rFonts w:ascii="Arial" w:cs="Arial" w:eastAsia="Arial" w:hAnsi="Arial"/>
                <w:sz w:val="18"/>
                <w:szCs w:val="18"/>
                <w:color w:val="231F20"/>
              </w:rPr>
              <w:t>Conduct Business Impact Analysis (BIA)</w:t>
            </w:r>
          </w:p>
        </w:tc>
        <w:tc>
          <w:tcPr>
            <w:tcW w:w="1380" w:type="dxa"/>
            <w:vAlign w:val="bottom"/>
          </w:tcPr>
          <w:p>
            <w:pPr>
              <w:ind w:left="840"/>
              <w:spacing w:after="0" w:line="182" w:lineRule="exact"/>
              <w:rPr>
                <w:sz w:val="20"/>
                <w:szCs w:val="20"/>
                <w:color w:val="auto"/>
              </w:rPr>
            </w:pPr>
            <w:r>
              <w:rPr>
                <w:rFonts w:ascii="Arial" w:cs="Arial" w:eastAsia="Arial" w:hAnsi="Arial"/>
                <w:sz w:val="18"/>
                <w:szCs w:val="18"/>
                <w:color w:val="231F20"/>
              </w:rPr>
              <w:t>A</w:t>
            </w:r>
          </w:p>
        </w:tc>
        <w:tc>
          <w:tcPr>
            <w:tcW w:w="20" w:type="dxa"/>
            <w:vAlign w:val="bottom"/>
          </w:tcPr>
          <w:p>
            <w:pPr>
              <w:spacing w:after="0"/>
              <w:rPr>
                <w:sz w:val="15"/>
                <w:szCs w:val="15"/>
                <w:color w:val="auto"/>
              </w:rPr>
            </w:pPr>
          </w:p>
        </w:tc>
      </w:tr>
      <w:tr>
        <w:trPr>
          <w:trHeight w:val="203"/>
        </w:trPr>
        <w:tc>
          <w:tcPr>
            <w:tcW w:w="600" w:type="dxa"/>
            <w:vAlign w:val="bottom"/>
          </w:tcPr>
          <w:p>
            <w:pPr>
              <w:spacing w:after="0"/>
              <w:rPr>
                <w:sz w:val="17"/>
                <w:szCs w:val="17"/>
                <w:color w:val="auto"/>
              </w:rPr>
            </w:pP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w w:val="98"/>
              </w:rPr>
              <w:t>Assist management in planning for a shut down or disruption in</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231F20"/>
              </w:rPr>
              <w:t>assessment within 12 months of the last</w:t>
            </w: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3"/>
        </w:trPr>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business.</w:t>
            </w:r>
          </w:p>
        </w:tc>
        <w:tc>
          <w:tcPr>
            <w:tcW w:w="3640" w:type="dxa"/>
            <w:vAlign w:val="bottom"/>
          </w:tcPr>
          <w:p>
            <w:pPr>
              <w:ind w:left="120"/>
              <w:spacing w:after="0"/>
              <w:rPr>
                <w:sz w:val="20"/>
                <w:szCs w:val="20"/>
                <w:color w:val="auto"/>
              </w:rPr>
            </w:pPr>
            <w:r>
              <w:rPr>
                <w:rFonts w:ascii="Arial" w:cs="Arial" w:eastAsia="Arial" w:hAnsi="Arial"/>
                <w:sz w:val="18"/>
                <w:szCs w:val="18"/>
                <w:color w:val="231F20"/>
                <w:w w:val="99"/>
              </w:rPr>
              <w:t>assessment for 95% of business processes.</w:t>
            </w: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ind w:left="1240" w:hanging="39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6103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t>Respond  to  emergencies  and  safeguard  the  interests  of  key</w:t>
      </w:r>
    </w:p>
    <w:p>
      <w:pPr>
        <w:spacing w:after="0" w:line="29"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5340" w:type="dxa"/>
            <w:vAlign w:val="bottom"/>
            <w:gridSpan w:val="2"/>
          </w:tcPr>
          <w:p>
            <w:pPr>
              <w:ind w:left="320"/>
              <w:spacing w:after="0"/>
              <w:rPr>
                <w:sz w:val="20"/>
                <w:szCs w:val="20"/>
                <w:color w:val="auto"/>
              </w:rPr>
            </w:pPr>
            <w:r>
              <w:rPr>
                <w:rFonts w:ascii="Arial" w:cs="Arial" w:eastAsia="Arial" w:hAnsi="Arial"/>
                <w:sz w:val="18"/>
                <w:szCs w:val="18"/>
                <w:color w:val="auto"/>
              </w:rPr>
              <w:t>stakeholders, reputation, brand and value-creating activities.</w:t>
            </w:r>
          </w:p>
        </w:tc>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jc w:val="right"/>
              <w:ind w:right="10"/>
              <w:spacing w:after="0"/>
              <w:rPr>
                <w:sz w:val="20"/>
                <w:szCs w:val="20"/>
                <w:color w:val="auto"/>
              </w:rPr>
            </w:pPr>
            <w:r>
              <w:rPr>
                <w:rFonts w:ascii="Arial" w:cs="Arial" w:eastAsia="Arial" w:hAnsi="Arial"/>
                <w:sz w:val="18"/>
                <w:szCs w:val="18"/>
                <w:color w:val="auto"/>
                <w:w w:val="95"/>
              </w:rPr>
              <w:t>Oversee each area that is responsible for planning, developing,</w:t>
            </w:r>
          </w:p>
        </w:tc>
        <w:tc>
          <w:tcPr>
            <w:tcW w:w="4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340" w:type="dxa"/>
            <w:vAlign w:val="bottom"/>
            <w:gridSpan w:val="2"/>
            <w:vMerge w:val="restart"/>
          </w:tcPr>
          <w:p>
            <w:pPr>
              <w:ind w:left="320"/>
              <w:spacing w:after="0"/>
              <w:rPr>
                <w:sz w:val="20"/>
                <w:szCs w:val="20"/>
                <w:color w:val="auto"/>
              </w:rPr>
            </w:pPr>
            <w:r>
              <w:rPr>
                <w:rFonts w:ascii="Arial" w:cs="Arial" w:eastAsia="Arial" w:hAnsi="Arial"/>
                <w:sz w:val="18"/>
                <w:szCs w:val="18"/>
                <w:color w:val="auto"/>
              </w:rPr>
              <w:t>updating  and  testing  the  procedures  that  will  provide  the</w:t>
            </w:r>
          </w:p>
        </w:tc>
        <w:tc>
          <w:tcPr>
            <w:tcW w:w="4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5340" w:type="dxa"/>
            <w:vAlign w:val="bottom"/>
            <w:gridSpan w:val="2"/>
            <w:vMerge w:val="continue"/>
          </w:tcPr>
          <w:p>
            <w:pPr>
              <w:spacing w:after="0"/>
              <w:rPr>
                <w:sz w:val="13"/>
                <w:szCs w:val="13"/>
                <w:color w:val="auto"/>
              </w:rPr>
            </w:pPr>
          </w:p>
        </w:tc>
        <w:tc>
          <w:tcPr>
            <w:tcW w:w="4120" w:type="dxa"/>
            <w:vAlign w:val="bottom"/>
          </w:tcPr>
          <w:p>
            <w:pPr>
              <w:ind w:left="140"/>
              <w:spacing w:after="0" w:line="156" w:lineRule="exact"/>
              <w:rPr>
                <w:sz w:val="20"/>
                <w:szCs w:val="20"/>
                <w:color w:val="auto"/>
              </w:rPr>
            </w:pPr>
            <w:r>
              <w:rPr>
                <w:rFonts w:ascii="Arial" w:cs="Arial" w:eastAsia="Arial" w:hAnsi="Arial"/>
                <w:sz w:val="18"/>
                <w:szCs w:val="18"/>
                <w:color w:val="231F20"/>
              </w:rPr>
              <w:t>Conduct risk assessment within 12 months of the</w:t>
            </w:r>
          </w:p>
        </w:tc>
        <w:tc>
          <w:tcPr>
            <w:tcW w:w="940" w:type="dxa"/>
            <w:vAlign w:val="bottom"/>
          </w:tcPr>
          <w:p>
            <w:pPr>
              <w:ind w:left="380"/>
              <w:spacing w:after="0" w:line="156" w:lineRule="exact"/>
              <w:rPr>
                <w:sz w:val="20"/>
                <w:szCs w:val="20"/>
                <w:color w:val="auto"/>
              </w:rPr>
            </w:pPr>
            <w:r>
              <w:rPr>
                <w:rFonts w:ascii="Arial" w:cs="Arial" w:eastAsia="Arial" w:hAnsi="Arial"/>
                <w:sz w:val="18"/>
                <w:szCs w:val="18"/>
                <w:color w:val="231F20"/>
              </w:rPr>
              <w:t>A</w:t>
            </w:r>
          </w:p>
        </w:tc>
        <w:tc>
          <w:tcPr>
            <w:tcW w:w="0" w:type="dxa"/>
            <w:vAlign w:val="bottom"/>
          </w:tcPr>
          <w:p>
            <w:pPr>
              <w:spacing w:after="0"/>
              <w:rPr>
                <w:sz w:val="1"/>
                <w:szCs w:val="1"/>
                <w:color w:val="auto"/>
              </w:rPr>
            </w:pPr>
          </w:p>
        </w:tc>
      </w:tr>
      <w:tr>
        <w:trPr>
          <w:trHeight w:val="202"/>
        </w:trPr>
        <w:tc>
          <w:tcPr>
            <w:tcW w:w="534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2"/>
              </w:rPr>
              <w:t>organization the ability to respond and recover during an unplanned</w:t>
            </w:r>
          </w:p>
        </w:tc>
        <w:tc>
          <w:tcPr>
            <w:tcW w:w="4120" w:type="dxa"/>
            <w:vAlign w:val="bottom"/>
          </w:tcPr>
          <w:p>
            <w:pPr>
              <w:ind w:left="140"/>
              <w:spacing w:after="0" w:line="202" w:lineRule="exact"/>
              <w:rPr>
                <w:sz w:val="20"/>
                <w:szCs w:val="20"/>
                <w:color w:val="auto"/>
              </w:rPr>
            </w:pPr>
            <w:r>
              <w:rPr>
                <w:rFonts w:ascii="Arial" w:cs="Arial" w:eastAsia="Arial" w:hAnsi="Arial"/>
                <w:sz w:val="18"/>
                <w:szCs w:val="18"/>
                <w:color w:val="231F20"/>
              </w:rPr>
              <w:t>last assessment for 95% of facilities.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340" w:type="dxa"/>
            <w:vAlign w:val="bottom"/>
            <w:gridSpan w:val="2"/>
          </w:tcPr>
          <w:p>
            <w:pPr>
              <w:ind w:left="320"/>
              <w:spacing w:after="0" w:line="175" w:lineRule="exact"/>
              <w:rPr>
                <w:sz w:val="20"/>
                <w:szCs w:val="20"/>
                <w:color w:val="auto"/>
              </w:rPr>
            </w:pPr>
            <w:r>
              <w:rPr>
                <w:rFonts w:ascii="Arial" w:cs="Arial" w:eastAsia="Arial" w:hAnsi="Arial"/>
                <w:sz w:val="18"/>
                <w:szCs w:val="18"/>
                <w:color w:val="auto"/>
              </w:rPr>
              <w:t>event.</w:t>
            </w:r>
          </w:p>
        </w:tc>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jc w:val="right"/>
              <w:ind w:right="10"/>
              <w:spacing w:after="0"/>
              <w:rPr>
                <w:sz w:val="20"/>
                <w:szCs w:val="20"/>
                <w:color w:val="auto"/>
              </w:rPr>
            </w:pPr>
            <w:r>
              <w:rPr>
                <w:rFonts w:ascii="Arial" w:cs="Arial" w:eastAsia="Arial" w:hAnsi="Arial"/>
                <w:sz w:val="18"/>
                <w:szCs w:val="18"/>
                <w:color w:val="auto"/>
                <w:w w:val="98"/>
              </w:rPr>
              <w:t>Provide business continuity and disaster recovery services as</w:t>
            </w:r>
          </w:p>
        </w:tc>
        <w:tc>
          <w:tcPr>
            <w:tcW w:w="4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gridSpan w:val="2"/>
          </w:tcPr>
          <w:p>
            <w:pPr>
              <w:ind w:left="320"/>
              <w:spacing w:after="0"/>
              <w:rPr>
                <w:sz w:val="20"/>
                <w:szCs w:val="20"/>
                <w:color w:val="auto"/>
              </w:rPr>
            </w:pPr>
            <w:r>
              <w:rPr>
                <w:rFonts w:ascii="Arial" w:cs="Arial" w:eastAsia="Arial" w:hAnsi="Arial"/>
                <w:sz w:val="18"/>
                <w:szCs w:val="18"/>
                <w:color w:val="auto"/>
              </w:rPr>
              <w:t>follows:</w:t>
            </w:r>
          </w:p>
        </w:tc>
        <w:tc>
          <w:tcPr>
            <w:tcW w:w="4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400" w:type="dxa"/>
            <w:vAlign w:val="bottom"/>
            <w:vMerge w:val="restart"/>
          </w:tcPr>
          <w:p>
            <w:pPr>
              <w:ind w:left="320"/>
              <w:spacing w:after="0"/>
              <w:rPr>
                <w:sz w:val="20"/>
                <w:szCs w:val="20"/>
                <w:color w:val="auto"/>
              </w:rPr>
            </w:pPr>
            <w:r>
              <w:rPr>
                <w:rFonts w:ascii="Arial" w:cs="Arial" w:eastAsia="Arial" w:hAnsi="Arial"/>
                <w:sz w:val="18"/>
                <w:szCs w:val="18"/>
                <w:color w:val="auto"/>
                <w:w w:val="94"/>
              </w:rPr>
              <w:t>•</w:t>
            </w:r>
          </w:p>
        </w:tc>
        <w:tc>
          <w:tcPr>
            <w:tcW w:w="494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Provide alternate site for Bank headquarters personnel in the</w:t>
            </w:r>
          </w:p>
        </w:tc>
        <w:tc>
          <w:tcPr>
            <w:tcW w:w="4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0" w:type="dxa"/>
            <w:vAlign w:val="bottom"/>
            <w:vMerge w:val="continue"/>
          </w:tcPr>
          <w:p>
            <w:pPr>
              <w:spacing w:after="0"/>
              <w:rPr>
                <w:sz w:val="11"/>
                <w:szCs w:val="11"/>
                <w:color w:val="auto"/>
              </w:rPr>
            </w:pPr>
          </w:p>
        </w:tc>
        <w:tc>
          <w:tcPr>
            <w:tcW w:w="4940" w:type="dxa"/>
            <w:vAlign w:val="bottom"/>
            <w:vMerge w:val="continue"/>
          </w:tcPr>
          <w:p>
            <w:pPr>
              <w:spacing w:after="0"/>
              <w:rPr>
                <w:sz w:val="11"/>
                <w:szCs w:val="11"/>
                <w:color w:val="auto"/>
              </w:rPr>
            </w:pPr>
          </w:p>
        </w:tc>
        <w:tc>
          <w:tcPr>
            <w:tcW w:w="4120" w:type="dxa"/>
            <w:vAlign w:val="bottom"/>
            <w:vMerge w:val="restart"/>
          </w:tcPr>
          <w:p>
            <w:pPr>
              <w:ind w:left="140"/>
              <w:spacing w:after="0" w:line="182" w:lineRule="exact"/>
              <w:rPr>
                <w:sz w:val="20"/>
                <w:szCs w:val="20"/>
                <w:color w:val="auto"/>
              </w:rPr>
            </w:pPr>
            <w:r>
              <w:rPr>
                <w:rFonts w:ascii="Arial" w:cs="Arial" w:eastAsia="Arial" w:hAnsi="Arial"/>
                <w:sz w:val="18"/>
                <w:szCs w:val="18"/>
                <w:color w:val="231F20"/>
              </w:rPr>
              <w:t>Establish and approve 95% of Business</w:t>
            </w:r>
          </w:p>
        </w:tc>
        <w:tc>
          <w:tcPr>
            <w:tcW w:w="940" w:type="dxa"/>
            <w:vAlign w:val="bottom"/>
            <w:vMerge w:val="restart"/>
          </w:tcPr>
          <w:p>
            <w:pPr>
              <w:ind w:left="380"/>
              <w:spacing w:after="0" w:line="182" w:lineRule="exact"/>
              <w:rPr>
                <w:sz w:val="20"/>
                <w:szCs w:val="20"/>
                <w:color w:val="auto"/>
              </w:rPr>
            </w:pPr>
            <w:r>
              <w:rPr>
                <w:rFonts w:ascii="Arial" w:cs="Arial" w:eastAsia="Arial" w:hAnsi="Arial"/>
                <w:sz w:val="18"/>
                <w:szCs w:val="18"/>
                <w:color w:val="231F20"/>
              </w:rPr>
              <w:t>Q</w:t>
            </w:r>
          </w:p>
        </w:tc>
        <w:tc>
          <w:tcPr>
            <w:tcW w:w="0" w:type="dxa"/>
            <w:vAlign w:val="bottom"/>
          </w:tcPr>
          <w:p>
            <w:pPr>
              <w:spacing w:after="0"/>
              <w:rPr>
                <w:sz w:val="1"/>
                <w:szCs w:val="1"/>
                <w:color w:val="auto"/>
              </w:rPr>
            </w:pPr>
          </w:p>
        </w:tc>
      </w:tr>
      <w:tr>
        <w:trPr>
          <w:trHeight w:val="53"/>
        </w:trPr>
        <w:tc>
          <w:tcPr>
            <w:tcW w:w="400" w:type="dxa"/>
            <w:vAlign w:val="bottom"/>
          </w:tcPr>
          <w:p>
            <w:pPr>
              <w:spacing w:after="0"/>
              <w:rPr>
                <w:sz w:val="4"/>
                <w:szCs w:val="4"/>
                <w:color w:val="auto"/>
              </w:rPr>
            </w:pPr>
          </w:p>
        </w:tc>
        <w:tc>
          <w:tcPr>
            <w:tcW w:w="494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event  that  the  Bank’s  location  is  rendered  inaccessible  or</w:t>
            </w:r>
          </w:p>
        </w:tc>
        <w:tc>
          <w:tcPr>
            <w:tcW w:w="41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4940" w:type="dxa"/>
            <w:vAlign w:val="bottom"/>
            <w:vMerge w:val="continue"/>
          </w:tcPr>
          <w:p>
            <w:pPr>
              <w:spacing w:after="0"/>
              <w:rPr>
                <w:sz w:val="15"/>
                <w:szCs w:val="15"/>
                <w:color w:val="auto"/>
              </w:rPr>
            </w:pPr>
          </w:p>
        </w:tc>
        <w:tc>
          <w:tcPr>
            <w:tcW w:w="4120" w:type="dxa"/>
            <w:vAlign w:val="bottom"/>
          </w:tcPr>
          <w:p>
            <w:pPr>
              <w:ind w:left="140"/>
              <w:spacing w:after="0" w:line="176" w:lineRule="exact"/>
              <w:rPr>
                <w:sz w:val="20"/>
                <w:szCs w:val="20"/>
                <w:color w:val="auto"/>
              </w:rPr>
            </w:pPr>
            <w:r>
              <w:rPr>
                <w:rFonts w:ascii="Arial" w:cs="Arial" w:eastAsia="Arial" w:hAnsi="Arial"/>
                <w:sz w:val="18"/>
                <w:szCs w:val="18"/>
                <w:color w:val="231F20"/>
              </w:rPr>
              <w:t>Continuity and Disaster Recovery plans within 12</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94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8"/>
              </w:rPr>
              <w:t>inoperable, until the Bank’s facility has been restored or other</w:t>
            </w:r>
          </w:p>
        </w:tc>
        <w:tc>
          <w:tcPr>
            <w:tcW w:w="4120" w:type="dxa"/>
            <w:vAlign w:val="bottom"/>
          </w:tcPr>
          <w:p>
            <w:pPr>
              <w:ind w:left="140"/>
              <w:spacing w:after="0" w:line="202" w:lineRule="exact"/>
              <w:rPr>
                <w:sz w:val="20"/>
                <w:szCs w:val="20"/>
                <w:color w:val="auto"/>
              </w:rPr>
            </w:pPr>
            <w:r>
              <w:rPr>
                <w:rFonts w:ascii="Arial" w:cs="Arial" w:eastAsia="Arial" w:hAnsi="Arial"/>
                <w:sz w:val="18"/>
                <w:szCs w:val="18"/>
                <w:color w:val="231F20"/>
              </w:rPr>
              <w:t>months of the last approval consistent with BCDR</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permanent location is secured.</w:t>
            </w:r>
          </w:p>
        </w:tc>
        <w:tc>
          <w:tcPr>
            <w:tcW w:w="4120" w:type="dxa"/>
            <w:vAlign w:val="bottom"/>
          </w:tcPr>
          <w:p>
            <w:pPr>
              <w:ind w:left="140"/>
              <w:spacing w:after="0" w:line="202" w:lineRule="exact"/>
              <w:rPr>
                <w:sz w:val="20"/>
                <w:szCs w:val="20"/>
                <w:color w:val="auto"/>
              </w:rPr>
            </w:pPr>
            <w:r>
              <w:rPr>
                <w:rFonts w:ascii="Arial" w:cs="Arial" w:eastAsia="Arial" w:hAnsi="Arial"/>
                <w:sz w:val="18"/>
                <w:szCs w:val="18"/>
                <w:color w:val="231F20"/>
              </w:rPr>
              <w:t>standards and report quarterly results.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ind w:left="320"/>
              <w:spacing w:after="0"/>
              <w:rPr>
                <w:sz w:val="20"/>
                <w:szCs w:val="20"/>
                <w:color w:val="auto"/>
              </w:rPr>
            </w:pPr>
            <w:r>
              <w:rPr>
                <w:rFonts w:ascii="Arial" w:cs="Arial" w:eastAsia="Arial" w:hAnsi="Arial"/>
                <w:sz w:val="18"/>
                <w:szCs w:val="18"/>
                <w:color w:val="auto"/>
                <w:w w:val="96"/>
              </w:rPr>
              <w:t>•   Provide workstations for the duration of need, including access</w:t>
            </w:r>
          </w:p>
        </w:tc>
        <w:tc>
          <w:tcPr>
            <w:tcW w:w="4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4940" w:type="dxa"/>
            <w:vAlign w:val="bottom"/>
          </w:tcPr>
          <w:p>
            <w:pPr>
              <w:jc w:val="right"/>
              <w:ind w:right="10"/>
              <w:spacing w:after="0"/>
              <w:rPr>
                <w:sz w:val="20"/>
                <w:szCs w:val="20"/>
                <w:color w:val="auto"/>
              </w:rPr>
            </w:pPr>
            <w:r>
              <w:rPr>
                <w:rFonts w:ascii="Arial" w:cs="Arial" w:eastAsia="Arial" w:hAnsi="Arial"/>
                <w:sz w:val="18"/>
                <w:szCs w:val="18"/>
                <w:color w:val="auto"/>
                <w:w w:val="94"/>
              </w:rPr>
              <w:t>to all systems, availability, hardware, Bank data, and telephones</w:t>
            </w:r>
          </w:p>
        </w:tc>
        <w:tc>
          <w:tcPr>
            <w:tcW w:w="4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with unlimited call access within the United States.</w:t>
            </w:r>
          </w:p>
        </w:tc>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ind w:left="320"/>
              <w:spacing w:after="0"/>
              <w:rPr>
                <w:sz w:val="20"/>
                <w:szCs w:val="20"/>
                <w:color w:val="auto"/>
              </w:rPr>
            </w:pPr>
            <w:r>
              <w:rPr>
                <w:rFonts w:ascii="Arial" w:cs="Arial" w:eastAsia="Arial" w:hAnsi="Arial"/>
                <w:sz w:val="18"/>
                <w:szCs w:val="18"/>
                <w:color w:val="auto"/>
              </w:rPr>
              <w:t>•   Upon arrival at the Servicer’s facility, Bank personnel will be</w:t>
            </w:r>
          </w:p>
        </w:tc>
        <w:tc>
          <w:tcPr>
            <w:tcW w:w="4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4940" w:type="dxa"/>
            <w:vAlign w:val="bottom"/>
            <w:vMerge w:val="restart"/>
          </w:tcPr>
          <w:p>
            <w:pPr>
              <w:jc w:val="right"/>
              <w:ind w:right="10"/>
              <w:spacing w:after="0"/>
              <w:rPr>
                <w:sz w:val="20"/>
                <w:szCs w:val="20"/>
                <w:color w:val="auto"/>
              </w:rPr>
            </w:pPr>
            <w:r>
              <w:rPr>
                <w:rFonts w:ascii="Arial" w:cs="Arial" w:eastAsia="Arial" w:hAnsi="Arial"/>
                <w:sz w:val="18"/>
                <w:szCs w:val="18"/>
                <w:color w:val="auto"/>
                <w:w w:val="93"/>
              </w:rPr>
              <w:t>issued such building access devices (electronic cards, keys, etc.)</w:t>
            </w:r>
          </w:p>
        </w:tc>
        <w:tc>
          <w:tcPr>
            <w:tcW w:w="4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0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4120" w:type="dxa"/>
            <w:vAlign w:val="bottom"/>
            <w:vMerge w:val="restart"/>
          </w:tcPr>
          <w:p>
            <w:pPr>
              <w:ind w:left="140"/>
              <w:spacing w:after="0" w:line="182" w:lineRule="exact"/>
              <w:rPr>
                <w:sz w:val="20"/>
                <w:szCs w:val="20"/>
                <w:color w:val="auto"/>
              </w:rPr>
            </w:pPr>
            <w:r>
              <w:rPr>
                <w:rFonts w:ascii="Arial" w:cs="Arial" w:eastAsia="Arial" w:hAnsi="Arial"/>
                <w:sz w:val="18"/>
                <w:szCs w:val="18"/>
                <w:color w:val="231F20"/>
                <w:w w:val="99"/>
              </w:rPr>
              <w:t>Conduct 95% of Business Continuity and Disaster</w:t>
            </w:r>
          </w:p>
        </w:tc>
        <w:tc>
          <w:tcPr>
            <w:tcW w:w="940" w:type="dxa"/>
            <w:vAlign w:val="bottom"/>
            <w:vMerge w:val="restart"/>
          </w:tcPr>
          <w:p>
            <w:pPr>
              <w:ind w:left="380"/>
              <w:spacing w:after="0" w:line="182" w:lineRule="exact"/>
              <w:rPr>
                <w:sz w:val="20"/>
                <w:szCs w:val="20"/>
                <w:color w:val="auto"/>
              </w:rPr>
            </w:pPr>
            <w:r>
              <w:rPr>
                <w:rFonts w:ascii="Arial" w:cs="Arial" w:eastAsia="Arial" w:hAnsi="Arial"/>
                <w:sz w:val="18"/>
                <w:szCs w:val="18"/>
                <w:color w:val="231F20"/>
              </w:rPr>
              <w:t>Q</w:t>
            </w: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494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w w:val="98"/>
              </w:rPr>
              <w:t>as needed to facilitate access to the building. Provide security</w:t>
            </w:r>
          </w:p>
        </w:tc>
        <w:tc>
          <w:tcPr>
            <w:tcW w:w="41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4940" w:type="dxa"/>
            <w:vAlign w:val="bottom"/>
            <w:vMerge w:val="continue"/>
          </w:tcPr>
          <w:p>
            <w:pPr>
              <w:spacing w:after="0"/>
              <w:rPr>
                <w:sz w:val="9"/>
                <w:szCs w:val="9"/>
                <w:color w:val="auto"/>
              </w:rPr>
            </w:pPr>
          </w:p>
        </w:tc>
        <w:tc>
          <w:tcPr>
            <w:tcW w:w="4120" w:type="dxa"/>
            <w:vAlign w:val="bottom"/>
            <w:vMerge w:val="restart"/>
          </w:tcPr>
          <w:p>
            <w:pPr>
              <w:ind w:left="140"/>
              <w:spacing w:after="0" w:line="202" w:lineRule="exact"/>
              <w:rPr>
                <w:sz w:val="20"/>
                <w:szCs w:val="20"/>
                <w:color w:val="auto"/>
              </w:rPr>
            </w:pPr>
            <w:r>
              <w:rPr>
                <w:rFonts w:ascii="Arial" w:cs="Arial" w:eastAsia="Arial" w:hAnsi="Arial"/>
                <w:sz w:val="18"/>
                <w:szCs w:val="18"/>
                <w:color w:val="231F20"/>
              </w:rPr>
              <w:t>Recovery plan testing consistent with BCDR</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494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policies and procedures then in effect for the facility.</w:t>
            </w:r>
          </w:p>
        </w:tc>
        <w:tc>
          <w:tcPr>
            <w:tcW w:w="41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4940" w:type="dxa"/>
            <w:vAlign w:val="bottom"/>
            <w:vMerge w:val="continue"/>
          </w:tcPr>
          <w:p>
            <w:pPr>
              <w:spacing w:after="0"/>
              <w:rPr>
                <w:sz w:val="9"/>
                <w:szCs w:val="9"/>
                <w:color w:val="auto"/>
              </w:rPr>
            </w:pPr>
          </w:p>
        </w:tc>
        <w:tc>
          <w:tcPr>
            <w:tcW w:w="4120" w:type="dxa"/>
            <w:vAlign w:val="bottom"/>
            <w:vMerge w:val="restart"/>
          </w:tcPr>
          <w:p>
            <w:pPr>
              <w:ind w:left="140"/>
              <w:spacing w:after="0"/>
              <w:rPr>
                <w:sz w:val="20"/>
                <w:szCs w:val="20"/>
                <w:color w:val="auto"/>
              </w:rPr>
            </w:pPr>
            <w:r>
              <w:rPr>
                <w:rFonts w:ascii="Arial" w:cs="Arial" w:eastAsia="Arial" w:hAnsi="Arial"/>
                <w:sz w:val="18"/>
                <w:szCs w:val="18"/>
                <w:color w:val="231F20"/>
              </w:rPr>
              <w:t>standards and report quarterly results.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0" w:type="dxa"/>
            <w:vAlign w:val="bottom"/>
            <w:vMerge w:val="restart"/>
          </w:tcPr>
          <w:p>
            <w:pPr>
              <w:ind w:left="320"/>
              <w:spacing w:after="0"/>
              <w:rPr>
                <w:sz w:val="20"/>
                <w:szCs w:val="20"/>
                <w:color w:val="auto"/>
              </w:rPr>
            </w:pPr>
            <w:r>
              <w:rPr>
                <w:rFonts w:ascii="Arial" w:cs="Arial" w:eastAsia="Arial" w:hAnsi="Arial"/>
                <w:sz w:val="18"/>
                <w:szCs w:val="18"/>
                <w:color w:val="auto"/>
                <w:w w:val="94"/>
              </w:rPr>
              <w:t>•</w:t>
            </w:r>
          </w:p>
        </w:tc>
        <w:tc>
          <w:tcPr>
            <w:tcW w:w="4940" w:type="dxa"/>
            <w:vAlign w:val="bottom"/>
            <w:vMerge w:val="restart"/>
          </w:tcPr>
          <w:p>
            <w:pPr>
              <w:jc w:val="right"/>
              <w:ind w:right="10"/>
              <w:spacing w:after="0"/>
              <w:rPr>
                <w:sz w:val="20"/>
                <w:szCs w:val="20"/>
                <w:color w:val="auto"/>
              </w:rPr>
            </w:pPr>
            <w:r>
              <w:rPr>
                <w:rFonts w:ascii="Arial" w:cs="Arial" w:eastAsia="Arial" w:hAnsi="Arial"/>
                <w:sz w:val="18"/>
                <w:szCs w:val="18"/>
                <w:color w:val="auto"/>
              </w:rPr>
              <w:t>Provide data security, data recovery, data backup, secured</w:t>
            </w:r>
          </w:p>
        </w:tc>
        <w:tc>
          <w:tcPr>
            <w:tcW w:w="41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4940" w:type="dxa"/>
            <w:vAlign w:val="bottom"/>
            <w:vMerge w:val="continue"/>
          </w:tcPr>
          <w:p>
            <w:pPr>
              <w:spacing w:after="0"/>
              <w:rPr>
                <w:sz w:val="9"/>
                <w:szCs w:val="9"/>
                <w:color w:val="auto"/>
              </w:rPr>
            </w:pPr>
          </w:p>
        </w:tc>
        <w:tc>
          <w:tcPr>
            <w:tcW w:w="4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connectivity, and confidentiality functions.</w:t>
      </w:r>
    </w:p>
    <w:p>
      <w:pPr>
        <w:spacing w:after="0" w:line="12" w:lineRule="exact"/>
        <w:rPr>
          <w:sz w:val="20"/>
          <w:szCs w:val="20"/>
          <w:color w:val="auto"/>
        </w:rPr>
      </w:pPr>
    </w:p>
    <w:p>
      <w:pPr>
        <w:ind w:left="1480" w:hanging="311"/>
        <w:spacing w:after="0"/>
        <w:tabs>
          <w:tab w:leader="none" w:pos="1480" w:val="left"/>
        </w:tabs>
        <w:numPr>
          <w:ilvl w:val="0"/>
          <w:numId w:val="5"/>
        </w:numPr>
        <w:rPr>
          <w:rFonts w:ascii="Arial" w:cs="Arial" w:eastAsia="Arial" w:hAnsi="Arial"/>
          <w:sz w:val="18"/>
          <w:szCs w:val="18"/>
          <w:color w:val="231F20"/>
        </w:rPr>
      </w:pPr>
      <w:r>
        <w:rPr>
          <w:rFonts w:ascii="Arial" w:cs="Arial" w:eastAsia="Arial" w:hAnsi="Arial"/>
          <w:sz w:val="18"/>
          <w:szCs w:val="18"/>
          <w:color w:val="auto"/>
        </w:rPr>
        <w:t>Provide access to copy machines, fax machines and customary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office supplies, as needed.</w:t>
            </w:r>
          </w:p>
        </w:tc>
        <w:tc>
          <w:tcPr>
            <w:tcW w:w="4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82"/>
        </w:trPr>
        <w:tc>
          <w:tcPr>
            <w:tcW w:w="520" w:type="dxa"/>
            <w:vAlign w:val="bottom"/>
          </w:tcPr>
          <w:p>
            <w:pPr>
              <w:jc w:val="right"/>
              <w:ind w:right="70"/>
              <w:spacing w:after="0" w:line="182" w:lineRule="exact"/>
              <w:rPr>
                <w:sz w:val="20"/>
                <w:szCs w:val="20"/>
                <w:color w:val="auto"/>
              </w:rPr>
            </w:pPr>
            <w:r>
              <w:rPr>
                <w:rFonts w:ascii="Arial" w:cs="Arial" w:eastAsia="Arial" w:hAnsi="Arial"/>
                <w:sz w:val="18"/>
                <w:szCs w:val="18"/>
                <w:color w:val="7F7F7F"/>
              </w:rPr>
              <w:t>5</w:t>
            </w:r>
          </w:p>
        </w:tc>
        <w:tc>
          <w:tcPr>
            <w:tcW w:w="566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231F20"/>
              </w:rPr>
              <w:t>Complaints Management</w:t>
            </w:r>
          </w:p>
        </w:tc>
        <w:tc>
          <w:tcPr>
            <w:tcW w:w="4060" w:type="dxa"/>
            <w:vAlign w:val="bottom"/>
          </w:tcPr>
          <w:p>
            <w:pPr>
              <w:ind w:left="140"/>
              <w:spacing w:after="0" w:line="182" w:lineRule="exact"/>
              <w:rPr>
                <w:sz w:val="20"/>
                <w:szCs w:val="20"/>
                <w:color w:val="auto"/>
              </w:rPr>
            </w:pPr>
            <w:r>
              <w:rPr>
                <w:rFonts w:ascii="Arial" w:cs="Arial" w:eastAsia="Arial" w:hAnsi="Arial"/>
                <w:sz w:val="18"/>
                <w:szCs w:val="18"/>
                <w:color w:val="231F20"/>
              </w:rPr>
              <w:t>Report timely to management, Bank committees</w:t>
            </w:r>
          </w:p>
        </w:tc>
        <w:tc>
          <w:tcPr>
            <w:tcW w:w="1000" w:type="dxa"/>
            <w:vAlign w:val="bottom"/>
          </w:tcPr>
          <w:p>
            <w:pPr>
              <w:ind w:left="440"/>
              <w:spacing w:after="0" w:line="182" w:lineRule="exact"/>
              <w:rPr>
                <w:sz w:val="20"/>
                <w:szCs w:val="20"/>
                <w:color w:val="auto"/>
              </w:rPr>
            </w:pPr>
            <w:r>
              <w:rPr>
                <w:rFonts w:ascii="Arial" w:cs="Arial" w:eastAsia="Arial" w:hAnsi="Arial"/>
                <w:sz w:val="18"/>
                <w:szCs w:val="18"/>
                <w:color w:val="231F20"/>
              </w:rPr>
              <w:t>Q</w:t>
            </w:r>
          </w:p>
        </w:tc>
      </w:tr>
      <w:tr>
        <w:trPr>
          <w:trHeight w:val="203"/>
        </w:trPr>
        <w:tc>
          <w:tcPr>
            <w:tcW w:w="520" w:type="dxa"/>
            <w:vAlign w:val="bottom"/>
          </w:tcPr>
          <w:p>
            <w:pPr>
              <w:spacing w:after="0"/>
              <w:rPr>
                <w:sz w:val="17"/>
                <w:szCs w:val="17"/>
                <w:color w:val="auto"/>
              </w:rPr>
            </w:pP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231F20"/>
                <w:w w:val="95"/>
              </w:rPr>
              <w:t>Complaints  Management  Governance  and  Oversight:  Provide</w:t>
            </w:r>
          </w:p>
        </w:tc>
        <w:tc>
          <w:tcPr>
            <w:tcW w:w="4060" w:type="dxa"/>
            <w:vAlign w:val="bottom"/>
          </w:tcPr>
          <w:p>
            <w:pPr>
              <w:ind w:left="140"/>
              <w:spacing w:after="0" w:line="202" w:lineRule="exact"/>
              <w:rPr>
                <w:sz w:val="20"/>
                <w:szCs w:val="20"/>
                <w:color w:val="auto"/>
              </w:rPr>
            </w:pPr>
            <w:r>
              <w:rPr>
                <w:rFonts w:ascii="Arial" w:cs="Arial" w:eastAsia="Arial" w:hAnsi="Arial"/>
                <w:sz w:val="18"/>
                <w:szCs w:val="18"/>
                <w:color w:val="231F20"/>
              </w:rPr>
              <w:t>and Bank board on the number of written</w:t>
            </w:r>
          </w:p>
        </w:tc>
        <w:tc>
          <w:tcPr>
            <w:tcW w:w="100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231F20"/>
                <w:w w:val="98"/>
              </w:rPr>
              <w:t>services and support in establishing procedures, definitions and</w:t>
            </w:r>
          </w:p>
        </w:tc>
        <w:tc>
          <w:tcPr>
            <w:tcW w:w="4060" w:type="dxa"/>
            <w:vAlign w:val="bottom"/>
          </w:tcPr>
          <w:p>
            <w:pPr>
              <w:ind w:left="140"/>
              <w:spacing w:after="0"/>
              <w:rPr>
                <w:sz w:val="20"/>
                <w:szCs w:val="20"/>
                <w:color w:val="auto"/>
              </w:rPr>
            </w:pPr>
            <w:r>
              <w:rPr>
                <w:rFonts w:ascii="Arial" w:cs="Arial" w:eastAsia="Arial" w:hAnsi="Arial"/>
                <w:sz w:val="18"/>
                <w:szCs w:val="18"/>
                <w:color w:val="231F20"/>
              </w:rPr>
              <w:t>complaints handled, response times, categories,</w:t>
            </w:r>
          </w:p>
        </w:tc>
        <w:tc>
          <w:tcPr>
            <w:tcW w:w="1000" w:type="dxa"/>
            <w:vAlign w:val="bottom"/>
          </w:tcPr>
          <w:p>
            <w:pPr>
              <w:spacing w:after="0"/>
              <w:rPr>
                <w:sz w:val="20"/>
                <w:szCs w:val="20"/>
                <w:color w:val="auto"/>
              </w:rPr>
            </w:pPr>
          </w:p>
        </w:tc>
      </w:tr>
      <w:tr>
        <w:trPr>
          <w:trHeight w:val="230"/>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231F20"/>
              </w:rPr>
              <w:t>standards for handling complaints received through all intake</w:t>
            </w:r>
          </w:p>
        </w:tc>
        <w:tc>
          <w:tcPr>
            <w:tcW w:w="4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231F20"/>
              </w:rPr>
              <w:t>and other relevant information.</w:t>
            </w:r>
          </w:p>
        </w:tc>
        <w:tc>
          <w:tcPr>
            <w:tcW w:w="1000" w:type="dxa"/>
            <w:vAlign w:val="bottom"/>
            <w:tcBorders>
              <w:bottom w:val="single" w:sz="8" w:color="auto"/>
            </w:tcBorders>
          </w:tcPr>
          <w:p>
            <w:pPr>
              <w:spacing w:after="0"/>
              <w:rPr>
                <w:sz w:val="19"/>
                <w:szCs w:val="19"/>
                <w:color w:val="auto"/>
              </w:rPr>
            </w:pPr>
          </w:p>
        </w:tc>
      </w:tr>
      <w:tr>
        <w:trPr>
          <w:trHeight w:val="182"/>
        </w:trPr>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140" w:type="dxa"/>
            <w:vAlign w:val="bottom"/>
          </w:tcPr>
          <w:p>
            <w:pPr>
              <w:ind w:left="120"/>
              <w:spacing w:after="0" w:line="182" w:lineRule="exact"/>
              <w:rPr>
                <w:sz w:val="20"/>
                <w:szCs w:val="20"/>
                <w:color w:val="auto"/>
              </w:rPr>
            </w:pPr>
            <w:r>
              <w:rPr>
                <w:rFonts w:ascii="Arial" w:cs="Arial" w:eastAsia="Arial" w:hAnsi="Arial"/>
                <w:sz w:val="18"/>
                <w:szCs w:val="18"/>
                <w:color w:val="231F20"/>
                <w:w w:val="98"/>
              </w:rPr>
              <w:t>channels,  and  oversee  and  govern  the  handling,  resolution,</w:t>
            </w:r>
          </w:p>
        </w:tc>
        <w:tc>
          <w:tcPr>
            <w:tcW w:w="4060" w:type="dxa"/>
            <w:vAlign w:val="bottom"/>
          </w:tcPr>
          <w:p>
            <w:pPr>
              <w:ind w:left="140"/>
              <w:spacing w:after="0" w:line="182" w:lineRule="exact"/>
              <w:rPr>
                <w:sz w:val="20"/>
                <w:szCs w:val="20"/>
                <w:color w:val="auto"/>
              </w:rPr>
            </w:pPr>
            <w:r>
              <w:rPr>
                <w:rFonts w:ascii="Arial" w:cs="Arial" w:eastAsia="Arial" w:hAnsi="Arial"/>
                <w:sz w:val="18"/>
                <w:szCs w:val="18"/>
                <w:color w:val="231F20"/>
              </w:rPr>
              <w:t>Complete 90% of the Tier 1 (per program</w:t>
            </w:r>
          </w:p>
        </w:tc>
        <w:tc>
          <w:tcPr>
            <w:tcW w:w="1000" w:type="dxa"/>
            <w:vAlign w:val="bottom"/>
          </w:tcPr>
          <w:p>
            <w:pPr>
              <w:ind w:left="440"/>
              <w:spacing w:after="0" w:line="182" w:lineRule="exact"/>
              <w:rPr>
                <w:sz w:val="20"/>
                <w:szCs w:val="20"/>
                <w:color w:val="auto"/>
              </w:rPr>
            </w:pPr>
            <w:r>
              <w:rPr>
                <w:rFonts w:ascii="Arial" w:cs="Arial" w:eastAsia="Arial" w:hAnsi="Arial"/>
                <w:sz w:val="18"/>
                <w:szCs w:val="18"/>
                <w:color w:val="231F20"/>
              </w:rPr>
              <w:t>M</w:t>
            </w:r>
          </w:p>
        </w:tc>
      </w:tr>
      <w:tr>
        <w:trPr>
          <w:trHeight w:val="203"/>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231F20"/>
              </w:rPr>
              <w:t>monitoring, analysis and reporting of all complaints.</w:t>
            </w:r>
          </w:p>
        </w:tc>
        <w:tc>
          <w:tcPr>
            <w:tcW w:w="4060" w:type="dxa"/>
            <w:vAlign w:val="bottom"/>
          </w:tcPr>
          <w:p>
            <w:pPr>
              <w:ind w:left="140"/>
              <w:spacing w:after="0" w:line="202" w:lineRule="exact"/>
              <w:rPr>
                <w:sz w:val="20"/>
                <w:szCs w:val="20"/>
                <w:color w:val="auto"/>
              </w:rPr>
            </w:pPr>
            <w:r>
              <w:rPr>
                <w:rFonts w:ascii="Arial" w:cs="Arial" w:eastAsia="Arial" w:hAnsi="Arial"/>
                <w:sz w:val="18"/>
                <w:szCs w:val="18"/>
                <w:color w:val="231F20"/>
              </w:rPr>
              <w:t>definition) consumer complaints within 15</w:t>
            </w:r>
          </w:p>
        </w:tc>
        <w:tc>
          <w:tcPr>
            <w:tcW w:w="10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231F20"/>
                <w:w w:val="99"/>
              </w:rPr>
              <w:t>Complaints Handling: Identify, capture, investigate, respond to</w:t>
            </w:r>
          </w:p>
        </w:tc>
        <w:tc>
          <w:tcPr>
            <w:tcW w:w="4060" w:type="dxa"/>
            <w:vAlign w:val="bottom"/>
          </w:tcPr>
          <w:p>
            <w:pPr>
              <w:ind w:left="140"/>
              <w:spacing w:after="0" w:line="202" w:lineRule="exact"/>
              <w:rPr>
                <w:sz w:val="20"/>
                <w:szCs w:val="20"/>
                <w:color w:val="auto"/>
              </w:rPr>
            </w:pPr>
            <w:r>
              <w:rPr>
                <w:rFonts w:ascii="Arial" w:cs="Arial" w:eastAsia="Arial" w:hAnsi="Arial"/>
                <w:sz w:val="18"/>
                <w:szCs w:val="18"/>
                <w:color w:val="231F20"/>
              </w:rPr>
              <w:t>calendar days; Complete 100% of the Tier 1</w:t>
            </w:r>
          </w:p>
        </w:tc>
        <w:tc>
          <w:tcPr>
            <w:tcW w:w="1000" w:type="dxa"/>
            <w:vAlign w:val="bottom"/>
          </w:tcPr>
          <w:p>
            <w:pPr>
              <w:spacing w:after="0"/>
              <w:rPr>
                <w:sz w:val="17"/>
                <w:szCs w:val="17"/>
                <w:color w:val="auto"/>
              </w:rPr>
            </w:pPr>
          </w:p>
        </w:tc>
      </w:tr>
      <w:tr>
        <w:trPr>
          <w:trHeight w:val="257"/>
        </w:trPr>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231F20"/>
                <w:w w:val="96"/>
              </w:rPr>
              <w:t>and document complaints and related risks in system of record in</w:t>
            </w:r>
          </w:p>
        </w:tc>
        <w:tc>
          <w:tcPr>
            <w:tcW w:w="4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231F20"/>
              </w:rPr>
              <w:t>consumer complaints within 60 calendar days.</w:t>
            </w:r>
          </w:p>
        </w:tc>
        <w:tc>
          <w:tcPr>
            <w:tcW w:w="1000" w:type="dxa"/>
            <w:vAlign w:val="bottom"/>
            <w:tcBorders>
              <w:bottom w:val="single" w:sz="8" w:color="auto"/>
            </w:tcBorders>
          </w:tcPr>
          <w:p>
            <w:pPr>
              <w:spacing w:after="0"/>
              <w:rPr>
                <w:sz w:val="22"/>
                <w:szCs w:val="22"/>
                <w:color w:val="auto"/>
              </w:rPr>
            </w:pPr>
          </w:p>
        </w:tc>
      </w:tr>
      <w:tr>
        <w:trPr>
          <w:trHeight w:val="182"/>
        </w:trPr>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140" w:type="dxa"/>
            <w:vAlign w:val="bottom"/>
          </w:tcPr>
          <w:p>
            <w:pPr>
              <w:ind w:left="120"/>
              <w:spacing w:after="0" w:line="182" w:lineRule="exact"/>
              <w:rPr>
                <w:sz w:val="20"/>
                <w:szCs w:val="20"/>
                <w:color w:val="auto"/>
              </w:rPr>
            </w:pPr>
            <w:r>
              <w:rPr>
                <w:rFonts w:ascii="Arial" w:cs="Arial" w:eastAsia="Arial" w:hAnsi="Arial"/>
                <w:sz w:val="18"/>
                <w:szCs w:val="18"/>
                <w:color w:val="231F20"/>
                <w:w w:val="95"/>
              </w:rPr>
              <w:t>accordance with definitions and requirements of the Bank policies</w:t>
            </w:r>
          </w:p>
        </w:tc>
        <w:tc>
          <w:tcPr>
            <w:tcW w:w="4060" w:type="dxa"/>
            <w:vAlign w:val="bottom"/>
          </w:tcPr>
          <w:p>
            <w:pPr>
              <w:ind w:left="140"/>
              <w:spacing w:after="0" w:line="182" w:lineRule="exact"/>
              <w:rPr>
                <w:sz w:val="20"/>
                <w:szCs w:val="20"/>
                <w:color w:val="auto"/>
              </w:rPr>
            </w:pPr>
            <w:r>
              <w:rPr>
                <w:rFonts w:ascii="Arial" w:cs="Arial" w:eastAsia="Arial" w:hAnsi="Arial"/>
                <w:sz w:val="18"/>
                <w:szCs w:val="18"/>
                <w:color w:val="231F20"/>
              </w:rPr>
              <w:t>Complete 80% of the Tier 2 (per program</w:t>
            </w:r>
          </w:p>
        </w:tc>
        <w:tc>
          <w:tcPr>
            <w:tcW w:w="1000" w:type="dxa"/>
            <w:vAlign w:val="bottom"/>
          </w:tcPr>
          <w:p>
            <w:pPr>
              <w:ind w:left="440"/>
              <w:spacing w:after="0" w:line="182" w:lineRule="exact"/>
              <w:rPr>
                <w:sz w:val="20"/>
                <w:szCs w:val="20"/>
                <w:color w:val="auto"/>
              </w:rPr>
            </w:pPr>
            <w:r>
              <w:rPr>
                <w:rFonts w:ascii="Arial" w:cs="Arial" w:eastAsia="Arial" w:hAnsi="Arial"/>
                <w:sz w:val="18"/>
                <w:szCs w:val="18"/>
                <w:color w:val="231F20"/>
              </w:rPr>
              <w:t>M</w:t>
            </w:r>
          </w:p>
        </w:tc>
      </w:tr>
      <w:tr>
        <w:trPr>
          <w:trHeight w:val="203"/>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231F20"/>
              </w:rPr>
              <w:t>and procedures and regulatory requirements.</w:t>
            </w:r>
          </w:p>
        </w:tc>
        <w:tc>
          <w:tcPr>
            <w:tcW w:w="4060" w:type="dxa"/>
            <w:vAlign w:val="bottom"/>
          </w:tcPr>
          <w:p>
            <w:pPr>
              <w:ind w:left="140"/>
              <w:spacing w:after="0" w:line="202" w:lineRule="exact"/>
              <w:rPr>
                <w:sz w:val="20"/>
                <w:szCs w:val="20"/>
                <w:color w:val="auto"/>
              </w:rPr>
            </w:pPr>
            <w:r>
              <w:rPr>
                <w:rFonts w:ascii="Arial" w:cs="Arial" w:eastAsia="Arial" w:hAnsi="Arial"/>
                <w:sz w:val="18"/>
                <w:szCs w:val="18"/>
                <w:color w:val="231F20"/>
              </w:rPr>
              <w:t>definition) consumer complaints within 15</w:t>
            </w:r>
          </w:p>
        </w:tc>
        <w:tc>
          <w:tcPr>
            <w:tcW w:w="10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231F20"/>
                <w:w w:val="94"/>
              </w:rPr>
              <w:t>Complaint Reporting: Prepare Complaints Management reporting</w:t>
            </w:r>
          </w:p>
        </w:tc>
        <w:tc>
          <w:tcPr>
            <w:tcW w:w="4060" w:type="dxa"/>
            <w:vAlign w:val="bottom"/>
          </w:tcPr>
          <w:p>
            <w:pPr>
              <w:ind w:left="140"/>
              <w:spacing w:after="0" w:line="202" w:lineRule="exact"/>
              <w:rPr>
                <w:sz w:val="20"/>
                <w:szCs w:val="20"/>
                <w:color w:val="auto"/>
              </w:rPr>
            </w:pPr>
            <w:r>
              <w:rPr>
                <w:rFonts w:ascii="Arial" w:cs="Arial" w:eastAsia="Arial" w:hAnsi="Arial"/>
                <w:sz w:val="18"/>
                <w:szCs w:val="18"/>
                <w:color w:val="231F20"/>
              </w:rPr>
              <w:t>calendar days; Complete 100% of the Tier 2</w:t>
            </w:r>
          </w:p>
        </w:tc>
        <w:tc>
          <w:tcPr>
            <w:tcW w:w="1000" w:type="dxa"/>
            <w:vAlign w:val="bottom"/>
          </w:tcPr>
          <w:p>
            <w:pPr>
              <w:spacing w:after="0"/>
              <w:rPr>
                <w:sz w:val="17"/>
                <w:szCs w:val="17"/>
                <w:color w:val="auto"/>
              </w:rPr>
            </w:pPr>
          </w:p>
        </w:tc>
      </w:tr>
      <w:tr>
        <w:trPr>
          <w:trHeight w:val="257"/>
        </w:trPr>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231F20"/>
              </w:rPr>
              <w:t>on all Tiers of complaint data. Complete qualitative review of</w:t>
            </w:r>
          </w:p>
        </w:tc>
        <w:tc>
          <w:tcPr>
            <w:tcW w:w="4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231F20"/>
              </w:rPr>
              <w:t>consumer complaints within 60 calendar days.</w:t>
            </w:r>
          </w:p>
        </w:tc>
        <w:tc>
          <w:tcPr>
            <w:tcW w:w="1000" w:type="dxa"/>
            <w:vAlign w:val="bottom"/>
            <w:tcBorders>
              <w:bottom w:val="single" w:sz="8" w:color="auto"/>
            </w:tcBorders>
          </w:tcPr>
          <w:p>
            <w:pPr>
              <w:spacing w:after="0"/>
              <w:rPr>
                <w:sz w:val="22"/>
                <w:szCs w:val="22"/>
                <w:color w:val="auto"/>
              </w:rPr>
            </w:pPr>
          </w:p>
        </w:tc>
      </w:tr>
      <w:tr>
        <w:trPr>
          <w:trHeight w:val="182"/>
        </w:trPr>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140" w:type="dxa"/>
            <w:vAlign w:val="bottom"/>
          </w:tcPr>
          <w:p>
            <w:pPr>
              <w:ind w:left="120"/>
              <w:spacing w:after="0" w:line="182" w:lineRule="exact"/>
              <w:rPr>
                <w:sz w:val="20"/>
                <w:szCs w:val="20"/>
                <w:color w:val="auto"/>
              </w:rPr>
            </w:pPr>
            <w:r>
              <w:rPr>
                <w:rFonts w:ascii="Arial" w:cs="Arial" w:eastAsia="Arial" w:hAnsi="Arial"/>
                <w:sz w:val="18"/>
                <w:szCs w:val="18"/>
                <w:color w:val="231F20"/>
                <w:w w:val="97"/>
              </w:rPr>
              <w:t>complaints through data mining to determine root causes driving</w:t>
            </w:r>
          </w:p>
        </w:tc>
        <w:tc>
          <w:tcPr>
            <w:tcW w:w="4060" w:type="dxa"/>
            <w:vAlign w:val="bottom"/>
          </w:tcPr>
          <w:p>
            <w:pPr>
              <w:ind w:left="140"/>
              <w:spacing w:after="0" w:line="182" w:lineRule="exact"/>
              <w:rPr>
                <w:sz w:val="20"/>
                <w:szCs w:val="20"/>
                <w:color w:val="auto"/>
              </w:rPr>
            </w:pPr>
            <w:r>
              <w:rPr>
                <w:rFonts w:ascii="Arial" w:cs="Arial" w:eastAsia="Arial" w:hAnsi="Arial"/>
                <w:sz w:val="18"/>
                <w:szCs w:val="18"/>
                <w:color w:val="231F20"/>
              </w:rPr>
              <w:t>Servicer to provide complaint reporting, focused</w:t>
            </w:r>
          </w:p>
        </w:tc>
        <w:tc>
          <w:tcPr>
            <w:tcW w:w="1000" w:type="dxa"/>
            <w:vAlign w:val="bottom"/>
          </w:tcPr>
          <w:p>
            <w:pPr>
              <w:ind w:left="440"/>
              <w:spacing w:after="0" w:line="182" w:lineRule="exact"/>
              <w:rPr>
                <w:sz w:val="20"/>
                <w:szCs w:val="20"/>
                <w:color w:val="auto"/>
              </w:rPr>
            </w:pPr>
            <w:r>
              <w:rPr>
                <w:rFonts w:ascii="Arial" w:cs="Arial" w:eastAsia="Arial" w:hAnsi="Arial"/>
                <w:sz w:val="18"/>
                <w:szCs w:val="18"/>
                <w:color w:val="231F20"/>
              </w:rPr>
              <w:t>M</w:t>
            </w:r>
          </w:p>
        </w:tc>
      </w:tr>
      <w:tr>
        <w:trPr>
          <w:trHeight w:val="203"/>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231F20"/>
                <w:w w:val="99"/>
              </w:rPr>
              <w:t>complaints and assist in solutioning for reduction in complaints.</w:t>
            </w:r>
          </w:p>
        </w:tc>
        <w:tc>
          <w:tcPr>
            <w:tcW w:w="4060" w:type="dxa"/>
            <w:vAlign w:val="bottom"/>
          </w:tcPr>
          <w:p>
            <w:pPr>
              <w:ind w:left="140"/>
              <w:spacing w:after="0" w:line="202" w:lineRule="exact"/>
              <w:rPr>
                <w:sz w:val="20"/>
                <w:szCs w:val="20"/>
                <w:color w:val="auto"/>
              </w:rPr>
            </w:pPr>
            <w:r>
              <w:rPr>
                <w:rFonts w:ascii="Arial" w:cs="Arial" w:eastAsia="Arial" w:hAnsi="Arial"/>
                <w:sz w:val="18"/>
                <w:szCs w:val="18"/>
                <w:color w:val="231F20"/>
                <w:w w:val="99"/>
              </w:rPr>
              <w:t>on key business and/or focus areas, on at least a</w:t>
            </w:r>
          </w:p>
        </w:tc>
        <w:tc>
          <w:tcPr>
            <w:tcW w:w="10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231F20"/>
              </w:rPr>
              <w:t>Other complaint management services, as requested.</w:t>
            </w:r>
          </w:p>
        </w:tc>
        <w:tc>
          <w:tcPr>
            <w:tcW w:w="4060" w:type="dxa"/>
            <w:vAlign w:val="bottom"/>
          </w:tcPr>
          <w:p>
            <w:pPr>
              <w:ind w:left="140"/>
              <w:spacing w:after="0" w:line="202" w:lineRule="exact"/>
              <w:rPr>
                <w:sz w:val="20"/>
                <w:szCs w:val="20"/>
                <w:color w:val="auto"/>
              </w:rPr>
            </w:pPr>
            <w:r>
              <w:rPr>
                <w:rFonts w:ascii="Arial" w:cs="Arial" w:eastAsia="Arial" w:hAnsi="Arial"/>
                <w:sz w:val="18"/>
                <w:szCs w:val="18"/>
                <w:color w:val="231F20"/>
              </w:rPr>
              <w:t>monthly basis to both FLOD and SLOD</w:t>
            </w:r>
          </w:p>
        </w:tc>
        <w:tc>
          <w:tcPr>
            <w:tcW w:w="100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231F20"/>
              </w:rPr>
              <w:t>stakeholders.</w:t>
            </w:r>
          </w:p>
        </w:tc>
        <w:tc>
          <w:tcPr>
            <w:tcW w:w="1000" w:type="dxa"/>
            <w:vAlign w:val="bottom"/>
          </w:tcPr>
          <w:p>
            <w:pPr>
              <w:spacing w:after="0"/>
              <w:rPr>
                <w:sz w:val="20"/>
                <w:szCs w:val="20"/>
                <w:color w:val="auto"/>
              </w:rPr>
            </w:pP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162"/>
        </w:trPr>
        <w:tc>
          <w:tcPr>
            <w:tcW w:w="580" w:type="dxa"/>
            <w:vAlign w:val="bottom"/>
            <w:tcBorders>
              <w:top w:val="single" w:sz="8" w:color="auto"/>
              <w:left w:val="single" w:sz="8" w:color="auto"/>
              <w:right w:val="single" w:sz="8" w:color="auto"/>
            </w:tcBorders>
            <w:shd w:val="clear" w:color="auto" w:fill="D6D1B7"/>
          </w:tcPr>
          <w:p>
            <w:pPr>
              <w:jc w:val="right"/>
              <w:spacing w:after="0" w:line="162" w:lineRule="exact"/>
              <w:rPr>
                <w:sz w:val="20"/>
                <w:szCs w:val="20"/>
                <w:color w:val="auto"/>
              </w:rPr>
            </w:pPr>
            <w:r>
              <w:rPr>
                <w:rFonts w:ascii="Arial" w:cs="Arial" w:eastAsia="Arial" w:hAnsi="Arial"/>
                <w:sz w:val="18"/>
                <w:szCs w:val="18"/>
                <w:b w:val="1"/>
                <w:bCs w:val="1"/>
                <w:color w:val="231F20"/>
              </w:rPr>
              <w:t>Item</w:t>
            </w:r>
          </w:p>
        </w:tc>
        <w:tc>
          <w:tcPr>
            <w:tcW w:w="600" w:type="dxa"/>
            <w:vAlign w:val="bottom"/>
            <w:tcBorders>
              <w:top w:val="single" w:sz="8" w:color="auto"/>
            </w:tcBorders>
            <w:shd w:val="clear" w:color="auto" w:fill="D6D1B7"/>
          </w:tcPr>
          <w:p>
            <w:pPr>
              <w:spacing w:after="0"/>
              <w:rPr>
                <w:sz w:val="14"/>
                <w:szCs w:val="14"/>
                <w:color w:val="auto"/>
              </w:rPr>
            </w:pPr>
          </w:p>
        </w:tc>
        <w:tc>
          <w:tcPr>
            <w:tcW w:w="5680" w:type="dxa"/>
            <w:vAlign w:val="bottom"/>
            <w:tcBorders>
              <w:top w:val="single" w:sz="8" w:color="auto"/>
              <w:right w:val="single" w:sz="8" w:color="auto"/>
            </w:tcBorders>
            <w:shd w:val="clear" w:color="auto" w:fill="D6D1B7"/>
          </w:tcPr>
          <w:p>
            <w:pPr>
              <w:ind w:left="2240"/>
              <w:spacing w:after="0" w:line="162" w:lineRule="exact"/>
              <w:rPr>
                <w:sz w:val="20"/>
                <w:szCs w:val="20"/>
                <w:color w:val="auto"/>
              </w:rPr>
            </w:pPr>
            <w:r>
              <w:rPr>
                <w:rFonts w:ascii="Arial" w:cs="Arial" w:eastAsia="Arial" w:hAnsi="Arial"/>
                <w:sz w:val="18"/>
                <w:szCs w:val="18"/>
                <w:b w:val="1"/>
                <w:bCs w:val="1"/>
                <w:color w:val="231F20"/>
              </w:rPr>
              <w:t>Service</w:t>
            </w:r>
          </w:p>
        </w:tc>
        <w:tc>
          <w:tcPr>
            <w:tcW w:w="2860" w:type="dxa"/>
            <w:vAlign w:val="bottom"/>
            <w:tcBorders>
              <w:top w:val="single" w:sz="8" w:color="auto"/>
              <w:right w:val="single" w:sz="8" w:color="auto"/>
            </w:tcBorders>
            <w:shd w:val="clear" w:color="auto" w:fill="D6D1B7"/>
          </w:tcPr>
          <w:p>
            <w:pPr>
              <w:ind w:left="54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520" w:type="dxa"/>
            <w:vAlign w:val="bottom"/>
            <w:tcBorders>
              <w:top w:val="single" w:sz="8" w:color="auto"/>
              <w:right w:val="single" w:sz="8" w:color="auto"/>
            </w:tcBorders>
            <w:shd w:val="clear" w:color="auto" w:fill="D6D1B7"/>
          </w:tcPr>
          <w:p>
            <w:pPr>
              <w:ind w:left="260"/>
              <w:spacing w:after="0" w:line="162" w:lineRule="exact"/>
              <w:rPr>
                <w:sz w:val="20"/>
                <w:szCs w:val="20"/>
                <w:color w:val="auto"/>
              </w:rPr>
            </w:pPr>
            <w:r>
              <w:rPr>
                <w:rFonts w:ascii="Arial" w:cs="Arial" w:eastAsia="Arial" w:hAnsi="Arial"/>
                <w:sz w:val="18"/>
                <w:szCs w:val="18"/>
                <w:b w:val="1"/>
                <w:bCs w:val="1"/>
                <w:color w:val="231F20"/>
              </w:rPr>
              <w:t>Measuring</w:t>
            </w:r>
          </w:p>
        </w:tc>
        <w:tc>
          <w:tcPr>
            <w:tcW w:w="0" w:type="dxa"/>
            <w:vAlign w:val="bottom"/>
          </w:tcPr>
          <w:p>
            <w:pPr>
              <w:spacing w:after="0"/>
              <w:rPr>
                <w:sz w:val="1"/>
                <w:szCs w:val="1"/>
                <w:color w:val="auto"/>
              </w:rPr>
            </w:pPr>
          </w:p>
        </w:tc>
      </w:tr>
      <w:tr>
        <w:trPr>
          <w:trHeight w:val="202"/>
        </w:trPr>
        <w:tc>
          <w:tcPr>
            <w:tcW w:w="58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600" w:type="dxa"/>
            <w:vAlign w:val="bottom"/>
            <w:tcBorders>
              <w:bottom w:val="single" w:sz="8" w:color="auto"/>
            </w:tcBorders>
            <w:shd w:val="clear" w:color="auto" w:fill="D6D1B7"/>
          </w:tcPr>
          <w:p>
            <w:pPr>
              <w:spacing w:after="0"/>
              <w:rPr>
                <w:sz w:val="17"/>
                <w:szCs w:val="17"/>
                <w:color w:val="auto"/>
              </w:rPr>
            </w:pPr>
          </w:p>
        </w:tc>
        <w:tc>
          <w:tcPr>
            <w:tcW w:w="5680" w:type="dxa"/>
            <w:vAlign w:val="bottom"/>
            <w:tcBorders>
              <w:bottom w:val="single" w:sz="8" w:color="auto"/>
              <w:right w:val="single" w:sz="8" w:color="auto"/>
            </w:tcBorders>
            <w:shd w:val="clear" w:color="auto" w:fill="D6D1B7"/>
          </w:tcPr>
          <w:p>
            <w:pPr>
              <w:spacing w:after="0"/>
              <w:rPr>
                <w:sz w:val="17"/>
                <w:szCs w:val="17"/>
                <w:color w:val="auto"/>
              </w:rPr>
            </w:pPr>
          </w:p>
        </w:tc>
        <w:tc>
          <w:tcPr>
            <w:tcW w:w="2860" w:type="dxa"/>
            <w:vAlign w:val="bottom"/>
            <w:tcBorders>
              <w:bottom w:val="single" w:sz="8" w:color="auto"/>
              <w:right w:val="single" w:sz="8" w:color="auto"/>
            </w:tcBorders>
            <w:shd w:val="clear" w:color="auto" w:fill="D6D1B7"/>
          </w:tcPr>
          <w:p>
            <w:pPr>
              <w:spacing w:after="0"/>
              <w:rPr>
                <w:sz w:val="17"/>
                <w:szCs w:val="17"/>
                <w:color w:val="auto"/>
              </w:rPr>
            </w:pPr>
          </w:p>
        </w:tc>
        <w:tc>
          <w:tcPr>
            <w:tcW w:w="1520" w:type="dxa"/>
            <w:vAlign w:val="bottom"/>
            <w:tcBorders>
              <w:bottom w:val="single" w:sz="8" w:color="auto"/>
              <w:right w:val="single" w:sz="8" w:color="auto"/>
            </w:tcBorders>
            <w:shd w:val="clear" w:color="auto" w:fill="D6D1B7"/>
          </w:tcPr>
          <w:p>
            <w:pPr>
              <w:ind w:left="420"/>
              <w:spacing w:after="0" w:line="202" w:lineRule="exact"/>
              <w:rPr>
                <w:sz w:val="20"/>
                <w:szCs w:val="20"/>
                <w:color w:val="auto"/>
              </w:rPr>
            </w:pPr>
            <w:r>
              <w:rPr>
                <w:rFonts w:ascii="Arial" w:cs="Arial" w:eastAsia="Arial" w:hAnsi="Arial"/>
                <w:sz w:val="18"/>
                <w:szCs w:val="18"/>
                <w:b w:val="1"/>
                <w:bCs w:val="1"/>
                <w:color w:val="231F20"/>
              </w:rPr>
              <w:t>Period</w:t>
            </w: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68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Servicer will maintain a first case</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6"/>
              </w:rPr>
              <w:t>resolution percentage of 83% for all</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Tier 3 complaints. First case</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resolution will be defined for</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complaints as no additional</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680" w:type="dxa"/>
            <w:vAlign w:val="bottom"/>
            <w:tcBorders>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complaint opened within 30 days.</w:t>
            </w: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68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Servicer's quality review for Tier 3</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complaints will maintain an</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accuracy rate of 90% or higher.</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8"/>
              </w:rPr>
              <w:t>Quality management audits should</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9"/>
              </w:rPr>
              <w:t>consist of a minimum average of 5</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6"/>
              </w:rPr>
              <w:t>customer complaint interactions per</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associate each month. These</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8"/>
              </w:rPr>
              <w:t>reviews can consist of call listening</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8"/>
              </w:rPr>
              <w:t>or full process reviews. Complaints</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must be logged with the proper</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primary and secondary reason</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utilizing targeted attributes for</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logging the complaint.</w:t>
            </w: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jc w:val="right"/>
              <w:ind w:right="150"/>
              <w:spacing w:after="0" w:line="182" w:lineRule="exact"/>
              <w:rPr>
                <w:sz w:val="20"/>
                <w:szCs w:val="20"/>
                <w:color w:val="auto"/>
              </w:rPr>
            </w:pPr>
            <w:r>
              <w:rPr>
                <w:rFonts w:ascii="Arial" w:cs="Arial" w:eastAsia="Arial" w:hAnsi="Arial"/>
                <w:sz w:val="18"/>
                <w:szCs w:val="18"/>
                <w:color w:val="7F7F7F"/>
              </w:rPr>
              <w:t>6</w:t>
            </w:r>
          </w:p>
        </w:tc>
        <w:tc>
          <w:tcPr>
            <w:tcW w:w="6280" w:type="dxa"/>
            <w:vAlign w:val="bottom"/>
            <w:tcBorders>
              <w:right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231F20"/>
              </w:rPr>
              <w:t>Data Processing</w:t>
            </w:r>
          </w:p>
        </w:tc>
        <w:tc>
          <w:tcPr>
            <w:tcW w:w="28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8"/>
              </w:rPr>
              <w:t>Help desk support is available 24/7</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231F20"/>
              </w:rPr>
              <w:t>•</w:t>
            </w:r>
          </w:p>
        </w:tc>
        <w:tc>
          <w:tcPr>
            <w:tcW w:w="56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Manage all aspects of processing platform(s), including day to day</w:t>
            </w: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where at least 90% of monthly</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31F20"/>
              </w:rPr>
              <w:t>operation, backups and maintenance, and disaster recovery.</w:t>
            </w:r>
          </w:p>
        </w:tc>
        <w:tc>
          <w:tcPr>
            <w:tcW w:w="2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w w:val="92"/>
              </w:rPr>
              <w:t>inbound calls are answered within 20</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600" w:type="dxa"/>
            <w:vAlign w:val="bottom"/>
          </w:tcPr>
          <w:p>
            <w:pPr>
              <w:ind w:left="300"/>
              <w:spacing w:after="0" w:line="182" w:lineRule="exact"/>
              <w:rPr>
                <w:sz w:val="20"/>
                <w:szCs w:val="20"/>
                <w:color w:val="auto"/>
              </w:rPr>
            </w:pPr>
            <w:r>
              <w:rPr>
                <w:rFonts w:ascii="Arial" w:cs="Arial" w:eastAsia="Arial" w:hAnsi="Arial"/>
                <w:sz w:val="18"/>
                <w:szCs w:val="18"/>
                <w:color w:val="231F20"/>
              </w:rPr>
              <w:t>•</w:t>
            </w:r>
          </w:p>
        </w:tc>
        <w:tc>
          <w:tcPr>
            <w:tcW w:w="56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6"/>
              </w:rPr>
              <w:t>Provide a 24 X 7 control center/help desk facility to monitor and manage</w:t>
            </w:r>
          </w:p>
        </w:tc>
        <w:tc>
          <w:tcPr>
            <w:tcW w:w="2860" w:type="dxa"/>
            <w:vAlign w:val="bottom"/>
            <w:tcBorders>
              <w:bottom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231F20"/>
              </w:rPr>
              <w:t>seconds or less.</w:t>
            </w:r>
          </w:p>
        </w:tc>
        <w:tc>
          <w:tcPr>
            <w:tcW w:w="1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31F20"/>
              </w:rPr>
              <w:t>data processing operations on behalf of Bank.</w:t>
            </w:r>
          </w:p>
        </w:tc>
        <w:tc>
          <w:tcPr>
            <w:tcW w:w="28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Deliver EDW data on a daily basis</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94"/>
        </w:trPr>
        <w:tc>
          <w:tcPr>
            <w:tcW w:w="580" w:type="dxa"/>
            <w:vAlign w:val="bottom"/>
            <w:tcBorders>
              <w:left w:val="single" w:sz="8" w:color="auto"/>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680" w:type="dxa"/>
            <w:vAlign w:val="bottom"/>
            <w:tcBorders>
              <w:right w:val="single" w:sz="8" w:color="auto"/>
            </w:tcBorders>
            <w:vMerge w:val="continue"/>
          </w:tcPr>
          <w:p>
            <w:pPr>
              <w:spacing w:after="0"/>
              <w:rPr>
                <w:sz w:val="8"/>
                <w:szCs w:val="8"/>
                <w:color w:val="auto"/>
              </w:rPr>
            </w:pPr>
          </w:p>
        </w:tc>
        <w:tc>
          <w:tcPr>
            <w:tcW w:w="286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rPr>
              <w:t>and make EDW data available</w:t>
            </w: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tcPr>
          <w:p>
            <w:pPr>
              <w:spacing w:after="0"/>
              <w:rPr>
                <w:sz w:val="9"/>
                <w:szCs w:val="9"/>
                <w:color w:val="auto"/>
              </w:rPr>
            </w:pPr>
          </w:p>
        </w:tc>
        <w:tc>
          <w:tcPr>
            <w:tcW w:w="6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231F20"/>
                <w:w w:val="95"/>
              </w:rPr>
              <w:t>Ensure availability of the Enterprise Data Warehouse (“EDW”). The EDW</w:t>
            </w:r>
          </w:p>
        </w:tc>
        <w:tc>
          <w:tcPr>
            <w:tcW w:w="286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tcBorders>
              <w:left w:val="single" w:sz="8" w:color="auto"/>
              <w:right w:val="single" w:sz="8" w:color="auto"/>
            </w:tcBorders>
          </w:tcPr>
          <w:p>
            <w:pPr>
              <w:spacing w:after="0"/>
              <w:rPr>
                <w:sz w:val="10"/>
                <w:szCs w:val="10"/>
                <w:color w:val="auto"/>
              </w:rPr>
            </w:pPr>
          </w:p>
        </w:tc>
        <w:tc>
          <w:tcPr>
            <w:tcW w:w="600" w:type="dxa"/>
            <w:vAlign w:val="bottom"/>
            <w:vMerge w:val="continue"/>
          </w:tcPr>
          <w:p>
            <w:pPr>
              <w:spacing w:after="0"/>
              <w:rPr>
                <w:sz w:val="10"/>
                <w:szCs w:val="10"/>
                <w:color w:val="auto"/>
              </w:rPr>
            </w:pPr>
          </w:p>
        </w:tc>
        <w:tc>
          <w:tcPr>
            <w:tcW w:w="568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rPr>
              <w:t>based on the EDW end of day</w:t>
            </w:r>
          </w:p>
        </w:tc>
        <w:tc>
          <w:tcPr>
            <w:tcW w:w="1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80" w:type="dxa"/>
            <w:vAlign w:val="bottom"/>
            <w:tcBorders>
              <w:left w:val="single" w:sz="8" w:color="auto"/>
              <w:right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5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31F20"/>
                <w:w w:val="93"/>
              </w:rPr>
              <w:t>is used by Servicer to compile and store all retail transaction and cardholder</w:t>
            </w:r>
          </w:p>
        </w:tc>
        <w:tc>
          <w:tcPr>
            <w:tcW w:w="286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680" w:type="dxa"/>
            <w:vAlign w:val="bottom"/>
            <w:tcBorders>
              <w:right w:val="single" w:sz="8" w:color="auto"/>
            </w:tcBorders>
            <w:vMerge w:val="continue"/>
          </w:tcPr>
          <w:p>
            <w:pPr>
              <w:spacing w:after="0"/>
              <w:rPr>
                <w:sz w:val="15"/>
                <w:szCs w:val="15"/>
                <w:color w:val="auto"/>
              </w:rPr>
            </w:pPr>
          </w:p>
        </w:tc>
        <w:tc>
          <w:tcPr>
            <w:tcW w:w="286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231F20"/>
              </w:rPr>
              <w:t>marker within forty eight (48)</w:t>
            </w:r>
          </w:p>
        </w:tc>
        <w:tc>
          <w:tcPr>
            <w:tcW w:w="1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0" w:type="dxa"/>
            <w:vAlign w:val="bottom"/>
            <w:tcBorders>
              <w:left w:val="single" w:sz="8" w:color="auto"/>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31F20"/>
              </w:rPr>
              <w:t>account data.</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hours.</w:t>
            </w: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jc w:val="right"/>
              <w:ind w:right="150"/>
              <w:spacing w:after="0" w:line="182" w:lineRule="exact"/>
              <w:rPr>
                <w:sz w:val="20"/>
                <w:szCs w:val="20"/>
                <w:color w:val="auto"/>
              </w:rPr>
            </w:pPr>
            <w:r>
              <w:rPr>
                <w:rFonts w:ascii="Arial" w:cs="Arial" w:eastAsia="Arial" w:hAnsi="Arial"/>
                <w:sz w:val="18"/>
                <w:szCs w:val="18"/>
                <w:color w:val="7F7F7F"/>
              </w:rPr>
              <w:t>7</w:t>
            </w:r>
          </w:p>
        </w:tc>
        <w:tc>
          <w:tcPr>
            <w:tcW w:w="6280" w:type="dxa"/>
            <w:vAlign w:val="bottom"/>
            <w:tcBorders>
              <w:right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231F20"/>
              </w:rPr>
              <w:t>End User Support</w:t>
            </w:r>
          </w:p>
        </w:tc>
        <w:tc>
          <w:tcPr>
            <w:tcW w:w="28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4"/>
              </w:rPr>
              <w:t>Work 90% of service requests within</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7"/>
        </w:trPr>
        <w:tc>
          <w:tcPr>
            <w:tcW w:w="58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231F20"/>
                <w:w w:val="93"/>
              </w:rPr>
              <w:t>Provision of hardware, software and support to ensure continuous functioning of</w:t>
            </w: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15 business days.</w:t>
            </w: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80" w:type="dxa"/>
            <w:vAlign w:val="bottom"/>
            <w:tcBorders>
              <w:left w:val="single" w:sz="8" w:color="auto"/>
              <w:right w:val="single" w:sz="8" w:color="auto"/>
            </w:tcBorders>
          </w:tcPr>
          <w:p>
            <w:pPr>
              <w:spacing w:after="0"/>
              <w:rPr>
                <w:sz w:val="14"/>
                <w:szCs w:val="14"/>
                <w:color w:val="auto"/>
              </w:rPr>
            </w:pPr>
          </w:p>
        </w:tc>
        <w:tc>
          <w:tcPr>
            <w:tcW w:w="6280" w:type="dxa"/>
            <w:vAlign w:val="bottom"/>
            <w:tcBorders>
              <w:right w:val="single" w:sz="8" w:color="auto"/>
            </w:tcBorders>
            <w:gridSpan w:val="2"/>
          </w:tcPr>
          <w:p>
            <w:pPr>
              <w:ind w:left="300"/>
              <w:spacing w:after="0" w:line="168" w:lineRule="exact"/>
              <w:rPr>
                <w:sz w:val="20"/>
                <w:szCs w:val="20"/>
                <w:color w:val="auto"/>
              </w:rPr>
            </w:pPr>
            <w:r>
              <w:rPr>
                <w:rFonts w:ascii="Arial" w:cs="Arial" w:eastAsia="Arial" w:hAnsi="Arial"/>
                <w:sz w:val="18"/>
                <w:szCs w:val="18"/>
                <w:color w:val="231F20"/>
                <w:w w:val="93"/>
              </w:rPr>
              <w:t>end user computing needs. Ensuring high customer satisfaction through the use</w:t>
            </w:r>
          </w:p>
        </w:tc>
        <w:tc>
          <w:tcPr>
            <w:tcW w:w="286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8"/>
                <w:szCs w:val="18"/>
                <w:color w:val="231F20"/>
              </w:rPr>
              <w:t>Customer satisfaction scores will</w:t>
            </w:r>
          </w:p>
        </w:tc>
        <w:tc>
          <w:tcPr>
            <w:tcW w:w="1520" w:type="dxa"/>
            <w:vAlign w:val="bottom"/>
            <w:tcBorders>
              <w:right w:val="single" w:sz="8" w:color="auto"/>
            </w:tcBorders>
          </w:tcPr>
          <w:p>
            <w:pPr>
              <w:ind w:left="560"/>
              <w:spacing w:after="0" w:line="168"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231F20"/>
              </w:rPr>
              <w:t>of end-user surveys.</w:t>
            </w:r>
          </w:p>
        </w:tc>
        <w:tc>
          <w:tcPr>
            <w:tcW w:w="2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not fall below 95% on a monthly</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basis.</w:t>
            </w: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jc w:val="right"/>
              <w:ind w:right="150"/>
              <w:spacing w:after="0" w:line="182" w:lineRule="exact"/>
              <w:rPr>
                <w:sz w:val="20"/>
                <w:szCs w:val="20"/>
                <w:color w:val="auto"/>
              </w:rPr>
            </w:pPr>
            <w:r>
              <w:rPr>
                <w:rFonts w:ascii="Arial" w:cs="Arial" w:eastAsia="Arial" w:hAnsi="Arial"/>
                <w:sz w:val="18"/>
                <w:szCs w:val="18"/>
                <w:color w:val="7F7F7F"/>
              </w:rPr>
              <w:t>8</w:t>
            </w:r>
          </w:p>
        </w:tc>
        <w:tc>
          <w:tcPr>
            <w:tcW w:w="6280" w:type="dxa"/>
            <w:vAlign w:val="bottom"/>
            <w:tcBorders>
              <w:right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231F20"/>
              </w:rPr>
              <w:t>Facilities Management</w:t>
            </w:r>
          </w:p>
        </w:tc>
        <w:tc>
          <w:tcPr>
            <w:tcW w:w="28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Achieve 90% on-time completion</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20"/>
                <w:szCs w:val="20"/>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231F20"/>
              </w:rPr>
              <w:t>•</w:t>
            </w: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Assist with management of the premises and its contents.</w:t>
            </w:r>
          </w:p>
        </w:tc>
        <w:tc>
          <w:tcPr>
            <w:tcW w:w="2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of work orders.</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80" w:type="dxa"/>
            <w:vAlign w:val="bottom"/>
            <w:tcBorders>
              <w:left w:val="single" w:sz="8" w:color="auto"/>
              <w:right w:val="single" w:sz="8" w:color="auto"/>
            </w:tcBorders>
          </w:tcPr>
          <w:p>
            <w:pPr>
              <w:spacing w:after="0"/>
              <w:rPr>
                <w:sz w:val="22"/>
                <w:szCs w:val="22"/>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231F20"/>
              </w:rPr>
              <w:t>•</w:t>
            </w: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Provide property management services for Bank.</w:t>
            </w:r>
          </w:p>
        </w:tc>
        <w:tc>
          <w:tcPr>
            <w:tcW w:w="28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 w:type="dxa"/>
            <w:vAlign w:val="bottom"/>
            <w:tcBorders>
              <w:left w:val="single" w:sz="8" w:color="auto"/>
              <w:right w:val="single" w:sz="8" w:color="auto"/>
            </w:tcBorders>
          </w:tcPr>
          <w:p>
            <w:pPr>
              <w:spacing w:after="0"/>
              <w:rPr>
                <w:sz w:val="22"/>
                <w:szCs w:val="22"/>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231F20"/>
              </w:rPr>
              <w:t>•</w:t>
            </w: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w w:val="95"/>
              </w:rPr>
              <w:t>Provide real property services, including leasing commercial and/or office</w:t>
            </w:r>
          </w:p>
        </w:tc>
        <w:tc>
          <w:tcPr>
            <w:tcW w:w="28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31F20"/>
              </w:rPr>
              <w:t>space.</w:t>
            </w:r>
          </w:p>
        </w:tc>
        <w:tc>
          <w:tcPr>
            <w:tcW w:w="286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20"/>
                <w:szCs w:val="20"/>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231F20"/>
              </w:rPr>
              <w:t>•</w:t>
            </w: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Provide timely completion and systemic tracking for corrective and</w:t>
            </w:r>
          </w:p>
        </w:tc>
        <w:tc>
          <w:tcPr>
            <w:tcW w:w="28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Borders>
              <w:left w:val="single" w:sz="8" w:color="auto"/>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31F20"/>
              </w:rPr>
              <w:t>preventative services and work orders.</w:t>
            </w:r>
          </w:p>
        </w:tc>
        <w:tc>
          <w:tcPr>
            <w:tcW w:w="28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jc w:val="right"/>
              <w:ind w:right="150"/>
              <w:spacing w:after="0" w:line="182" w:lineRule="exact"/>
              <w:rPr>
                <w:sz w:val="20"/>
                <w:szCs w:val="20"/>
                <w:color w:val="auto"/>
              </w:rPr>
            </w:pPr>
            <w:r>
              <w:rPr>
                <w:rFonts w:ascii="Arial" w:cs="Arial" w:eastAsia="Arial" w:hAnsi="Arial"/>
                <w:sz w:val="18"/>
                <w:szCs w:val="18"/>
                <w:color w:val="7F7F7F"/>
              </w:rPr>
              <w:t>9</w:t>
            </w:r>
          </w:p>
        </w:tc>
        <w:tc>
          <w:tcPr>
            <w:tcW w:w="600" w:type="dxa"/>
            <w:vAlign w:val="bottom"/>
          </w:tcPr>
          <w:p>
            <w:pPr>
              <w:ind w:left="120"/>
              <w:spacing w:after="0" w:line="182" w:lineRule="exact"/>
              <w:rPr>
                <w:sz w:val="20"/>
                <w:szCs w:val="20"/>
                <w:color w:val="auto"/>
              </w:rPr>
            </w:pPr>
            <w:r>
              <w:rPr>
                <w:rFonts w:ascii="Arial" w:cs="Arial" w:eastAsia="Arial" w:hAnsi="Arial"/>
                <w:sz w:val="18"/>
                <w:szCs w:val="18"/>
                <w:b w:val="1"/>
                <w:bCs w:val="1"/>
                <w:color w:val="231F20"/>
                <w:w w:val="91"/>
              </w:rPr>
              <w:t>Fraud</w:t>
            </w:r>
          </w:p>
        </w:tc>
        <w:tc>
          <w:tcPr>
            <w:tcW w:w="568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231F20"/>
              </w:rPr>
              <w:t>Fraud loss reporting will be</w:t>
            </w:r>
          </w:p>
        </w:tc>
        <w:tc>
          <w:tcPr>
            <w:tcW w:w="152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20"/>
                <w:szCs w:val="20"/>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231F20"/>
              </w:rPr>
              <w:t>•</w:t>
            </w:r>
          </w:p>
        </w:tc>
        <w:tc>
          <w:tcPr>
            <w:tcW w:w="5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Provide Fraud services and platform to prevent, detect, mitigate and</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231F20"/>
              </w:rPr>
              <w:t>provided on a monthly basis.</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80" w:type="dxa"/>
            <w:vAlign w:val="bottom"/>
            <w:tcBorders>
              <w:left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5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31F20"/>
              </w:rPr>
              <w:t>investigate fraud on cardholders’ accounts, which includes transaction</w:t>
            </w:r>
          </w:p>
        </w:tc>
        <w:tc>
          <w:tcPr>
            <w:tcW w:w="28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80" w:type="dxa"/>
            <w:vAlign w:val="bottom"/>
            <w:tcBorders>
              <w:left w:val="single" w:sz="8" w:color="auto"/>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5680" w:type="dxa"/>
            <w:vAlign w:val="bottom"/>
            <w:tcBorders>
              <w:right w:val="single" w:sz="8" w:color="auto"/>
            </w:tcBorders>
            <w:vMerge w:val="continue"/>
          </w:tcPr>
          <w:p>
            <w:pPr>
              <w:spacing w:after="0"/>
              <w:rPr>
                <w:sz w:val="14"/>
                <w:szCs w:val="14"/>
                <w:color w:val="auto"/>
              </w:rPr>
            </w:pPr>
          </w:p>
        </w:tc>
        <w:tc>
          <w:tcPr>
            <w:tcW w:w="286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8"/>
                <w:szCs w:val="18"/>
                <w:color w:val="231F20"/>
                <w:w w:val="95"/>
              </w:rPr>
              <w:t>Fraud loss will remain within 20% of</w:t>
            </w:r>
          </w:p>
        </w:tc>
        <w:tc>
          <w:tcPr>
            <w:tcW w:w="1520" w:type="dxa"/>
            <w:vAlign w:val="bottom"/>
            <w:tcBorders>
              <w:right w:val="single" w:sz="8" w:color="auto"/>
            </w:tcBorders>
          </w:tcPr>
          <w:p>
            <w:pPr>
              <w:ind w:left="560"/>
              <w:spacing w:after="0" w:line="168"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231F20"/>
                <w:w w:val="98"/>
              </w:rPr>
              <w:t>monitoring, strategy design and analysis, fraud loss reporting, customer</w:t>
            </w:r>
          </w:p>
        </w:tc>
        <w:tc>
          <w:tcPr>
            <w:tcW w:w="2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fraud loss appetite/targets.</w:t>
            </w: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80" w:type="dxa"/>
            <w:vAlign w:val="bottom"/>
            <w:tcBorders>
              <w:left w:val="single" w:sz="8" w:color="auto"/>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231F20"/>
                <w:w w:val="97"/>
              </w:rPr>
              <w:t>fraud claim resolution, and document retention to comply with applicable</w:t>
            </w:r>
          </w:p>
        </w:tc>
        <w:tc>
          <w:tcPr>
            <w:tcW w:w="286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80" w:type="dxa"/>
            <w:vAlign w:val="bottom"/>
            <w:tcBorders>
              <w:left w:val="single" w:sz="8" w:color="auto"/>
              <w:right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5680" w:type="dxa"/>
            <w:vAlign w:val="bottom"/>
            <w:tcBorders>
              <w:right w:val="single" w:sz="8" w:color="auto"/>
            </w:tcBorders>
            <w:vMerge w:val="continue"/>
          </w:tcPr>
          <w:p>
            <w:pPr>
              <w:spacing w:after="0"/>
              <w:rPr>
                <w:sz w:val="7"/>
                <w:szCs w:val="7"/>
                <w:color w:val="auto"/>
              </w:rPr>
            </w:pPr>
          </w:p>
        </w:tc>
        <w:tc>
          <w:tcPr>
            <w:tcW w:w="2860" w:type="dxa"/>
            <w:vAlign w:val="bottom"/>
            <w:tcBorders>
              <w:right w:val="single" w:sz="8" w:color="auto"/>
            </w:tcBorders>
            <w:vMerge w:val="restart"/>
          </w:tcPr>
          <w:p>
            <w:pPr>
              <w:ind w:left="80"/>
              <w:spacing w:after="0" w:line="182" w:lineRule="exact"/>
              <w:rPr>
                <w:sz w:val="20"/>
                <w:szCs w:val="20"/>
                <w:color w:val="auto"/>
              </w:rPr>
            </w:pPr>
            <w:r>
              <w:rPr>
                <w:rFonts w:ascii="Arial" w:cs="Arial" w:eastAsia="Arial" w:hAnsi="Arial"/>
                <w:sz w:val="18"/>
                <w:szCs w:val="18"/>
                <w:color w:val="231F20"/>
                <w:w w:val="98"/>
              </w:rPr>
              <w:t>Service 80% of inbound fraud calls</w:t>
            </w:r>
          </w:p>
        </w:tc>
        <w:tc>
          <w:tcPr>
            <w:tcW w:w="1520" w:type="dxa"/>
            <w:vAlign w:val="bottom"/>
            <w:tcBorders>
              <w:right w:val="single" w:sz="8" w:color="auto"/>
            </w:tcBorders>
            <w:vMerge w:val="restart"/>
          </w:tcPr>
          <w:p>
            <w:pPr>
              <w:ind w:left="56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95"/>
        </w:trPr>
        <w:tc>
          <w:tcPr>
            <w:tcW w:w="580" w:type="dxa"/>
            <w:vAlign w:val="bottom"/>
            <w:tcBorders>
              <w:left w:val="single" w:sz="8" w:color="auto"/>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231F20"/>
              </w:rPr>
              <w:t>laws and regulations.</w:t>
            </w:r>
          </w:p>
        </w:tc>
        <w:tc>
          <w:tcPr>
            <w:tcW w:w="28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580" w:type="dxa"/>
            <w:vAlign w:val="bottom"/>
            <w:tcBorders>
              <w:left w:val="single" w:sz="8" w:color="auto"/>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8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231F20"/>
              </w:rPr>
              <w:t>within 25 seconds or less.</w:t>
            </w:r>
          </w:p>
        </w:tc>
        <w:tc>
          <w:tcPr>
            <w:tcW w:w="1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80" w:type="dxa"/>
            <w:vAlign w:val="bottom"/>
            <w:tcBorders>
              <w:left w:val="single" w:sz="8" w:color="auto"/>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680" w:type="dxa"/>
            <w:vAlign w:val="bottom"/>
            <w:tcBorders>
              <w:right w:val="single" w:sz="8" w:color="auto"/>
            </w:tcBorders>
          </w:tcPr>
          <w:p>
            <w:pPr>
              <w:spacing w:after="0"/>
              <w:rPr>
                <w:sz w:val="8"/>
                <w:szCs w:val="8"/>
                <w:color w:val="auto"/>
              </w:rPr>
            </w:pPr>
          </w:p>
        </w:tc>
        <w:tc>
          <w:tcPr>
            <w:tcW w:w="28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62"/>
        </w:trPr>
        <w:tc>
          <w:tcPr>
            <w:tcW w:w="600" w:type="dxa"/>
            <w:vAlign w:val="bottom"/>
            <w:tcBorders>
              <w:top w:val="single" w:sz="8" w:color="auto"/>
              <w:left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640" w:type="dxa"/>
            <w:vAlign w:val="bottom"/>
            <w:tcBorders>
              <w:top w:val="single" w:sz="8" w:color="auto"/>
            </w:tcBorders>
            <w:shd w:val="clear" w:color="auto" w:fill="D6D1B7"/>
          </w:tcPr>
          <w:p>
            <w:pPr>
              <w:spacing w:after="0"/>
              <w:rPr>
                <w:sz w:val="14"/>
                <w:szCs w:val="14"/>
                <w:color w:val="auto"/>
              </w:rPr>
            </w:pPr>
          </w:p>
        </w:tc>
        <w:tc>
          <w:tcPr>
            <w:tcW w:w="4960" w:type="dxa"/>
            <w:vAlign w:val="bottom"/>
            <w:tcBorders>
              <w:top w:val="single" w:sz="8" w:color="auto"/>
              <w:right w:val="single" w:sz="8" w:color="auto"/>
            </w:tcBorders>
            <w:shd w:val="clear" w:color="auto" w:fill="D6D1B7"/>
          </w:tcPr>
          <w:p>
            <w:pPr>
              <w:ind w:left="1880"/>
              <w:spacing w:after="0" w:line="162" w:lineRule="exact"/>
              <w:rPr>
                <w:sz w:val="20"/>
                <w:szCs w:val="20"/>
                <w:color w:val="auto"/>
              </w:rPr>
            </w:pPr>
            <w:r>
              <w:rPr>
                <w:rFonts w:ascii="Arial" w:cs="Arial" w:eastAsia="Arial" w:hAnsi="Arial"/>
                <w:sz w:val="18"/>
                <w:szCs w:val="18"/>
                <w:b w:val="1"/>
                <w:bCs w:val="1"/>
                <w:color w:val="231F20"/>
              </w:rPr>
              <w:t>Service</w:t>
            </w:r>
          </w:p>
        </w:tc>
        <w:tc>
          <w:tcPr>
            <w:tcW w:w="3900" w:type="dxa"/>
            <w:vAlign w:val="bottom"/>
            <w:tcBorders>
              <w:top w:val="single" w:sz="8" w:color="auto"/>
              <w:right w:val="single" w:sz="8" w:color="auto"/>
            </w:tcBorders>
            <w:shd w:val="clear" w:color="auto" w:fill="D6D1B7"/>
          </w:tcPr>
          <w:p>
            <w:pPr>
              <w:ind w:left="110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140" w:type="dxa"/>
            <w:vAlign w:val="bottom"/>
            <w:tcBorders>
              <w:top w:val="single" w:sz="8" w:color="auto"/>
              <w:right w:val="single" w:sz="8" w:color="auto"/>
            </w:tcBorders>
            <w:shd w:val="clear" w:color="auto" w:fill="D6D1B7"/>
          </w:tcPr>
          <w:p>
            <w:pPr>
              <w:ind w:left="180"/>
              <w:spacing w:after="0" w:line="162" w:lineRule="exact"/>
              <w:rPr>
                <w:sz w:val="20"/>
                <w:szCs w:val="20"/>
                <w:color w:val="auto"/>
              </w:rPr>
            </w:pPr>
            <w:r>
              <w:rPr>
                <w:rFonts w:ascii="Arial" w:cs="Arial" w:eastAsia="Arial" w:hAnsi="Arial"/>
                <w:sz w:val="18"/>
                <w:szCs w:val="18"/>
                <w:b w:val="1"/>
                <w:bCs w:val="1"/>
                <w:color w:val="231F20"/>
              </w:rPr>
              <w:t>Measuring</w:t>
            </w:r>
          </w:p>
        </w:tc>
      </w:tr>
      <w:tr>
        <w:trPr>
          <w:trHeight w:val="203"/>
        </w:trPr>
        <w:tc>
          <w:tcPr>
            <w:tcW w:w="60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640" w:type="dxa"/>
            <w:vAlign w:val="bottom"/>
            <w:tcBorders>
              <w:bottom w:val="single" w:sz="8" w:color="auto"/>
            </w:tcBorders>
            <w:shd w:val="clear" w:color="auto" w:fill="D6D1B7"/>
          </w:tcPr>
          <w:p>
            <w:pPr>
              <w:spacing w:after="0"/>
              <w:rPr>
                <w:sz w:val="17"/>
                <w:szCs w:val="17"/>
                <w:color w:val="auto"/>
              </w:rPr>
            </w:pPr>
          </w:p>
        </w:tc>
        <w:tc>
          <w:tcPr>
            <w:tcW w:w="4960" w:type="dxa"/>
            <w:vAlign w:val="bottom"/>
            <w:tcBorders>
              <w:bottom w:val="single" w:sz="8" w:color="auto"/>
              <w:right w:val="single" w:sz="8" w:color="auto"/>
            </w:tcBorders>
            <w:shd w:val="clear" w:color="auto" w:fill="D6D1B7"/>
          </w:tcPr>
          <w:p>
            <w:pPr>
              <w:spacing w:after="0"/>
              <w:rPr>
                <w:sz w:val="17"/>
                <w:szCs w:val="17"/>
                <w:color w:val="auto"/>
              </w:rPr>
            </w:pPr>
          </w:p>
        </w:tc>
        <w:tc>
          <w:tcPr>
            <w:tcW w:w="3900" w:type="dxa"/>
            <w:vAlign w:val="bottom"/>
            <w:tcBorders>
              <w:bottom w:val="single" w:sz="8" w:color="auto"/>
              <w:right w:val="single" w:sz="8" w:color="auto"/>
            </w:tcBorders>
            <w:shd w:val="clear" w:color="auto" w:fill="D6D1B7"/>
          </w:tcPr>
          <w:p>
            <w:pPr>
              <w:spacing w:after="0"/>
              <w:rPr>
                <w:sz w:val="17"/>
                <w:szCs w:val="17"/>
                <w:color w:val="auto"/>
              </w:rPr>
            </w:pPr>
          </w:p>
        </w:tc>
        <w:tc>
          <w:tcPr>
            <w:tcW w:w="1140" w:type="dxa"/>
            <w:vAlign w:val="bottom"/>
            <w:tcBorders>
              <w:bottom w:val="single" w:sz="8" w:color="auto"/>
              <w:right w:val="single" w:sz="8" w:color="auto"/>
            </w:tcBorders>
            <w:shd w:val="clear" w:color="auto" w:fill="D6D1B7"/>
          </w:tcPr>
          <w:p>
            <w:pPr>
              <w:ind w:left="360"/>
              <w:spacing w:after="0" w:line="202" w:lineRule="exact"/>
              <w:rPr>
                <w:sz w:val="20"/>
                <w:szCs w:val="20"/>
                <w:color w:val="auto"/>
              </w:rPr>
            </w:pPr>
            <w:r>
              <w:rPr>
                <w:rFonts w:ascii="Arial" w:cs="Arial" w:eastAsia="Arial" w:hAnsi="Arial"/>
                <w:sz w:val="18"/>
                <w:szCs w:val="18"/>
                <w:b w:val="1"/>
                <w:bCs w:val="1"/>
                <w:color w:val="231F20"/>
              </w:rPr>
              <w:t>Period</w:t>
            </w: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40" w:type="dxa"/>
            <w:vAlign w:val="bottom"/>
          </w:tcPr>
          <w:p>
            <w:pPr>
              <w:ind w:left="460"/>
              <w:spacing w:after="0" w:line="182" w:lineRule="exact"/>
              <w:rPr>
                <w:sz w:val="20"/>
                <w:szCs w:val="20"/>
                <w:color w:val="auto"/>
              </w:rPr>
            </w:pPr>
            <w:r>
              <w:rPr>
                <w:rFonts w:ascii="Arial" w:cs="Arial" w:eastAsia="Arial" w:hAnsi="Arial"/>
                <w:sz w:val="18"/>
                <w:szCs w:val="18"/>
                <w:color w:val="auto"/>
              </w:rPr>
              <w:t>•</w:t>
            </w:r>
          </w:p>
        </w:tc>
        <w:tc>
          <w:tcPr>
            <w:tcW w:w="49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231F20"/>
                <w:w w:val="92"/>
              </w:rPr>
              <w:t>Create and monitor alerts, develop strategies, and perform other</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Process and investigate 99% of fraud claims to</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rPr>
              <w:t>necessary functions in order to detect, mitigate, and prevent</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w w:val="97"/>
              </w:rPr>
              <w:t>ensure appropriate customer resolution within 90</w:t>
            </w:r>
          </w:p>
        </w:tc>
        <w:tc>
          <w:tcPr>
            <w:tcW w:w="1140" w:type="dxa"/>
            <w:vAlign w:val="bottom"/>
            <w:tcBorders>
              <w:right w:val="single" w:sz="8" w:color="auto"/>
            </w:tcBorders>
          </w:tcPr>
          <w:p>
            <w:pPr>
              <w:spacing w:after="0"/>
              <w:rPr>
                <w:sz w:val="20"/>
                <w:szCs w:val="20"/>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231F20"/>
              </w:rPr>
              <w:t xml:space="preserve">fraud </w:t>
            </w:r>
            <w:r>
              <w:rPr>
                <w:rFonts w:ascii="Arial" w:cs="Arial" w:eastAsia="Arial" w:hAnsi="Arial"/>
                <w:sz w:val="18"/>
                <w:szCs w:val="18"/>
                <w:color w:val="000000"/>
              </w:rPr>
              <w:t>within the bank’s fraud risk appetite</w:t>
            </w:r>
            <w:r>
              <w:rPr>
                <w:rFonts w:ascii="Arial" w:cs="Arial" w:eastAsia="Arial" w:hAnsi="Arial"/>
                <w:sz w:val="18"/>
                <w:szCs w:val="18"/>
                <w:color w:val="231F20"/>
              </w:rPr>
              <w:t xml:space="preserve"> for our accounts.</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days in accordance to applicable Regulatory</w:t>
            </w:r>
          </w:p>
        </w:tc>
        <w:tc>
          <w:tcPr>
            <w:tcW w:w="1140" w:type="dxa"/>
            <w:vAlign w:val="bottom"/>
            <w:tcBorders>
              <w:right w:val="single" w:sz="8" w:color="auto"/>
            </w:tcBorders>
          </w:tcPr>
          <w:p>
            <w:pPr>
              <w:spacing w:after="0"/>
              <w:rPr>
                <w:sz w:val="17"/>
                <w:szCs w:val="17"/>
                <w:color w:val="auto"/>
              </w:rPr>
            </w:pPr>
          </w:p>
        </w:tc>
      </w:tr>
      <w:tr>
        <w:trPr>
          <w:trHeight w:val="237"/>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timeframes.</w:t>
            </w:r>
          </w:p>
        </w:tc>
        <w:tc>
          <w:tcPr>
            <w:tcW w:w="1140" w:type="dxa"/>
            <w:vAlign w:val="bottom"/>
            <w:tcBorders>
              <w:bottom w:val="single" w:sz="8" w:color="auto"/>
              <w:right w:val="single" w:sz="8" w:color="auto"/>
            </w:tcBorders>
          </w:tcPr>
          <w:p>
            <w:pPr>
              <w:spacing w:after="0"/>
              <w:rPr>
                <w:sz w:val="20"/>
                <w:szCs w:val="20"/>
                <w:color w:val="auto"/>
              </w:rPr>
            </w:pPr>
          </w:p>
        </w:tc>
      </w:tr>
      <w:tr>
        <w:trPr>
          <w:trHeight w:val="188"/>
        </w:trPr>
        <w:tc>
          <w:tcPr>
            <w:tcW w:w="60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7F7F7F"/>
                <w:w w:val="89"/>
              </w:rPr>
              <w:t>10</w:t>
            </w:r>
          </w:p>
        </w:tc>
        <w:tc>
          <w:tcPr>
            <w:tcW w:w="5600" w:type="dxa"/>
            <w:vAlign w:val="bottom"/>
            <w:tcBorders>
              <w:right w:val="single" w:sz="8" w:color="auto"/>
            </w:tcBorders>
            <w:gridSpan w:val="2"/>
          </w:tcPr>
          <w:p>
            <w:pPr>
              <w:ind w:left="140"/>
              <w:spacing w:after="0" w:line="188" w:lineRule="exact"/>
              <w:rPr>
                <w:sz w:val="20"/>
                <w:szCs w:val="20"/>
                <w:color w:val="auto"/>
              </w:rPr>
            </w:pPr>
            <w:r>
              <w:rPr>
                <w:rFonts w:ascii="Arial" w:cs="Arial" w:eastAsia="Arial" w:hAnsi="Arial"/>
                <w:sz w:val="18"/>
                <w:szCs w:val="18"/>
                <w:b w:val="1"/>
                <w:bCs w:val="1"/>
                <w:color w:val="auto"/>
              </w:rPr>
              <w:t>Human Resources</w:t>
            </w:r>
          </w:p>
        </w:tc>
        <w:tc>
          <w:tcPr>
            <w:tcW w:w="390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8"/>
                <w:szCs w:val="18"/>
                <w:color w:val="231F20"/>
                <w:w w:val="92"/>
              </w:rPr>
              <w:t>Report on recruiting performance and monitoring to</w:t>
            </w:r>
          </w:p>
        </w:tc>
        <w:tc>
          <w:tcPr>
            <w:tcW w:w="1140" w:type="dxa"/>
            <w:vAlign w:val="bottom"/>
            <w:tcBorders>
              <w:right w:val="single" w:sz="8" w:color="auto"/>
            </w:tcBorders>
          </w:tcPr>
          <w:p>
            <w:pPr>
              <w:ind w:left="560"/>
              <w:spacing w:after="0" w:line="188" w:lineRule="exact"/>
              <w:rPr>
                <w:sz w:val="20"/>
                <w:szCs w:val="20"/>
                <w:color w:val="auto"/>
              </w:rPr>
            </w:pPr>
            <w:r>
              <w:rPr>
                <w:rFonts w:ascii="Arial" w:cs="Arial" w:eastAsia="Arial" w:hAnsi="Arial"/>
                <w:sz w:val="18"/>
                <w:szCs w:val="18"/>
                <w:color w:val="231F20"/>
              </w:rPr>
              <w:t>M</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380"/>
              <w:spacing w:after="0" w:line="202" w:lineRule="exact"/>
              <w:rPr>
                <w:sz w:val="20"/>
                <w:szCs w:val="20"/>
                <w:color w:val="auto"/>
              </w:rPr>
            </w:pPr>
            <w:r>
              <w:rPr>
                <w:rFonts w:ascii="Arial" w:cs="Arial" w:eastAsia="Arial" w:hAnsi="Arial"/>
                <w:sz w:val="18"/>
                <w:szCs w:val="18"/>
                <w:color w:val="auto"/>
                <w:w w:val="97"/>
              </w:rPr>
              <w:t>Assist in the recruiting, training, management of staff as well as the</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3"/>
              </w:rPr>
              <w:t>demonstrate positions are being filled in support of</w:t>
            </w:r>
          </w:p>
        </w:tc>
        <w:tc>
          <w:tcPr>
            <w:tcW w:w="114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management of benefits available to Bank associates.</w:t>
            </w: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the Banks.</w:t>
            </w:r>
          </w:p>
        </w:tc>
        <w:tc>
          <w:tcPr>
            <w:tcW w:w="1140" w:type="dxa"/>
            <w:vAlign w:val="bottom"/>
            <w:tcBorders>
              <w:bottom w:val="single" w:sz="8" w:color="auto"/>
              <w:right w:val="single" w:sz="8" w:color="auto"/>
            </w:tcBorders>
          </w:tcPr>
          <w:p>
            <w:pPr>
              <w:spacing w:after="0"/>
              <w:rPr>
                <w:sz w:val="18"/>
                <w:szCs w:val="18"/>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89"/>
              </w:rPr>
              <w:t>11</w:t>
            </w:r>
          </w:p>
        </w:tc>
        <w:tc>
          <w:tcPr>
            <w:tcW w:w="5600" w:type="dxa"/>
            <w:vAlign w:val="bottom"/>
            <w:tcBorders>
              <w:right w:val="single" w:sz="8" w:color="auto"/>
            </w:tcBorders>
            <w:gridSpan w:val="2"/>
          </w:tcPr>
          <w:p>
            <w:pPr>
              <w:ind w:left="140"/>
              <w:spacing w:after="0" w:line="182" w:lineRule="exact"/>
              <w:rPr>
                <w:sz w:val="20"/>
                <w:szCs w:val="20"/>
                <w:color w:val="auto"/>
              </w:rPr>
            </w:pPr>
            <w:r>
              <w:rPr>
                <w:rFonts w:ascii="Arial" w:cs="Arial" w:eastAsia="Arial" w:hAnsi="Arial"/>
                <w:sz w:val="18"/>
                <w:szCs w:val="18"/>
                <w:b w:val="1"/>
                <w:bCs w:val="1"/>
                <w:color w:val="auto"/>
              </w:rPr>
              <w:t>Information Security Support</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4"/>
              </w:rPr>
              <w:t>Meet or exceed established threshold (&gt;=98%) for</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600" w:type="dxa"/>
            <w:vAlign w:val="bottom"/>
            <w:tcBorders>
              <w:right w:val="single" w:sz="8" w:color="auto"/>
            </w:tcBorders>
            <w:gridSpan w:val="2"/>
          </w:tcPr>
          <w:p>
            <w:pPr>
              <w:ind w:left="380"/>
              <w:spacing w:after="0" w:line="202" w:lineRule="exact"/>
              <w:rPr>
                <w:sz w:val="20"/>
                <w:szCs w:val="20"/>
                <w:color w:val="auto"/>
              </w:rPr>
            </w:pPr>
            <w:r>
              <w:rPr>
                <w:rFonts w:ascii="Arial" w:cs="Arial" w:eastAsia="Arial" w:hAnsi="Arial"/>
                <w:sz w:val="18"/>
                <w:szCs w:val="18"/>
                <w:color w:val="auto"/>
                <w:w w:val="94"/>
              </w:rPr>
              <w:t>Provide technologies and manage network and application access to</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5"/>
              </w:rPr>
              <w:t>granting approved user access requests within 10</w:t>
            </w:r>
          </w:p>
        </w:tc>
        <w:tc>
          <w:tcPr>
            <w:tcW w:w="114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380"/>
              <w:spacing w:after="0"/>
              <w:rPr>
                <w:sz w:val="20"/>
                <w:szCs w:val="20"/>
                <w:color w:val="auto"/>
              </w:rPr>
            </w:pPr>
            <w:r>
              <w:rPr>
                <w:rFonts w:ascii="Arial" w:cs="Arial" w:eastAsia="Arial" w:hAnsi="Arial"/>
                <w:sz w:val="18"/>
                <w:szCs w:val="18"/>
                <w:color w:val="auto"/>
                <w:w w:val="99"/>
              </w:rPr>
              <w:t>protect client/customer data while assuring privacy and regulatory</w:t>
            </w: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business days of approval.</w:t>
            </w:r>
          </w:p>
        </w:tc>
        <w:tc>
          <w:tcPr>
            <w:tcW w:w="1140" w:type="dxa"/>
            <w:vAlign w:val="bottom"/>
            <w:tcBorders>
              <w:bottom w:val="single" w:sz="8" w:color="auto"/>
              <w:right w:val="single" w:sz="8" w:color="auto"/>
            </w:tcBorders>
          </w:tcPr>
          <w:p>
            <w:pPr>
              <w:spacing w:after="0"/>
              <w:rPr>
                <w:sz w:val="18"/>
                <w:szCs w:val="18"/>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380"/>
              <w:spacing w:after="0" w:line="182" w:lineRule="exact"/>
              <w:rPr>
                <w:sz w:val="20"/>
                <w:szCs w:val="20"/>
                <w:color w:val="auto"/>
              </w:rPr>
            </w:pPr>
            <w:r>
              <w:rPr>
                <w:rFonts w:ascii="Arial" w:cs="Arial" w:eastAsia="Arial" w:hAnsi="Arial"/>
                <w:sz w:val="18"/>
                <w:szCs w:val="18"/>
                <w:color w:val="auto"/>
              </w:rPr>
              <w:t>compliance.</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4"/>
              </w:rPr>
              <w:t>Meet or exceed established threshold (&gt;=98%) for</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6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removing access due to terminations within 1</w:t>
            </w:r>
          </w:p>
        </w:tc>
        <w:tc>
          <w:tcPr>
            <w:tcW w:w="1140" w:type="dxa"/>
            <w:vAlign w:val="bottom"/>
            <w:tcBorders>
              <w:right w:val="single" w:sz="8" w:color="auto"/>
            </w:tcBorders>
          </w:tcPr>
          <w:p>
            <w:pPr>
              <w:spacing w:after="0"/>
              <w:rPr>
                <w:sz w:val="17"/>
                <w:szCs w:val="17"/>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business day.</w:t>
            </w:r>
          </w:p>
        </w:tc>
        <w:tc>
          <w:tcPr>
            <w:tcW w:w="1140" w:type="dxa"/>
            <w:vAlign w:val="bottom"/>
            <w:tcBorders>
              <w:bottom w:val="single" w:sz="8" w:color="auto"/>
              <w:right w:val="single" w:sz="8" w:color="auto"/>
            </w:tcBorders>
          </w:tcPr>
          <w:p>
            <w:pPr>
              <w:spacing w:after="0"/>
              <w:rPr>
                <w:sz w:val="18"/>
                <w:szCs w:val="18"/>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3"/>
              </w:rPr>
              <w:t>Perform user access review at least semi-annually.</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Semi-</w:t>
            </w: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96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231F20"/>
                <w:w w:val="96"/>
              </w:rPr>
              <w:t>Annual</w:t>
            </w: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89"/>
              </w:rPr>
              <w:t>12</w:t>
            </w:r>
          </w:p>
        </w:tc>
        <w:tc>
          <w:tcPr>
            <w:tcW w:w="5600" w:type="dxa"/>
            <w:vAlign w:val="bottom"/>
            <w:tcBorders>
              <w:right w:val="single" w:sz="8" w:color="auto"/>
            </w:tcBorders>
            <w:gridSpan w:val="2"/>
          </w:tcPr>
          <w:p>
            <w:pPr>
              <w:ind w:left="140"/>
              <w:spacing w:after="0" w:line="182" w:lineRule="exact"/>
              <w:rPr>
                <w:sz w:val="20"/>
                <w:szCs w:val="20"/>
                <w:color w:val="auto"/>
              </w:rPr>
            </w:pPr>
            <w:r>
              <w:rPr>
                <w:rFonts w:ascii="Arial" w:cs="Arial" w:eastAsia="Arial" w:hAnsi="Arial"/>
                <w:sz w:val="18"/>
                <w:szCs w:val="18"/>
                <w:b w:val="1"/>
                <w:bCs w:val="1"/>
                <w:color w:val="auto"/>
              </w:rPr>
              <w:t>Information Technology Services/Outsourcing</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1"/>
              </w:rPr>
              <w:t>Authorizations average response time is less than 3</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49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Provide Information Technology platform and services,</w:t>
            </w: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Seconds.</w:t>
            </w:r>
          </w:p>
        </w:tc>
        <w:tc>
          <w:tcPr>
            <w:tcW w:w="1140" w:type="dxa"/>
            <w:vAlign w:val="bottom"/>
            <w:tcBorders>
              <w:bottom w:val="single" w:sz="8" w:color="auto"/>
              <w:right w:val="single" w:sz="8" w:color="auto"/>
            </w:tcBorders>
          </w:tcPr>
          <w:p>
            <w:pPr>
              <w:spacing w:after="0"/>
              <w:rPr>
                <w:sz w:val="18"/>
                <w:szCs w:val="18"/>
                <w:color w:val="auto"/>
              </w:rPr>
            </w:pPr>
          </w:p>
        </w:tc>
      </w:tr>
      <w:tr>
        <w:trPr>
          <w:trHeight w:val="196"/>
        </w:trPr>
        <w:tc>
          <w:tcPr>
            <w:tcW w:w="60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6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color w:val="auto"/>
                <w:w w:val="98"/>
              </w:rPr>
              <w:t>including outsourcing of Information Technology platform and</w:t>
            </w:r>
          </w:p>
        </w:tc>
        <w:tc>
          <w:tcPr>
            <w:tcW w:w="390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7"/>
              </w:rPr>
              <w:t>Priority 1 Incidents Restored within Defined time.</w:t>
            </w:r>
          </w:p>
        </w:tc>
        <w:tc>
          <w:tcPr>
            <w:tcW w:w="1140" w:type="dxa"/>
            <w:vAlign w:val="bottom"/>
            <w:tcBorders>
              <w:bottom w:val="single" w:sz="8" w:color="auto"/>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196"/>
        </w:trPr>
        <w:tc>
          <w:tcPr>
            <w:tcW w:w="60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60" w:type="dxa"/>
            <w:vAlign w:val="bottom"/>
            <w:tcBorders>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services.</w:t>
            </w:r>
          </w:p>
        </w:tc>
        <w:tc>
          <w:tcPr>
            <w:tcW w:w="39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231F20"/>
                <w:w w:val="97"/>
              </w:rPr>
              <w:t>Priority 2 Incidents Restored within Defined time.</w:t>
            </w:r>
          </w:p>
        </w:tc>
        <w:tc>
          <w:tcPr>
            <w:tcW w:w="114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231F20"/>
              </w:rPr>
              <w:t>M</w:t>
            </w:r>
          </w:p>
        </w:tc>
      </w:tr>
      <w:tr>
        <w:trPr>
          <w:trHeight w:val="196"/>
        </w:trPr>
        <w:tc>
          <w:tcPr>
            <w:tcW w:w="600" w:type="dxa"/>
            <w:vAlign w:val="bottom"/>
            <w:tcBorders>
              <w:left w:val="single" w:sz="8" w:color="auto"/>
              <w:right w:val="single" w:sz="8" w:color="auto"/>
            </w:tcBorders>
          </w:tcPr>
          <w:p>
            <w:pPr>
              <w:spacing w:after="0"/>
              <w:rPr>
                <w:sz w:val="17"/>
                <w:szCs w:val="17"/>
                <w:color w:val="auto"/>
              </w:rPr>
            </w:pPr>
          </w:p>
        </w:tc>
        <w:tc>
          <w:tcPr>
            <w:tcW w:w="640" w:type="dxa"/>
            <w:vAlign w:val="bottom"/>
          </w:tcPr>
          <w:p>
            <w:pPr>
              <w:ind w:left="460"/>
              <w:spacing w:after="0" w:line="196" w:lineRule="exact"/>
              <w:rPr>
                <w:sz w:val="20"/>
                <w:szCs w:val="20"/>
                <w:color w:val="auto"/>
              </w:rPr>
            </w:pPr>
            <w:r>
              <w:rPr>
                <w:rFonts w:ascii="Arial" w:cs="Arial" w:eastAsia="Arial" w:hAnsi="Arial"/>
                <w:sz w:val="18"/>
                <w:szCs w:val="18"/>
                <w:color w:val="auto"/>
              </w:rPr>
              <w:t>•</w:t>
            </w:r>
          </w:p>
        </w:tc>
        <w:tc>
          <w:tcPr>
            <w:tcW w:w="4960" w:type="dxa"/>
            <w:vAlign w:val="bottom"/>
            <w:tcBorders>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Provide network and telecommunications access.</w:t>
            </w:r>
          </w:p>
        </w:tc>
        <w:tc>
          <w:tcPr>
            <w:tcW w:w="39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231F20"/>
                <w:w w:val="97"/>
              </w:rPr>
              <w:t>Priority 3 Incidents Restored within Defined time.</w:t>
            </w:r>
          </w:p>
        </w:tc>
        <w:tc>
          <w:tcPr>
            <w:tcW w:w="114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231F20"/>
              </w:rPr>
              <w:t>M</w:t>
            </w:r>
          </w:p>
        </w:tc>
      </w:tr>
      <w:tr>
        <w:trPr>
          <w:trHeight w:val="196"/>
        </w:trPr>
        <w:tc>
          <w:tcPr>
            <w:tcW w:w="60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60" w:type="dxa"/>
            <w:vAlign w:val="bottom"/>
            <w:tcBorders>
              <w:right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231F20"/>
                <w:w w:val="97"/>
              </w:rPr>
              <w:t>Priority 4 Incidents Restored within Defined time.</w:t>
            </w:r>
          </w:p>
        </w:tc>
        <w:tc>
          <w:tcPr>
            <w:tcW w:w="114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231F20"/>
              </w:rPr>
              <w:t>M</w:t>
            </w:r>
          </w:p>
        </w:tc>
      </w:tr>
      <w:tr>
        <w:trPr>
          <w:trHeight w:val="196"/>
        </w:trPr>
        <w:tc>
          <w:tcPr>
            <w:tcW w:w="60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60" w:type="dxa"/>
            <w:vAlign w:val="bottom"/>
            <w:tcBorders>
              <w:right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231F20"/>
              </w:rPr>
              <w:t>Maintain 99% or greater Mainframe availability.</w:t>
            </w:r>
          </w:p>
        </w:tc>
        <w:tc>
          <w:tcPr>
            <w:tcW w:w="1140" w:type="dxa"/>
            <w:vAlign w:val="bottom"/>
            <w:tcBorders>
              <w:bottom w:val="single" w:sz="8" w:color="auto"/>
              <w:right w:val="single" w:sz="8" w:color="auto"/>
            </w:tcBorders>
          </w:tcPr>
          <w:p>
            <w:pPr>
              <w:ind w:left="560"/>
              <w:spacing w:after="0" w:line="196" w:lineRule="exact"/>
              <w:rPr>
                <w:sz w:val="20"/>
                <w:szCs w:val="20"/>
                <w:color w:val="auto"/>
              </w:rPr>
            </w:pPr>
            <w:r>
              <w:rPr>
                <w:rFonts w:ascii="Arial" w:cs="Arial" w:eastAsia="Arial" w:hAnsi="Arial"/>
                <w:sz w:val="18"/>
                <w:szCs w:val="18"/>
                <w:color w:val="231F20"/>
              </w:rPr>
              <w:t>M</w:t>
            </w: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5"/>
              </w:rPr>
              <w:t>Maintain 95% or greater implementation of critical</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security updates / patches.</w:t>
            </w:r>
          </w:p>
        </w:tc>
        <w:tc>
          <w:tcPr>
            <w:tcW w:w="1140" w:type="dxa"/>
            <w:vAlign w:val="bottom"/>
            <w:tcBorders>
              <w:bottom w:val="single" w:sz="8" w:color="auto"/>
              <w:right w:val="single" w:sz="8" w:color="auto"/>
            </w:tcBorders>
          </w:tcPr>
          <w:p>
            <w:pPr>
              <w:spacing w:after="0"/>
              <w:rPr>
                <w:sz w:val="18"/>
                <w:szCs w:val="18"/>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Maintain 97% or greater Unix &amp; Linux Server</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availability.</w:t>
            </w:r>
          </w:p>
        </w:tc>
        <w:tc>
          <w:tcPr>
            <w:tcW w:w="1140" w:type="dxa"/>
            <w:vAlign w:val="bottom"/>
            <w:tcBorders>
              <w:bottom w:val="single" w:sz="8" w:color="auto"/>
              <w:right w:val="single" w:sz="8" w:color="auto"/>
            </w:tcBorders>
          </w:tcPr>
          <w:p>
            <w:pPr>
              <w:spacing w:after="0"/>
              <w:rPr>
                <w:sz w:val="18"/>
                <w:szCs w:val="18"/>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Maintain 97% or greater Windows Server</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availability.</w:t>
            </w:r>
          </w:p>
        </w:tc>
        <w:tc>
          <w:tcPr>
            <w:tcW w:w="1140" w:type="dxa"/>
            <w:vAlign w:val="bottom"/>
            <w:tcBorders>
              <w:bottom w:val="single" w:sz="8" w:color="auto"/>
              <w:right w:val="single" w:sz="8" w:color="auto"/>
            </w:tcBorders>
          </w:tcPr>
          <w:p>
            <w:pPr>
              <w:spacing w:after="0"/>
              <w:rPr>
                <w:sz w:val="18"/>
                <w:szCs w:val="18"/>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2"/>
              </w:rPr>
              <w:t>Complete 98% of critical batches within 24 hours of</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required completion time.</w:t>
            </w:r>
          </w:p>
        </w:tc>
        <w:tc>
          <w:tcPr>
            <w:tcW w:w="1140" w:type="dxa"/>
            <w:vAlign w:val="bottom"/>
            <w:tcBorders>
              <w:bottom w:val="single" w:sz="8" w:color="auto"/>
              <w:right w:val="single" w:sz="8" w:color="auto"/>
            </w:tcBorders>
          </w:tcPr>
          <w:p>
            <w:pPr>
              <w:spacing w:after="0"/>
              <w:rPr>
                <w:sz w:val="18"/>
                <w:szCs w:val="18"/>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8"/>
              </w:rPr>
              <w:t>Authorization services will be available 99.5% of</w:t>
            </w:r>
          </w:p>
        </w:tc>
        <w:tc>
          <w:tcPr>
            <w:tcW w:w="1140" w:type="dxa"/>
            <w:vAlign w:val="bottom"/>
            <w:tcBorders>
              <w:right w:val="single" w:sz="8" w:color="auto"/>
            </w:tcBorders>
          </w:tcPr>
          <w:p>
            <w:pPr>
              <w:ind w:left="560"/>
              <w:spacing w:after="0" w:line="182" w:lineRule="exact"/>
              <w:rPr>
                <w:sz w:val="20"/>
                <w:szCs w:val="20"/>
                <w:color w:val="auto"/>
              </w:rPr>
            </w:pPr>
            <w:r>
              <w:rPr>
                <w:rFonts w:ascii="Arial" w:cs="Arial" w:eastAsia="Arial" w:hAnsi="Arial"/>
                <w:sz w:val="18"/>
                <w:szCs w:val="18"/>
                <w:color w:val="231F20"/>
              </w:rPr>
              <w:t>M</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store hours.</w:t>
            </w:r>
          </w:p>
        </w:tc>
        <w:tc>
          <w:tcPr>
            <w:tcW w:w="1140" w:type="dxa"/>
            <w:vAlign w:val="bottom"/>
            <w:tcBorders>
              <w:right w:val="single" w:sz="8" w:color="auto"/>
            </w:tcBorders>
          </w:tcPr>
          <w:p>
            <w:pPr>
              <w:spacing w:after="0"/>
              <w:rPr>
                <w:sz w:val="20"/>
                <w:szCs w:val="20"/>
                <w:color w:val="auto"/>
              </w:rPr>
            </w:pPr>
          </w:p>
        </w:tc>
      </w:tr>
      <w:tr>
        <w:trPr>
          <w:trHeight w:val="189"/>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960" w:type="dxa"/>
            <w:vAlign w:val="bottom"/>
            <w:tcBorders>
              <w:bottom w:val="single" w:sz="8" w:color="auto"/>
              <w:right w:val="single" w:sz="8" w:color="auto"/>
            </w:tcBorders>
          </w:tcPr>
          <w:p>
            <w:pPr>
              <w:spacing w:after="0"/>
              <w:rPr>
                <w:sz w:val="16"/>
                <w:szCs w:val="16"/>
                <w:color w:val="auto"/>
              </w:rPr>
            </w:pPr>
          </w:p>
        </w:tc>
        <w:tc>
          <w:tcPr>
            <w:tcW w:w="39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r>
    </w:tbl>
    <w:p>
      <w:pPr>
        <w:spacing w:after="0" w:line="3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62"/>
        </w:trPr>
        <w:tc>
          <w:tcPr>
            <w:tcW w:w="680" w:type="dxa"/>
            <w:vAlign w:val="bottom"/>
            <w:tcBorders>
              <w:top w:val="single" w:sz="8" w:color="auto"/>
              <w:left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560" w:type="dxa"/>
            <w:vAlign w:val="bottom"/>
            <w:tcBorders>
              <w:top w:val="single" w:sz="8" w:color="auto"/>
            </w:tcBorders>
            <w:shd w:val="clear" w:color="auto" w:fill="D6D1B7"/>
          </w:tcPr>
          <w:p>
            <w:pPr>
              <w:spacing w:after="0"/>
              <w:rPr>
                <w:sz w:val="14"/>
                <w:szCs w:val="14"/>
                <w:color w:val="auto"/>
              </w:rPr>
            </w:pPr>
          </w:p>
        </w:tc>
        <w:tc>
          <w:tcPr>
            <w:tcW w:w="4960" w:type="dxa"/>
            <w:vAlign w:val="bottom"/>
            <w:tcBorders>
              <w:top w:val="single" w:sz="8" w:color="auto"/>
              <w:right w:val="single" w:sz="8" w:color="auto"/>
            </w:tcBorders>
            <w:shd w:val="clear" w:color="auto" w:fill="D6D1B7"/>
          </w:tcPr>
          <w:p>
            <w:pPr>
              <w:ind w:left="1960"/>
              <w:spacing w:after="0" w:line="162" w:lineRule="exact"/>
              <w:rPr>
                <w:sz w:val="20"/>
                <w:szCs w:val="20"/>
                <w:color w:val="auto"/>
              </w:rPr>
            </w:pPr>
            <w:r>
              <w:rPr>
                <w:rFonts w:ascii="Arial" w:cs="Arial" w:eastAsia="Arial" w:hAnsi="Arial"/>
                <w:sz w:val="18"/>
                <w:szCs w:val="18"/>
                <w:b w:val="1"/>
                <w:bCs w:val="1"/>
                <w:color w:val="231F20"/>
              </w:rPr>
              <w:t>Service</w:t>
            </w:r>
          </w:p>
        </w:tc>
        <w:tc>
          <w:tcPr>
            <w:tcW w:w="4040" w:type="dxa"/>
            <w:vAlign w:val="bottom"/>
            <w:tcBorders>
              <w:top w:val="single" w:sz="8" w:color="auto"/>
              <w:right w:val="single" w:sz="8" w:color="auto"/>
            </w:tcBorders>
            <w:shd w:val="clear" w:color="auto" w:fill="D6D1B7"/>
          </w:tcPr>
          <w:p>
            <w:pPr>
              <w:ind w:left="112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000" w:type="dxa"/>
            <w:vAlign w:val="bottom"/>
            <w:tcBorders>
              <w:top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1"/>
              </w:rPr>
              <w:t>Measuring</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560" w:type="dxa"/>
            <w:vAlign w:val="bottom"/>
            <w:tcBorders>
              <w:bottom w:val="single" w:sz="8" w:color="auto"/>
            </w:tcBorders>
            <w:shd w:val="clear" w:color="auto" w:fill="D6D1B7"/>
          </w:tcPr>
          <w:p>
            <w:pPr>
              <w:spacing w:after="0"/>
              <w:rPr>
                <w:sz w:val="17"/>
                <w:szCs w:val="17"/>
                <w:color w:val="auto"/>
              </w:rPr>
            </w:pPr>
          </w:p>
        </w:tc>
        <w:tc>
          <w:tcPr>
            <w:tcW w:w="4960" w:type="dxa"/>
            <w:vAlign w:val="bottom"/>
            <w:tcBorders>
              <w:bottom w:val="single" w:sz="8" w:color="auto"/>
              <w:right w:val="single" w:sz="8" w:color="auto"/>
            </w:tcBorders>
            <w:shd w:val="clear" w:color="auto" w:fill="D6D1B7"/>
          </w:tcPr>
          <w:p>
            <w:pPr>
              <w:spacing w:after="0"/>
              <w:rPr>
                <w:sz w:val="17"/>
                <w:szCs w:val="17"/>
                <w:color w:val="auto"/>
              </w:rPr>
            </w:pPr>
          </w:p>
        </w:tc>
        <w:tc>
          <w:tcPr>
            <w:tcW w:w="4040" w:type="dxa"/>
            <w:vAlign w:val="bottom"/>
            <w:tcBorders>
              <w:bottom w:val="single" w:sz="8" w:color="auto"/>
              <w:right w:val="single" w:sz="8" w:color="auto"/>
            </w:tcBorders>
            <w:shd w:val="clear" w:color="auto" w:fill="D6D1B7"/>
          </w:tcPr>
          <w:p>
            <w:pPr>
              <w:spacing w:after="0"/>
              <w:rPr>
                <w:sz w:val="17"/>
                <w:szCs w:val="17"/>
                <w:color w:val="auto"/>
              </w:rPr>
            </w:pPr>
          </w:p>
        </w:tc>
        <w:tc>
          <w:tcPr>
            <w:tcW w:w="1000" w:type="dxa"/>
            <w:vAlign w:val="bottom"/>
            <w:tcBorders>
              <w:bottom w:val="single" w:sz="8" w:color="auto"/>
              <w:right w:val="single" w:sz="8" w:color="auto"/>
            </w:tcBorders>
            <w:shd w:val="clear" w:color="auto" w:fill="D6D1B7"/>
          </w:tcPr>
          <w:p>
            <w:pPr>
              <w:jc w:val="center"/>
              <w:spacing w:after="0" w:line="202" w:lineRule="exact"/>
              <w:rPr>
                <w:sz w:val="20"/>
                <w:szCs w:val="20"/>
                <w:color w:val="auto"/>
              </w:rPr>
            </w:pPr>
            <w:r>
              <w:rPr>
                <w:rFonts w:ascii="Arial" w:cs="Arial" w:eastAsia="Arial" w:hAnsi="Arial"/>
                <w:sz w:val="18"/>
                <w:szCs w:val="18"/>
                <w:b w:val="1"/>
                <w:bCs w:val="1"/>
                <w:color w:val="231F20"/>
                <w:w w:val="89"/>
              </w:rPr>
              <w:t>Period</w:t>
            </w:r>
          </w:p>
        </w:tc>
        <w:tc>
          <w:tcPr>
            <w:tcW w:w="0" w:type="dxa"/>
            <w:vAlign w:val="bottom"/>
          </w:tcPr>
          <w:p>
            <w:pPr>
              <w:spacing w:after="0"/>
              <w:rPr>
                <w:sz w:val="1"/>
                <w:szCs w:val="1"/>
                <w:color w:val="auto"/>
              </w:rPr>
            </w:pPr>
          </w:p>
        </w:tc>
      </w:tr>
      <w:tr>
        <w:trPr>
          <w:trHeight w:val="182"/>
        </w:trPr>
        <w:tc>
          <w:tcPr>
            <w:tcW w:w="6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89"/>
              </w:rPr>
              <w:t>13</w:t>
            </w:r>
          </w:p>
        </w:tc>
        <w:tc>
          <w:tcPr>
            <w:tcW w:w="55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b w:val="1"/>
                <w:bCs w:val="1"/>
                <w:color w:val="231F20"/>
              </w:rPr>
              <w:t>Issues Management</w:t>
            </w:r>
          </w:p>
        </w:tc>
        <w:tc>
          <w:tcPr>
            <w:tcW w:w="404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Contain 90% of non-technical issues impacting</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60" w:type="dxa"/>
            <w:vAlign w:val="bottom"/>
          </w:tcPr>
          <w:p>
            <w:pPr>
              <w:ind w:left="400"/>
              <w:spacing w:after="0" w:line="202" w:lineRule="exact"/>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240"/>
              <w:spacing w:after="0" w:line="202" w:lineRule="exact"/>
              <w:rPr>
                <w:sz w:val="20"/>
                <w:szCs w:val="20"/>
                <w:color w:val="auto"/>
              </w:rPr>
            </w:pPr>
            <w:r>
              <w:rPr>
                <w:rFonts w:ascii="Arial" w:cs="Arial" w:eastAsia="Arial" w:hAnsi="Arial"/>
                <w:sz w:val="18"/>
                <w:szCs w:val="18"/>
                <w:color w:val="231F20"/>
                <w:w w:val="94"/>
              </w:rPr>
              <w:t>Assignment of issue ownership, risk pillar, and issue reviewer.</w:t>
            </w:r>
          </w:p>
        </w:tc>
        <w:tc>
          <w:tcPr>
            <w:tcW w:w="4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9"/>
              </w:rPr>
              <w:t>customers OR four or less non-technical issues if</w:t>
            </w: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60" w:type="dxa"/>
            <w:vAlign w:val="bottom"/>
          </w:tcPr>
          <w:p>
            <w:pPr>
              <w:ind w:left="40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231F20"/>
                <w:w w:val="95"/>
              </w:rPr>
              <w:t>Validation of completeness and accuracy of issue description.</w:t>
            </w:r>
          </w:p>
        </w:tc>
        <w:tc>
          <w:tcPr>
            <w:tcW w:w="4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90% is not achieved within timelines established in</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0" w:type="dxa"/>
            <w:vAlign w:val="bottom"/>
            <w:tcBorders>
              <w:left w:val="single" w:sz="8" w:color="auto"/>
              <w:right w:val="single" w:sz="8" w:color="auto"/>
            </w:tcBorders>
          </w:tcPr>
          <w:p>
            <w:pPr>
              <w:spacing w:after="0"/>
              <w:rPr>
                <w:sz w:val="16"/>
                <w:szCs w:val="16"/>
                <w:color w:val="auto"/>
              </w:rPr>
            </w:pPr>
          </w:p>
        </w:tc>
        <w:tc>
          <w:tcPr>
            <w:tcW w:w="560" w:type="dxa"/>
            <w:vAlign w:val="bottom"/>
            <w:vMerge w:val="restart"/>
          </w:tcPr>
          <w:p>
            <w:pPr>
              <w:ind w:left="40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231F20"/>
              </w:rPr>
              <w:t>Verification of root cause accuracy.</w:t>
            </w:r>
          </w:p>
        </w:tc>
        <w:tc>
          <w:tcPr>
            <w:tcW w:w="4040" w:type="dxa"/>
            <w:vAlign w:val="bottom"/>
            <w:tcBorders>
              <w:bottom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the Issues Management Procedure.</w:t>
            </w: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80" w:type="dxa"/>
            <w:vAlign w:val="bottom"/>
            <w:tcBorders>
              <w:left w:val="single" w:sz="8" w:color="auto"/>
              <w:right w:val="single" w:sz="8" w:color="auto"/>
            </w:tcBorders>
          </w:tcPr>
          <w:p>
            <w:pPr>
              <w:spacing w:after="0"/>
              <w:rPr>
                <w:sz w:val="8"/>
                <w:szCs w:val="8"/>
                <w:color w:val="auto"/>
              </w:rPr>
            </w:pPr>
          </w:p>
        </w:tc>
        <w:tc>
          <w:tcPr>
            <w:tcW w:w="560" w:type="dxa"/>
            <w:vAlign w:val="bottom"/>
            <w:vMerge w:val="continue"/>
          </w:tcPr>
          <w:p>
            <w:pPr>
              <w:spacing w:after="0"/>
              <w:rPr>
                <w:sz w:val="8"/>
                <w:szCs w:val="8"/>
                <w:color w:val="auto"/>
              </w:rPr>
            </w:pPr>
          </w:p>
        </w:tc>
        <w:tc>
          <w:tcPr>
            <w:tcW w:w="4960" w:type="dxa"/>
            <w:vAlign w:val="bottom"/>
            <w:tcBorders>
              <w:right w:val="single" w:sz="8" w:color="auto"/>
            </w:tcBorders>
            <w:vMerge w:val="continue"/>
          </w:tcPr>
          <w:p>
            <w:pPr>
              <w:spacing w:after="0"/>
              <w:rPr>
                <w:sz w:val="8"/>
                <w:szCs w:val="8"/>
                <w:color w:val="auto"/>
              </w:rPr>
            </w:pPr>
          </w:p>
        </w:tc>
        <w:tc>
          <w:tcPr>
            <w:tcW w:w="4040" w:type="dxa"/>
            <w:vAlign w:val="bottom"/>
            <w:tcBorders>
              <w:right w:val="single" w:sz="8" w:color="auto"/>
            </w:tcBorders>
            <w:vMerge w:val="restart"/>
          </w:tcPr>
          <w:p>
            <w:pPr>
              <w:ind w:left="120"/>
              <w:spacing w:after="0" w:line="182" w:lineRule="exact"/>
              <w:rPr>
                <w:sz w:val="20"/>
                <w:szCs w:val="20"/>
                <w:color w:val="auto"/>
              </w:rPr>
            </w:pPr>
            <w:r>
              <w:rPr>
                <w:rFonts w:ascii="Arial" w:cs="Arial" w:eastAsia="Arial" w:hAnsi="Arial"/>
                <w:sz w:val="18"/>
                <w:szCs w:val="18"/>
                <w:color w:val="auto"/>
                <w:w w:val="99"/>
              </w:rPr>
              <w:t>Contain 90% of technology or system dependent</w:t>
            </w:r>
          </w:p>
        </w:tc>
        <w:tc>
          <w:tcPr>
            <w:tcW w:w="1000" w:type="dxa"/>
            <w:vAlign w:val="bottom"/>
            <w:tcBorders>
              <w:right w:val="single" w:sz="8" w:color="auto"/>
            </w:tcBorders>
            <w:vMerge w:val="restart"/>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80"/>
        </w:trPr>
        <w:tc>
          <w:tcPr>
            <w:tcW w:w="680" w:type="dxa"/>
            <w:vAlign w:val="bottom"/>
            <w:tcBorders>
              <w:left w:val="single" w:sz="8" w:color="auto"/>
              <w:right w:val="single" w:sz="8" w:color="auto"/>
            </w:tcBorders>
          </w:tcPr>
          <w:p>
            <w:pPr>
              <w:spacing w:after="0"/>
              <w:rPr>
                <w:sz w:val="6"/>
                <w:szCs w:val="6"/>
                <w:color w:val="auto"/>
              </w:rPr>
            </w:pPr>
          </w:p>
        </w:tc>
        <w:tc>
          <w:tcPr>
            <w:tcW w:w="560" w:type="dxa"/>
            <w:vAlign w:val="bottom"/>
            <w:vMerge w:val="restart"/>
          </w:tcPr>
          <w:p>
            <w:pPr>
              <w:ind w:left="40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231F20"/>
              </w:rPr>
              <w:t>Establishment of remediation plans and ownership.</w:t>
            </w:r>
          </w:p>
        </w:tc>
        <w:tc>
          <w:tcPr>
            <w:tcW w:w="40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60" w:type="dxa"/>
            <w:vAlign w:val="bottom"/>
            <w:vMerge w:val="continue"/>
          </w:tcPr>
          <w:p>
            <w:pPr>
              <w:spacing w:after="0"/>
              <w:rPr>
                <w:sz w:val="17"/>
                <w:szCs w:val="17"/>
                <w:color w:val="auto"/>
              </w:rPr>
            </w:pPr>
          </w:p>
        </w:tc>
        <w:tc>
          <w:tcPr>
            <w:tcW w:w="4960" w:type="dxa"/>
            <w:vAlign w:val="bottom"/>
            <w:tcBorders>
              <w:right w:val="single" w:sz="8" w:color="auto"/>
            </w:tcBorders>
            <w:vMerge w:val="continue"/>
          </w:tcPr>
          <w:p>
            <w:pPr>
              <w:spacing w:after="0"/>
              <w:rPr>
                <w:sz w:val="17"/>
                <w:szCs w:val="17"/>
                <w:color w:val="auto"/>
              </w:rPr>
            </w:pPr>
          </w:p>
        </w:tc>
        <w:tc>
          <w:tcPr>
            <w:tcW w:w="4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issues impacting customers OR four or less</w:t>
            </w: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0" w:type="dxa"/>
            <w:vAlign w:val="bottom"/>
            <w:tcBorders>
              <w:left w:val="single" w:sz="8" w:color="auto"/>
              <w:right w:val="single" w:sz="8" w:color="auto"/>
            </w:tcBorders>
          </w:tcPr>
          <w:p>
            <w:pPr>
              <w:spacing w:after="0"/>
              <w:rPr>
                <w:sz w:val="17"/>
                <w:szCs w:val="17"/>
                <w:color w:val="auto"/>
              </w:rPr>
            </w:pPr>
          </w:p>
        </w:tc>
        <w:tc>
          <w:tcPr>
            <w:tcW w:w="560" w:type="dxa"/>
            <w:vAlign w:val="bottom"/>
          </w:tcPr>
          <w:p>
            <w:pPr>
              <w:ind w:left="400"/>
              <w:spacing w:after="0" w:line="202" w:lineRule="exact"/>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240"/>
              <w:spacing w:after="0" w:line="202" w:lineRule="exact"/>
              <w:rPr>
                <w:sz w:val="20"/>
                <w:szCs w:val="20"/>
                <w:color w:val="auto"/>
              </w:rPr>
            </w:pPr>
            <w:r>
              <w:rPr>
                <w:rFonts w:ascii="Arial" w:cs="Arial" w:eastAsia="Arial" w:hAnsi="Arial"/>
                <w:sz w:val="18"/>
                <w:szCs w:val="18"/>
                <w:color w:val="231F20"/>
              </w:rPr>
              <w:t>Identify applicable risk(s) and assign to issue.</w:t>
            </w:r>
          </w:p>
        </w:tc>
        <w:tc>
          <w:tcPr>
            <w:tcW w:w="40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2"/>
              </w:rPr>
              <w:t>technology or system dependent issues if the 90% is</w:t>
            </w: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60" w:type="dxa"/>
            <w:vAlign w:val="bottom"/>
          </w:tcPr>
          <w:p>
            <w:pPr>
              <w:ind w:left="40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231F20"/>
                <w:w w:val="95"/>
              </w:rPr>
              <w:t>Responsible for remediation and issue validation by the issue</w:t>
            </w:r>
          </w:p>
        </w:tc>
        <w:tc>
          <w:tcPr>
            <w:tcW w:w="4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not achieved within timelines established in the</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0" w:type="dxa"/>
            <w:vAlign w:val="bottom"/>
            <w:tcBorders>
              <w:left w:val="single" w:sz="8" w:color="auto"/>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49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231F20"/>
              </w:rPr>
              <w:t>owner.</w:t>
            </w:r>
          </w:p>
        </w:tc>
        <w:tc>
          <w:tcPr>
            <w:tcW w:w="4040" w:type="dxa"/>
            <w:vAlign w:val="bottom"/>
            <w:tcBorders>
              <w:bottom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Issues Management Procedure.</w:t>
            </w: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80" w:type="dxa"/>
            <w:vAlign w:val="bottom"/>
            <w:tcBorders>
              <w:left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960" w:type="dxa"/>
            <w:vAlign w:val="bottom"/>
            <w:tcBorders>
              <w:right w:val="single" w:sz="8" w:color="auto"/>
            </w:tcBorders>
            <w:vMerge w:val="continue"/>
          </w:tcPr>
          <w:p>
            <w:pPr>
              <w:spacing w:after="0"/>
              <w:rPr>
                <w:sz w:val="6"/>
                <w:szCs w:val="6"/>
                <w:color w:val="auto"/>
              </w:rPr>
            </w:pPr>
          </w:p>
        </w:tc>
        <w:tc>
          <w:tcPr>
            <w:tcW w:w="4040" w:type="dxa"/>
            <w:vAlign w:val="bottom"/>
            <w:tcBorders>
              <w:right w:val="single" w:sz="8" w:color="auto"/>
            </w:tcBorders>
            <w:vMerge w:val="restart"/>
          </w:tcPr>
          <w:p>
            <w:pPr>
              <w:ind w:left="120"/>
              <w:spacing w:after="0" w:line="182" w:lineRule="exact"/>
              <w:rPr>
                <w:sz w:val="20"/>
                <w:szCs w:val="20"/>
                <w:color w:val="auto"/>
              </w:rPr>
            </w:pPr>
            <w:r>
              <w:rPr>
                <w:rFonts w:ascii="Arial" w:cs="Arial" w:eastAsia="Arial" w:hAnsi="Arial"/>
                <w:sz w:val="18"/>
                <w:szCs w:val="18"/>
                <w:color w:val="auto"/>
                <w:w w:val="95"/>
              </w:rPr>
              <w:t>Close 90% of issues within timelines established in</w:t>
            </w:r>
          </w:p>
        </w:tc>
        <w:tc>
          <w:tcPr>
            <w:tcW w:w="1000" w:type="dxa"/>
            <w:vAlign w:val="bottom"/>
            <w:tcBorders>
              <w:right w:val="single" w:sz="8" w:color="auto"/>
            </w:tcBorders>
            <w:vMerge w:val="restart"/>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108"/>
        </w:trPr>
        <w:tc>
          <w:tcPr>
            <w:tcW w:w="680" w:type="dxa"/>
            <w:vAlign w:val="bottom"/>
            <w:tcBorders>
              <w:left w:val="single" w:sz="8" w:color="auto"/>
              <w:right w:val="single" w:sz="8" w:color="auto"/>
            </w:tcBorders>
          </w:tcPr>
          <w:p>
            <w:pPr>
              <w:spacing w:after="0"/>
              <w:rPr>
                <w:sz w:val="9"/>
                <w:szCs w:val="9"/>
                <w:color w:val="auto"/>
              </w:rPr>
            </w:pPr>
          </w:p>
        </w:tc>
        <w:tc>
          <w:tcPr>
            <w:tcW w:w="560" w:type="dxa"/>
            <w:vAlign w:val="bottom"/>
            <w:vMerge w:val="restart"/>
          </w:tcPr>
          <w:p>
            <w:pPr>
              <w:ind w:left="40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231F20"/>
              </w:rPr>
              <w:t>Participate in Issue Working Group (IWG).</w:t>
            </w:r>
          </w:p>
        </w:tc>
        <w:tc>
          <w:tcPr>
            <w:tcW w:w="40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80" w:type="dxa"/>
            <w:vAlign w:val="bottom"/>
            <w:tcBorders>
              <w:left w:val="single" w:sz="8" w:color="auto"/>
              <w:right w:val="single" w:sz="8" w:color="auto"/>
            </w:tcBorders>
          </w:tcPr>
          <w:p>
            <w:pPr>
              <w:spacing w:after="0"/>
              <w:rPr>
                <w:sz w:val="10"/>
                <w:szCs w:val="10"/>
                <w:color w:val="auto"/>
              </w:rPr>
            </w:pPr>
          </w:p>
        </w:tc>
        <w:tc>
          <w:tcPr>
            <w:tcW w:w="560" w:type="dxa"/>
            <w:vAlign w:val="bottom"/>
            <w:vMerge w:val="continue"/>
          </w:tcPr>
          <w:p>
            <w:pPr>
              <w:spacing w:after="0"/>
              <w:rPr>
                <w:sz w:val="10"/>
                <w:szCs w:val="10"/>
                <w:color w:val="auto"/>
              </w:rPr>
            </w:pPr>
          </w:p>
        </w:tc>
        <w:tc>
          <w:tcPr>
            <w:tcW w:w="4960" w:type="dxa"/>
            <w:vAlign w:val="bottom"/>
            <w:tcBorders>
              <w:right w:val="single" w:sz="8" w:color="auto"/>
            </w:tcBorders>
            <w:vMerge w:val="continue"/>
          </w:tcPr>
          <w:p>
            <w:pPr>
              <w:spacing w:after="0"/>
              <w:rPr>
                <w:sz w:val="10"/>
                <w:szCs w:val="10"/>
                <w:color w:val="auto"/>
              </w:rPr>
            </w:pPr>
          </w:p>
        </w:tc>
        <w:tc>
          <w:tcPr>
            <w:tcW w:w="4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the Issues Management Procedure.</w:t>
            </w: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right w:val="single" w:sz="8" w:color="auto"/>
            </w:tcBorders>
          </w:tcPr>
          <w:p>
            <w:pPr>
              <w:spacing w:after="0"/>
              <w:rPr>
                <w:sz w:val="8"/>
                <w:szCs w:val="8"/>
                <w:color w:val="auto"/>
              </w:rPr>
            </w:pPr>
          </w:p>
        </w:tc>
        <w:tc>
          <w:tcPr>
            <w:tcW w:w="560" w:type="dxa"/>
            <w:vAlign w:val="bottom"/>
            <w:vMerge w:val="restart"/>
          </w:tcPr>
          <w:p>
            <w:pPr>
              <w:ind w:left="40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231F20"/>
                <w:w w:val="98"/>
              </w:rPr>
              <w:t>Escalate remediation roadblocks and service standard non-</w:t>
            </w:r>
          </w:p>
        </w:tc>
        <w:tc>
          <w:tcPr>
            <w:tcW w:w="4040" w:type="dxa"/>
            <w:vAlign w:val="bottom"/>
            <w:tcBorders>
              <w:bottom w:val="single" w:sz="8" w:color="auto"/>
              <w:right w:val="single" w:sz="8" w:color="auto"/>
            </w:tcBorders>
            <w:vMerge w:val="continue"/>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80" w:type="dxa"/>
            <w:vAlign w:val="bottom"/>
            <w:tcBorders>
              <w:left w:val="single" w:sz="8" w:color="auto"/>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960" w:type="dxa"/>
            <w:vAlign w:val="bottom"/>
            <w:tcBorders>
              <w:right w:val="single" w:sz="8" w:color="auto"/>
            </w:tcBorders>
            <w:vMerge w:val="continue"/>
          </w:tcPr>
          <w:p>
            <w:pPr>
              <w:spacing w:after="0"/>
              <w:rPr>
                <w:sz w:val="14"/>
                <w:szCs w:val="14"/>
                <w:color w:val="auto"/>
              </w:rPr>
            </w:pPr>
          </w:p>
        </w:tc>
        <w:tc>
          <w:tcPr>
            <w:tcW w:w="4040" w:type="dxa"/>
            <w:vAlign w:val="bottom"/>
            <w:tcBorders>
              <w:right w:val="single" w:sz="8" w:color="auto"/>
            </w:tcBorders>
          </w:tcPr>
          <w:p>
            <w:pPr>
              <w:ind w:left="120"/>
              <w:spacing w:after="0" w:line="168" w:lineRule="exact"/>
              <w:rPr>
                <w:sz w:val="20"/>
                <w:szCs w:val="20"/>
                <w:color w:val="auto"/>
              </w:rPr>
            </w:pPr>
            <w:r>
              <w:rPr>
                <w:rFonts w:ascii="Arial" w:cs="Arial" w:eastAsia="Arial" w:hAnsi="Arial"/>
                <w:sz w:val="18"/>
                <w:szCs w:val="18"/>
                <w:color w:val="auto"/>
                <w:w w:val="93"/>
              </w:rPr>
              <w:t>Execute restitution for 90% of issues OR two or less</w:t>
            </w:r>
          </w:p>
        </w:tc>
        <w:tc>
          <w:tcPr>
            <w:tcW w:w="10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231F20"/>
              </w:rPr>
              <w:t>adherence to Risk Advisors and IWG, as needed.</w:t>
            </w:r>
          </w:p>
        </w:tc>
        <w:tc>
          <w:tcPr>
            <w:tcW w:w="4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issues if 90% is not achieved within timelines</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tcBorders>
              <w:right w:val="single" w:sz="8" w:color="auto"/>
            </w:tcBorders>
          </w:tcPr>
          <w:p>
            <w:pPr>
              <w:spacing w:after="0"/>
              <w:rPr>
                <w:sz w:val="20"/>
                <w:szCs w:val="20"/>
                <w:color w:val="auto"/>
              </w:rPr>
            </w:pPr>
          </w:p>
        </w:tc>
        <w:tc>
          <w:tcPr>
            <w:tcW w:w="4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established in the Issues Management Procedure.</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0" w:type="dxa"/>
            <w:vAlign w:val="bottom"/>
            <w:tcBorders>
              <w:left w:val="single" w:sz="8" w:color="auto"/>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89"/>
              </w:rPr>
              <w:t>14</w:t>
            </w:r>
          </w:p>
        </w:tc>
        <w:tc>
          <w:tcPr>
            <w:tcW w:w="55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b w:val="1"/>
                <w:bCs w:val="1"/>
                <w:color w:val="231F20"/>
              </w:rPr>
              <w:t>Model Development</w:t>
            </w:r>
          </w:p>
        </w:tc>
        <w:tc>
          <w:tcPr>
            <w:tcW w:w="40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Provide model monitoring report monthly.</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231F20"/>
                <w:w w:val="97"/>
              </w:rPr>
              <w:t>Perform model development activities, including new models</w:t>
            </w:r>
          </w:p>
        </w:tc>
        <w:tc>
          <w:tcPr>
            <w:tcW w:w="404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rPr>
              <w:t>and changes to existing models as needed.</w:t>
            </w:r>
          </w:p>
        </w:tc>
        <w:tc>
          <w:tcPr>
            <w:tcW w:w="40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231F20"/>
                <w:w w:val="92"/>
              </w:rPr>
              <w:t>Complete model monitoring as scheduled, and provide reporting</w:t>
            </w:r>
          </w:p>
        </w:tc>
        <w:tc>
          <w:tcPr>
            <w:tcW w:w="404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9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231F20"/>
              </w:rPr>
              <w:t>of monitoring results.</w:t>
            </w:r>
          </w:p>
        </w:tc>
        <w:tc>
          <w:tcPr>
            <w:tcW w:w="404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80" w:type="dxa"/>
            <w:vAlign w:val="bottom"/>
            <w:tcBorders>
              <w:left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4960" w:type="dxa"/>
            <w:vAlign w:val="bottom"/>
            <w:tcBorders>
              <w:right w:val="single" w:sz="8" w:color="auto"/>
            </w:tcBorders>
            <w:vMerge w:val="continue"/>
          </w:tcPr>
          <w:p>
            <w:pPr>
              <w:spacing w:after="0"/>
              <w:rPr>
                <w:sz w:val="4"/>
                <w:szCs w:val="4"/>
                <w:color w:val="auto"/>
              </w:rPr>
            </w:pPr>
          </w:p>
        </w:tc>
        <w:tc>
          <w:tcPr>
            <w:tcW w:w="4040" w:type="dxa"/>
            <w:vAlign w:val="bottom"/>
            <w:tcBorders>
              <w:right w:val="single" w:sz="8" w:color="auto"/>
            </w:tcBorders>
            <w:vMerge w:val="restart"/>
          </w:tcPr>
          <w:p>
            <w:pPr>
              <w:ind w:left="80"/>
              <w:spacing w:after="0" w:line="182" w:lineRule="exact"/>
              <w:rPr>
                <w:sz w:val="20"/>
                <w:szCs w:val="20"/>
                <w:color w:val="auto"/>
              </w:rPr>
            </w:pPr>
            <w:r>
              <w:rPr>
                <w:rFonts w:ascii="Arial" w:cs="Arial" w:eastAsia="Arial" w:hAnsi="Arial"/>
                <w:sz w:val="18"/>
                <w:szCs w:val="18"/>
                <w:color w:val="231F20"/>
              </w:rPr>
              <w:t>Follow internal model governance</w:t>
            </w:r>
          </w:p>
        </w:tc>
        <w:tc>
          <w:tcPr>
            <w:tcW w:w="1000" w:type="dxa"/>
            <w:vAlign w:val="bottom"/>
            <w:tcBorders>
              <w:right w:val="single" w:sz="8" w:color="auto"/>
            </w:tcBorders>
            <w:vMerge w:val="restart"/>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560" w:type="dxa"/>
            <w:vAlign w:val="bottom"/>
            <w:vMerge w:val="restart"/>
          </w:tcPr>
          <w:p>
            <w:pPr>
              <w:ind w:left="38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231F20"/>
              </w:rPr>
              <w:t>Follow Model Governance Framework.</w:t>
            </w:r>
          </w:p>
        </w:tc>
        <w:tc>
          <w:tcPr>
            <w:tcW w:w="40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right w:val="single" w:sz="8" w:color="auto"/>
            </w:tcBorders>
          </w:tcPr>
          <w:p>
            <w:pPr>
              <w:spacing w:after="0"/>
              <w:rPr>
                <w:sz w:val="8"/>
                <w:szCs w:val="8"/>
                <w:color w:val="auto"/>
              </w:rPr>
            </w:pPr>
          </w:p>
        </w:tc>
        <w:tc>
          <w:tcPr>
            <w:tcW w:w="560" w:type="dxa"/>
            <w:vAlign w:val="bottom"/>
            <w:vMerge w:val="continue"/>
          </w:tcPr>
          <w:p>
            <w:pPr>
              <w:spacing w:after="0"/>
              <w:rPr>
                <w:sz w:val="8"/>
                <w:szCs w:val="8"/>
                <w:color w:val="auto"/>
              </w:rPr>
            </w:pPr>
          </w:p>
        </w:tc>
        <w:tc>
          <w:tcPr>
            <w:tcW w:w="4960" w:type="dxa"/>
            <w:vAlign w:val="bottom"/>
            <w:tcBorders>
              <w:right w:val="single" w:sz="8" w:color="auto"/>
            </w:tcBorders>
            <w:vMerge w:val="continue"/>
          </w:tcPr>
          <w:p>
            <w:pPr>
              <w:spacing w:after="0"/>
              <w:rPr>
                <w:sz w:val="8"/>
                <w:szCs w:val="8"/>
                <w:color w:val="auto"/>
              </w:rPr>
            </w:pPr>
          </w:p>
        </w:tc>
        <w:tc>
          <w:tcPr>
            <w:tcW w:w="4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231F20"/>
              </w:rPr>
              <w:t>framework.</w:t>
            </w: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560" w:type="dxa"/>
            <w:vAlign w:val="bottom"/>
            <w:vMerge w:val="restart"/>
          </w:tcPr>
          <w:p>
            <w:pPr>
              <w:ind w:left="38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231F20"/>
              </w:rPr>
              <w:t>Maintain all required documentation.</w:t>
            </w:r>
          </w:p>
        </w:tc>
        <w:tc>
          <w:tcPr>
            <w:tcW w:w="40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tcBorders>
              <w:left w:val="single" w:sz="8" w:color="auto"/>
              <w:right w:val="single" w:sz="8" w:color="auto"/>
            </w:tcBorders>
          </w:tcPr>
          <w:p>
            <w:pPr>
              <w:spacing w:after="0"/>
              <w:rPr>
                <w:sz w:val="10"/>
                <w:szCs w:val="10"/>
                <w:color w:val="auto"/>
              </w:rPr>
            </w:pPr>
          </w:p>
        </w:tc>
        <w:tc>
          <w:tcPr>
            <w:tcW w:w="560" w:type="dxa"/>
            <w:vAlign w:val="bottom"/>
            <w:vMerge w:val="continue"/>
          </w:tcPr>
          <w:p>
            <w:pPr>
              <w:spacing w:after="0"/>
              <w:rPr>
                <w:sz w:val="10"/>
                <w:szCs w:val="10"/>
                <w:color w:val="auto"/>
              </w:rPr>
            </w:pPr>
          </w:p>
        </w:tc>
        <w:tc>
          <w:tcPr>
            <w:tcW w:w="4960" w:type="dxa"/>
            <w:vAlign w:val="bottom"/>
            <w:tcBorders>
              <w:right w:val="single" w:sz="8" w:color="auto"/>
            </w:tcBorders>
            <w:vMerge w:val="continue"/>
          </w:tcPr>
          <w:p>
            <w:pPr>
              <w:spacing w:after="0"/>
              <w:rPr>
                <w:sz w:val="10"/>
                <w:szCs w:val="10"/>
                <w:color w:val="auto"/>
              </w:rPr>
            </w:pPr>
          </w:p>
        </w:tc>
        <w:tc>
          <w:tcPr>
            <w:tcW w:w="40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68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231F20"/>
              </w:rPr>
              <w:t>Other FLOD model services, as requested.</w:t>
            </w:r>
          </w:p>
        </w:tc>
        <w:tc>
          <w:tcPr>
            <w:tcW w:w="404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 w:type="dxa"/>
            <w:vAlign w:val="bottom"/>
            <w:tcBorders>
              <w:left w:val="single" w:sz="8" w:color="auto"/>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gridSpan w:val="2"/>
          </w:tcPr>
          <w:p>
            <w:pPr>
              <w:spacing w:after="0"/>
              <w:rPr>
                <w:sz w:val="21"/>
                <w:szCs w:val="21"/>
                <w:color w:val="auto"/>
              </w:rPr>
            </w:pPr>
          </w:p>
        </w:tc>
        <w:tc>
          <w:tcPr>
            <w:tcW w:w="40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89"/>
              </w:rPr>
              <w:t>15</w:t>
            </w:r>
          </w:p>
        </w:tc>
        <w:tc>
          <w:tcPr>
            <w:tcW w:w="55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b w:val="1"/>
                <w:bCs w:val="1"/>
                <w:color w:val="231F20"/>
              </w:rPr>
              <w:t>Project Management</w:t>
            </w:r>
          </w:p>
        </w:tc>
        <w:tc>
          <w:tcPr>
            <w:tcW w:w="40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Report effort spent against approved scope of</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520" w:type="dxa"/>
            <w:vAlign w:val="bottom"/>
            <w:tcBorders>
              <w:right w:val="single" w:sz="8" w:color="auto"/>
            </w:tcBorders>
            <w:gridSpan w:val="2"/>
          </w:tcPr>
          <w:p>
            <w:pPr>
              <w:ind w:left="300"/>
              <w:spacing w:after="0" w:line="202" w:lineRule="exact"/>
              <w:rPr>
                <w:sz w:val="20"/>
                <w:szCs w:val="20"/>
                <w:color w:val="auto"/>
              </w:rPr>
            </w:pPr>
            <w:r>
              <w:rPr>
                <w:rFonts w:ascii="Arial" w:cs="Arial" w:eastAsia="Arial" w:hAnsi="Arial"/>
                <w:sz w:val="18"/>
                <w:szCs w:val="18"/>
                <w:color w:val="231F20"/>
              </w:rPr>
              <w:t>Provide project management services as requested.</w:t>
            </w:r>
          </w:p>
        </w:tc>
        <w:tc>
          <w:tcPr>
            <w:tcW w:w="40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all work requests and broad impacting</w:t>
            </w: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4960" w:type="dxa"/>
            <w:vAlign w:val="bottom"/>
            <w:tcBorders>
              <w:right w:val="single" w:sz="8" w:color="auto"/>
            </w:tcBorders>
          </w:tcPr>
          <w:p>
            <w:pPr>
              <w:spacing w:after="0"/>
              <w:rPr>
                <w:sz w:val="17"/>
                <w:szCs w:val="17"/>
                <w:color w:val="auto"/>
              </w:rPr>
            </w:pPr>
          </w:p>
        </w:tc>
        <w:tc>
          <w:tcPr>
            <w:tcW w:w="40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projects by the 15th calendar day following</w:t>
            </w: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tcBorders>
              <w:right w:val="single" w:sz="8" w:color="auto"/>
            </w:tcBorders>
          </w:tcPr>
          <w:p>
            <w:pPr>
              <w:spacing w:after="0"/>
              <w:rPr>
                <w:sz w:val="20"/>
                <w:szCs w:val="20"/>
                <w:color w:val="auto"/>
              </w:rPr>
            </w:pP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the completion of the prior month review.</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0" w:type="dxa"/>
            <w:vAlign w:val="bottom"/>
            <w:tcBorders>
              <w:left w:val="single" w:sz="8" w:color="auto"/>
              <w:bottom w:val="single" w:sz="8" w:color="auto"/>
              <w:right w:val="single" w:sz="8" w:color="auto"/>
            </w:tcBorders>
          </w:tcPr>
          <w:p>
            <w:pPr>
              <w:spacing w:after="0"/>
              <w:rPr>
                <w:sz w:val="16"/>
                <w:szCs w:val="16"/>
                <w:color w:val="auto"/>
              </w:rPr>
            </w:pPr>
          </w:p>
        </w:tc>
        <w:tc>
          <w:tcPr>
            <w:tcW w:w="5520" w:type="dxa"/>
            <w:vAlign w:val="bottom"/>
            <w:tcBorders>
              <w:bottom w:val="single" w:sz="8" w:color="auto"/>
              <w:right w:val="single" w:sz="8" w:color="auto"/>
            </w:tcBorders>
            <w:gridSpan w:val="2"/>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89"/>
              </w:rPr>
              <w:t>16</w:t>
            </w:r>
          </w:p>
        </w:tc>
        <w:tc>
          <w:tcPr>
            <w:tcW w:w="55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b w:val="1"/>
                <w:bCs w:val="1"/>
                <w:color w:val="231F20"/>
              </w:rPr>
              <w:t>Quality Management</w:t>
            </w:r>
          </w:p>
        </w:tc>
        <w:tc>
          <w:tcPr>
            <w:tcW w:w="40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Complete monthly call monitoring and</w:t>
            </w:r>
          </w:p>
        </w:tc>
        <w:tc>
          <w:tcPr>
            <w:tcW w:w="10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231F20"/>
                <w:w w:val="99"/>
              </w:rPr>
              <w:t>Q</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6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49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231F20"/>
                <w:w w:val="91"/>
              </w:rPr>
              <w:t>Design and/or execute testing of business processes, using a risk</w:t>
            </w:r>
          </w:p>
        </w:tc>
        <w:tc>
          <w:tcPr>
            <w:tcW w:w="40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quality testing on time as set forth in the</w:t>
            </w: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80" w:type="dxa"/>
            <w:vAlign w:val="bottom"/>
            <w:tcBorders>
              <w:left w:val="single" w:sz="8" w:color="auto"/>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4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based approach.</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Quality Testing Schedule.</w:t>
            </w: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4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rPr>
              <w:t>Utilize a framework to drive visibility and accountability of</w:t>
            </w:r>
          </w:p>
        </w:tc>
        <w:tc>
          <w:tcPr>
            <w:tcW w:w="40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496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231F20"/>
                <w:w w:val="91"/>
              </w:rPr>
              <w:t>business owners to drive improvement in quality controls including</w:t>
            </w:r>
          </w:p>
        </w:tc>
        <w:tc>
          <w:tcPr>
            <w:tcW w:w="404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Complete operational quality testing as set</w:t>
            </w:r>
          </w:p>
        </w:tc>
        <w:tc>
          <w:tcPr>
            <w:tcW w:w="10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231F20"/>
                <w:w w:val="99"/>
              </w:rPr>
              <w:t>Q</w:t>
            </w:r>
          </w:p>
        </w:tc>
        <w:tc>
          <w:tcPr>
            <w:tcW w:w="0" w:type="dxa"/>
            <w:vAlign w:val="bottom"/>
          </w:tcPr>
          <w:p>
            <w:pPr>
              <w:spacing w:after="0"/>
              <w:rPr>
                <w:sz w:val="1"/>
                <w:szCs w:val="1"/>
                <w:color w:val="auto"/>
              </w:rPr>
            </w:pPr>
          </w:p>
        </w:tc>
      </w:tr>
      <w:tr>
        <w:trPr>
          <w:trHeight w:val="270"/>
        </w:trPr>
        <w:tc>
          <w:tcPr>
            <w:tcW w:w="680" w:type="dxa"/>
            <w:vAlign w:val="bottom"/>
            <w:tcBorders>
              <w:left w:val="single" w:sz="8" w:color="auto"/>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4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resolving issues and/or gaps.</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forth in the Quality Testing Schedule.</w:t>
            </w:r>
          </w:p>
        </w:tc>
        <w:tc>
          <w:tcPr>
            <w:tcW w:w="1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960" w:type="dxa"/>
            <w:vAlign w:val="bottom"/>
            <w:tcBorders>
              <w:bottom w:val="single" w:sz="8" w:color="auto"/>
              <w:right w:val="single" w:sz="8" w:color="auto"/>
            </w:tcBorders>
          </w:tcPr>
          <w:p>
            <w:pPr>
              <w:spacing w:after="0"/>
              <w:rPr>
                <w:sz w:val="17"/>
                <w:szCs w:val="17"/>
                <w:color w:val="auto"/>
              </w:rPr>
            </w:pPr>
          </w:p>
        </w:tc>
        <w:tc>
          <w:tcPr>
            <w:tcW w:w="40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162"/>
        </w:trPr>
        <w:tc>
          <w:tcPr>
            <w:tcW w:w="680" w:type="dxa"/>
            <w:vAlign w:val="bottom"/>
            <w:tcBorders>
              <w:top w:val="single" w:sz="8" w:color="auto"/>
              <w:left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500" w:type="dxa"/>
            <w:vAlign w:val="bottom"/>
            <w:tcBorders>
              <w:top w:val="single" w:sz="8" w:color="auto"/>
            </w:tcBorders>
            <w:shd w:val="clear" w:color="auto" w:fill="D6D1B7"/>
          </w:tcPr>
          <w:p>
            <w:pPr>
              <w:spacing w:after="0"/>
              <w:rPr>
                <w:sz w:val="14"/>
                <w:szCs w:val="14"/>
                <w:color w:val="auto"/>
              </w:rPr>
            </w:pPr>
          </w:p>
        </w:tc>
        <w:tc>
          <w:tcPr>
            <w:tcW w:w="5120" w:type="dxa"/>
            <w:vAlign w:val="bottom"/>
            <w:tcBorders>
              <w:top w:val="single" w:sz="8" w:color="auto"/>
              <w:right w:val="single" w:sz="8" w:color="auto"/>
            </w:tcBorders>
            <w:shd w:val="clear" w:color="auto" w:fill="D6D1B7"/>
          </w:tcPr>
          <w:p>
            <w:pPr>
              <w:ind w:left="2060"/>
              <w:spacing w:after="0" w:line="162" w:lineRule="exact"/>
              <w:rPr>
                <w:sz w:val="20"/>
                <w:szCs w:val="20"/>
                <w:color w:val="auto"/>
              </w:rPr>
            </w:pPr>
            <w:r>
              <w:rPr>
                <w:rFonts w:ascii="Arial" w:cs="Arial" w:eastAsia="Arial" w:hAnsi="Arial"/>
                <w:sz w:val="18"/>
                <w:szCs w:val="18"/>
                <w:b w:val="1"/>
                <w:bCs w:val="1"/>
                <w:color w:val="231F20"/>
              </w:rPr>
              <w:t>Service</w:t>
            </w:r>
          </w:p>
        </w:tc>
        <w:tc>
          <w:tcPr>
            <w:tcW w:w="4060" w:type="dxa"/>
            <w:vAlign w:val="bottom"/>
            <w:tcBorders>
              <w:top w:val="single" w:sz="8" w:color="auto"/>
              <w:right w:val="single" w:sz="8" w:color="auto"/>
            </w:tcBorders>
            <w:shd w:val="clear" w:color="auto" w:fill="D6D1B7"/>
          </w:tcPr>
          <w:p>
            <w:pPr>
              <w:ind w:left="112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880" w:type="dxa"/>
            <w:vAlign w:val="bottom"/>
            <w:tcBorders>
              <w:top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1"/>
              </w:rPr>
              <w:t>Measuring</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500" w:type="dxa"/>
            <w:vAlign w:val="bottom"/>
            <w:tcBorders>
              <w:bottom w:val="single" w:sz="8" w:color="auto"/>
            </w:tcBorders>
            <w:shd w:val="clear" w:color="auto" w:fill="D6D1B7"/>
          </w:tcPr>
          <w:p>
            <w:pPr>
              <w:spacing w:after="0"/>
              <w:rPr>
                <w:sz w:val="17"/>
                <w:szCs w:val="17"/>
                <w:color w:val="auto"/>
              </w:rPr>
            </w:pPr>
          </w:p>
        </w:tc>
        <w:tc>
          <w:tcPr>
            <w:tcW w:w="5120" w:type="dxa"/>
            <w:vAlign w:val="bottom"/>
            <w:tcBorders>
              <w:bottom w:val="single" w:sz="8" w:color="auto"/>
              <w:right w:val="single" w:sz="8" w:color="auto"/>
            </w:tcBorders>
            <w:shd w:val="clear" w:color="auto" w:fill="D6D1B7"/>
          </w:tcPr>
          <w:p>
            <w:pPr>
              <w:spacing w:after="0"/>
              <w:rPr>
                <w:sz w:val="17"/>
                <w:szCs w:val="17"/>
                <w:color w:val="auto"/>
              </w:rPr>
            </w:pPr>
          </w:p>
        </w:tc>
        <w:tc>
          <w:tcPr>
            <w:tcW w:w="4060" w:type="dxa"/>
            <w:vAlign w:val="bottom"/>
            <w:tcBorders>
              <w:bottom w:val="single" w:sz="8" w:color="auto"/>
              <w:right w:val="single" w:sz="8" w:color="auto"/>
            </w:tcBorders>
            <w:shd w:val="clear" w:color="auto" w:fill="D6D1B7"/>
          </w:tcPr>
          <w:p>
            <w:pPr>
              <w:spacing w:after="0"/>
              <w:rPr>
                <w:sz w:val="17"/>
                <w:szCs w:val="17"/>
                <w:color w:val="auto"/>
              </w:rPr>
            </w:pPr>
          </w:p>
        </w:tc>
        <w:tc>
          <w:tcPr>
            <w:tcW w:w="880" w:type="dxa"/>
            <w:vAlign w:val="bottom"/>
            <w:tcBorders>
              <w:bottom w:val="single" w:sz="8" w:color="auto"/>
              <w:right w:val="single" w:sz="8" w:color="auto"/>
            </w:tcBorders>
            <w:shd w:val="clear" w:color="auto" w:fill="D6D1B7"/>
          </w:tcPr>
          <w:p>
            <w:pPr>
              <w:jc w:val="center"/>
              <w:spacing w:after="0" w:line="202" w:lineRule="exact"/>
              <w:rPr>
                <w:sz w:val="20"/>
                <w:szCs w:val="20"/>
                <w:color w:val="auto"/>
              </w:rPr>
            </w:pPr>
            <w:r>
              <w:rPr>
                <w:rFonts w:ascii="Arial" w:cs="Arial" w:eastAsia="Arial" w:hAnsi="Arial"/>
                <w:sz w:val="18"/>
                <w:szCs w:val="18"/>
                <w:b w:val="1"/>
                <w:bCs w:val="1"/>
                <w:color w:val="231F20"/>
                <w:w w:val="89"/>
              </w:rPr>
              <w:t>Period</w:t>
            </w:r>
          </w:p>
        </w:tc>
        <w:tc>
          <w:tcPr>
            <w:tcW w:w="0" w:type="dxa"/>
            <w:vAlign w:val="bottom"/>
          </w:tcPr>
          <w:p>
            <w:pPr>
              <w:spacing w:after="0"/>
              <w:rPr>
                <w:sz w:val="1"/>
                <w:szCs w:val="1"/>
                <w:color w:val="auto"/>
              </w:rPr>
            </w:pPr>
          </w:p>
        </w:tc>
      </w:tr>
      <w:tr>
        <w:trPr>
          <w:trHeight w:val="182"/>
        </w:trPr>
        <w:tc>
          <w:tcPr>
            <w:tcW w:w="6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89"/>
              </w:rPr>
              <w:t>17</w:t>
            </w:r>
          </w:p>
        </w:tc>
        <w:tc>
          <w:tcPr>
            <w:tcW w:w="56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b w:val="1"/>
                <w:bCs w:val="1"/>
                <w:color w:val="231F20"/>
              </w:rPr>
              <w:t>Security</w:t>
            </w:r>
          </w:p>
        </w:tc>
        <w:tc>
          <w:tcPr>
            <w:tcW w:w="40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231F20"/>
              </w:rPr>
              <w:t>Provide physical security in accordance with the</w:t>
            </w:r>
          </w:p>
        </w:tc>
        <w:tc>
          <w:tcPr>
            <w:tcW w:w="8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0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51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231F20"/>
                <w:w w:val="97"/>
              </w:rPr>
              <w:t>Determine Critical Infrastructures and provide physical security</w:t>
            </w:r>
          </w:p>
        </w:tc>
        <w:tc>
          <w:tcPr>
            <w:tcW w:w="4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231F20"/>
              </w:rPr>
              <w:t>ECC Approved Physical Security Policy and</w:t>
            </w: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0" w:type="dxa"/>
            <w:vAlign w:val="bottom"/>
            <w:tcBorders>
              <w:left w:val="single" w:sz="8" w:color="auto"/>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231F20"/>
                <w:w w:val="99"/>
              </w:rPr>
              <w:t>staffing based on the critically of the physical location and how</w:t>
            </w:r>
          </w:p>
        </w:tc>
        <w:tc>
          <w:tcPr>
            <w:tcW w:w="4060" w:type="dxa"/>
            <w:vAlign w:val="bottom"/>
            <w:tcBorders>
              <w:bottom w:val="single" w:sz="8" w:color="auto"/>
              <w:right w:val="single" w:sz="8" w:color="auto"/>
            </w:tcBorders>
          </w:tcPr>
          <w:p>
            <w:pPr>
              <w:ind w:left="100"/>
              <w:spacing w:after="0" w:line="197" w:lineRule="exact"/>
              <w:rPr>
                <w:sz w:val="20"/>
                <w:szCs w:val="20"/>
                <w:color w:val="auto"/>
              </w:rPr>
            </w:pPr>
            <w:r>
              <w:rPr>
                <w:rFonts w:ascii="Arial" w:cs="Arial" w:eastAsia="Arial" w:hAnsi="Arial"/>
                <w:sz w:val="18"/>
                <w:szCs w:val="18"/>
                <w:color w:val="231F20"/>
              </w:rPr>
              <w:t>Standards.</w:t>
            </w: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120" w:type="dxa"/>
            <w:vAlign w:val="bottom"/>
            <w:tcBorders>
              <w:right w:val="single" w:sz="8" w:color="auto"/>
            </w:tcBorders>
          </w:tcPr>
          <w:p>
            <w:pPr>
              <w:ind w:left="140"/>
              <w:spacing w:after="0" w:line="196" w:lineRule="exact"/>
              <w:rPr>
                <w:sz w:val="20"/>
                <w:szCs w:val="20"/>
                <w:color w:val="auto"/>
              </w:rPr>
            </w:pPr>
            <w:r>
              <w:rPr>
                <w:rFonts w:ascii="Arial" w:cs="Arial" w:eastAsia="Arial" w:hAnsi="Arial"/>
                <w:sz w:val="18"/>
                <w:szCs w:val="18"/>
                <w:color w:val="231F20"/>
              </w:rPr>
              <w:t>immobility would impact business operations.</w:t>
            </w:r>
          </w:p>
        </w:tc>
        <w:tc>
          <w:tcPr>
            <w:tcW w:w="406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231F20"/>
              </w:rPr>
              <w:t>Video surveillance is maintained at 91 days for</w:t>
            </w:r>
          </w:p>
        </w:tc>
        <w:tc>
          <w:tcPr>
            <w:tcW w:w="8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231F20"/>
                <w:w w:val="93"/>
              </w:rPr>
              <w:t>M</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00" w:type="dxa"/>
            <w:vAlign w:val="bottom"/>
          </w:tcPr>
          <w:p>
            <w:pPr>
              <w:ind w:left="320"/>
              <w:spacing w:after="0" w:line="202" w:lineRule="exact"/>
              <w:rPr>
                <w:sz w:val="20"/>
                <w:szCs w:val="20"/>
                <w:color w:val="auto"/>
              </w:rPr>
            </w:pPr>
            <w:r>
              <w:rPr>
                <w:rFonts w:ascii="Arial" w:cs="Arial" w:eastAsia="Arial" w:hAnsi="Arial"/>
                <w:sz w:val="18"/>
                <w:szCs w:val="18"/>
                <w:color w:val="231F20"/>
              </w:rPr>
              <w:t>•</w:t>
            </w:r>
          </w:p>
        </w:tc>
        <w:tc>
          <w:tcPr>
            <w:tcW w:w="51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231F20"/>
              </w:rPr>
              <w:t>Provide video surveillance security for Critical Computing</w:t>
            </w:r>
          </w:p>
        </w:tc>
        <w:tc>
          <w:tcPr>
            <w:tcW w:w="4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Critical Computing Centers (e.g., Data Centers,</w:t>
            </w: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80" w:type="dxa"/>
            <w:vAlign w:val="bottom"/>
            <w:tcBorders>
              <w:left w:val="single" w:sz="8" w:color="auto"/>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231F20"/>
              </w:rPr>
              <w:t>Centers and general office space.</w:t>
            </w:r>
          </w:p>
        </w:tc>
        <w:tc>
          <w:tcPr>
            <w:tcW w:w="406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231F20"/>
                <w:w w:val="95"/>
              </w:rPr>
              <w:t>Critical Server Rooms, etc.) and 31 days for general</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120" w:type="dxa"/>
            <w:vAlign w:val="bottom"/>
            <w:tcBorders>
              <w:right w:val="single" w:sz="8" w:color="auto"/>
            </w:tcBorders>
            <w:vMerge w:val="continue"/>
          </w:tcPr>
          <w:p>
            <w:pPr>
              <w:spacing w:after="0"/>
              <w:rPr>
                <w:sz w:val="8"/>
                <w:szCs w:val="8"/>
                <w:color w:val="auto"/>
              </w:rPr>
            </w:pPr>
          </w:p>
        </w:tc>
        <w:tc>
          <w:tcPr>
            <w:tcW w:w="4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231F20"/>
              </w:rPr>
              <w:t>office space.</w:t>
            </w: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80" w:type="dxa"/>
            <w:vAlign w:val="bottom"/>
            <w:tcBorders>
              <w:left w:val="single" w:sz="8" w:color="auto"/>
              <w:right w:val="single" w:sz="8" w:color="auto"/>
            </w:tcBorders>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51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231F20"/>
              </w:rPr>
              <w:t>Create and disseminate safety policies and procedures.</w:t>
            </w:r>
          </w:p>
        </w:tc>
        <w:tc>
          <w:tcPr>
            <w:tcW w:w="406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80" w:type="dxa"/>
            <w:vAlign w:val="bottom"/>
            <w:tcBorders>
              <w:left w:val="single" w:sz="8" w:color="auto"/>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5120" w:type="dxa"/>
            <w:vAlign w:val="bottom"/>
            <w:tcBorders>
              <w:right w:val="single" w:sz="8" w:color="auto"/>
            </w:tcBorders>
            <w:vMerge w:val="continue"/>
          </w:tcPr>
          <w:p>
            <w:pPr>
              <w:spacing w:after="0"/>
              <w:rPr>
                <w:sz w:val="7"/>
                <w:szCs w:val="7"/>
                <w:color w:val="auto"/>
              </w:rPr>
            </w:pPr>
          </w:p>
        </w:tc>
        <w:tc>
          <w:tcPr>
            <w:tcW w:w="4060" w:type="dxa"/>
            <w:vAlign w:val="bottom"/>
            <w:tcBorders>
              <w:right w:val="single" w:sz="8" w:color="auto"/>
            </w:tcBorders>
            <w:vMerge w:val="restart"/>
          </w:tcPr>
          <w:p>
            <w:pPr>
              <w:ind w:left="80"/>
              <w:spacing w:after="0" w:line="182" w:lineRule="exact"/>
              <w:rPr>
                <w:sz w:val="20"/>
                <w:szCs w:val="20"/>
                <w:color w:val="auto"/>
              </w:rPr>
            </w:pPr>
            <w:r>
              <w:rPr>
                <w:rFonts w:ascii="Arial" w:cs="Arial" w:eastAsia="Arial" w:hAnsi="Arial"/>
                <w:sz w:val="18"/>
                <w:szCs w:val="18"/>
                <w:color w:val="231F20"/>
              </w:rPr>
              <w:t>Distribute physical security policy annually to</w:t>
            </w:r>
          </w:p>
        </w:tc>
        <w:tc>
          <w:tcPr>
            <w:tcW w:w="880" w:type="dxa"/>
            <w:vAlign w:val="bottom"/>
            <w:tcBorders>
              <w:right w:val="single" w:sz="8" w:color="auto"/>
            </w:tcBorders>
            <w:vMerge w:val="restart"/>
          </w:tcPr>
          <w:p>
            <w:pPr>
              <w:jc w:val="center"/>
              <w:spacing w:after="0" w:line="182" w:lineRule="exact"/>
              <w:rPr>
                <w:sz w:val="20"/>
                <w:szCs w:val="20"/>
                <w:color w:val="auto"/>
              </w:rPr>
            </w:pPr>
            <w:r>
              <w:rPr>
                <w:rFonts w:ascii="Arial" w:cs="Arial" w:eastAsia="Arial" w:hAnsi="Arial"/>
                <w:sz w:val="18"/>
                <w:szCs w:val="18"/>
                <w:color w:val="231F20"/>
              </w:rPr>
              <w:t>A</w:t>
            </w:r>
          </w:p>
        </w:tc>
        <w:tc>
          <w:tcPr>
            <w:tcW w:w="0" w:type="dxa"/>
            <w:vAlign w:val="bottom"/>
          </w:tcPr>
          <w:p>
            <w:pPr>
              <w:spacing w:after="0"/>
              <w:rPr>
                <w:sz w:val="1"/>
                <w:szCs w:val="1"/>
                <w:color w:val="auto"/>
              </w:rPr>
            </w:pPr>
          </w:p>
        </w:tc>
      </w:tr>
      <w:tr>
        <w:trPr>
          <w:trHeight w:val="94"/>
        </w:trPr>
        <w:tc>
          <w:tcPr>
            <w:tcW w:w="680" w:type="dxa"/>
            <w:vAlign w:val="bottom"/>
            <w:tcBorders>
              <w:left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12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associates.</w:t>
            </w: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18</w:t>
            </w:r>
          </w:p>
        </w:tc>
        <w:tc>
          <w:tcPr>
            <w:tcW w:w="5620" w:type="dxa"/>
            <w:vAlign w:val="bottom"/>
            <w:tcBorders>
              <w:right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Vendor Management Services</w:t>
            </w:r>
          </w:p>
        </w:tc>
        <w:tc>
          <w:tcPr>
            <w:tcW w:w="40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231F20"/>
              </w:rPr>
              <w:t>General Global Sourcing/VRM Requests:</w:t>
            </w:r>
          </w:p>
        </w:tc>
        <w:tc>
          <w:tcPr>
            <w:tcW w:w="8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5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51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Complete Vendor Engagement due diligence reviews and assign</w:t>
            </w:r>
          </w:p>
        </w:tc>
        <w:tc>
          <w:tcPr>
            <w:tcW w:w="4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231F20"/>
              </w:rPr>
              <w:t>Respond to general inquiries within two business</w:t>
            </w: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0" w:type="dxa"/>
            <w:vAlign w:val="bottom"/>
            <w:tcBorders>
              <w:left w:val="single" w:sz="8" w:color="auto"/>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risk tiering.</w:t>
            </w:r>
          </w:p>
        </w:tc>
        <w:tc>
          <w:tcPr>
            <w:tcW w:w="4060" w:type="dxa"/>
            <w:vAlign w:val="bottom"/>
            <w:tcBorders>
              <w:bottom w:val="single" w:sz="8" w:color="auto"/>
              <w:right w:val="single" w:sz="8" w:color="auto"/>
            </w:tcBorders>
          </w:tcPr>
          <w:p>
            <w:pPr>
              <w:ind w:left="100"/>
              <w:spacing w:after="0" w:line="197" w:lineRule="exact"/>
              <w:rPr>
                <w:sz w:val="20"/>
                <w:szCs w:val="20"/>
                <w:color w:val="auto"/>
              </w:rPr>
            </w:pPr>
            <w:r>
              <w:rPr>
                <w:rFonts w:ascii="Arial" w:cs="Arial" w:eastAsia="Arial" w:hAnsi="Arial"/>
                <w:sz w:val="18"/>
                <w:szCs w:val="18"/>
                <w:color w:val="231F20"/>
              </w:rPr>
              <w:t>days.</w:t>
            </w: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00" w:type="dxa"/>
            <w:vAlign w:val="bottom"/>
          </w:tcPr>
          <w:p>
            <w:pPr>
              <w:ind w:left="320"/>
              <w:spacing w:after="0" w:line="196" w:lineRule="exact"/>
              <w:rPr>
                <w:sz w:val="20"/>
                <w:szCs w:val="20"/>
                <w:color w:val="auto"/>
              </w:rPr>
            </w:pPr>
            <w:r>
              <w:rPr>
                <w:rFonts w:ascii="Arial" w:cs="Arial" w:eastAsia="Arial" w:hAnsi="Arial"/>
                <w:sz w:val="18"/>
                <w:szCs w:val="18"/>
                <w:color w:val="auto"/>
              </w:rPr>
              <w:t>•</w:t>
            </w:r>
          </w:p>
        </w:tc>
        <w:tc>
          <w:tcPr>
            <w:tcW w:w="5120" w:type="dxa"/>
            <w:vAlign w:val="bottom"/>
            <w:tcBorders>
              <w:right w:val="single" w:sz="8" w:color="auto"/>
            </w:tcBorders>
          </w:tcPr>
          <w:p>
            <w:pPr>
              <w:ind w:left="200"/>
              <w:spacing w:after="0" w:line="196" w:lineRule="exact"/>
              <w:rPr>
                <w:sz w:val="20"/>
                <w:szCs w:val="20"/>
                <w:color w:val="auto"/>
              </w:rPr>
            </w:pPr>
            <w:r>
              <w:rPr>
                <w:rFonts w:ascii="Arial" w:cs="Arial" w:eastAsia="Arial" w:hAnsi="Arial"/>
                <w:sz w:val="18"/>
                <w:szCs w:val="18"/>
                <w:color w:val="auto"/>
                <w:w w:val="98"/>
              </w:rPr>
              <w:t>Timely and accurately completion of all scorecard metric entry</w:t>
            </w:r>
          </w:p>
        </w:tc>
        <w:tc>
          <w:tcPr>
            <w:tcW w:w="40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231F20"/>
              </w:rPr>
              <w:t>Notify VRM of any material vendor incidents as</w:t>
            </w:r>
          </w:p>
        </w:tc>
        <w:tc>
          <w:tcPr>
            <w:tcW w:w="8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188"/>
        </w:trPr>
        <w:tc>
          <w:tcPr>
            <w:tcW w:w="680" w:type="dxa"/>
            <w:vAlign w:val="bottom"/>
            <w:tcBorders>
              <w:left w:val="single" w:sz="8" w:color="auto"/>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and reporting.</w:t>
            </w:r>
          </w:p>
        </w:tc>
        <w:tc>
          <w:tcPr>
            <w:tcW w:w="40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231F20"/>
              </w:rPr>
              <w:t>defined in the Global Sourcing and Vendor</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Borders>
              <w:left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120" w:type="dxa"/>
            <w:vAlign w:val="bottom"/>
            <w:tcBorders>
              <w:right w:val="single" w:sz="8" w:color="auto"/>
            </w:tcBorders>
            <w:vMerge w:val="continue"/>
          </w:tcPr>
          <w:p>
            <w:pPr>
              <w:spacing w:after="0"/>
              <w:rPr>
                <w:sz w:val="8"/>
                <w:szCs w:val="8"/>
                <w:color w:val="auto"/>
              </w:rPr>
            </w:pPr>
          </w:p>
        </w:tc>
        <w:tc>
          <w:tcPr>
            <w:tcW w:w="406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231F20"/>
                <w:w w:val="89"/>
              </w:rPr>
              <w:t>Management procedures once know, within 2 business</w:t>
            </w: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right w:val="single" w:sz="8" w:color="auto"/>
            </w:tcBorders>
          </w:tcPr>
          <w:p>
            <w:pPr>
              <w:spacing w:after="0"/>
              <w:rPr>
                <w:sz w:val="9"/>
                <w:szCs w:val="9"/>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51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Complete annual reviews and oversight of all vendor</w:t>
            </w:r>
          </w:p>
        </w:tc>
        <w:tc>
          <w:tcPr>
            <w:tcW w:w="40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80" w:type="dxa"/>
            <w:vAlign w:val="bottom"/>
            <w:tcBorders>
              <w:left w:val="single" w:sz="8" w:color="auto"/>
              <w:right w:val="single" w:sz="8" w:color="auto"/>
            </w:tcBorders>
          </w:tcPr>
          <w:p>
            <w:pPr>
              <w:spacing w:after="0"/>
              <w:rPr>
                <w:sz w:val="10"/>
                <w:szCs w:val="10"/>
                <w:color w:val="auto"/>
              </w:rPr>
            </w:pPr>
          </w:p>
        </w:tc>
        <w:tc>
          <w:tcPr>
            <w:tcW w:w="500" w:type="dxa"/>
            <w:vAlign w:val="bottom"/>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4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231F20"/>
              </w:rPr>
              <w:t>days.</w:t>
            </w: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engagements as required by policy and procedures.</w:t>
            </w:r>
          </w:p>
        </w:tc>
        <w:tc>
          <w:tcPr>
            <w:tcW w:w="4060" w:type="dxa"/>
            <w:vAlign w:val="bottom"/>
            <w:tcBorders>
              <w:bottom w:val="single" w:sz="8" w:color="auto"/>
              <w:right w:val="single" w:sz="8" w:color="auto"/>
            </w:tcBorders>
            <w:vMerge w:val="continue"/>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80" w:type="dxa"/>
            <w:vAlign w:val="bottom"/>
            <w:tcBorders>
              <w:left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4060" w:type="dxa"/>
            <w:vAlign w:val="bottom"/>
            <w:tcBorders>
              <w:right w:val="single" w:sz="8" w:color="auto"/>
            </w:tcBorders>
            <w:vMerge w:val="restart"/>
          </w:tcPr>
          <w:p>
            <w:pPr>
              <w:ind w:left="100"/>
              <w:spacing w:after="0" w:line="182" w:lineRule="exact"/>
              <w:rPr>
                <w:sz w:val="20"/>
                <w:szCs w:val="20"/>
                <w:color w:val="auto"/>
              </w:rPr>
            </w:pPr>
            <w:r>
              <w:rPr>
                <w:rFonts w:ascii="Arial" w:cs="Arial" w:eastAsia="Arial" w:hAnsi="Arial"/>
                <w:sz w:val="18"/>
                <w:szCs w:val="18"/>
                <w:color w:val="231F20"/>
              </w:rPr>
              <w:t>No less than 90% of the Quarterly and Annual</w:t>
            </w:r>
          </w:p>
        </w:tc>
        <w:tc>
          <w:tcPr>
            <w:tcW w:w="880" w:type="dxa"/>
            <w:vAlign w:val="bottom"/>
            <w:tcBorders>
              <w:right w:val="single" w:sz="8" w:color="auto"/>
            </w:tcBorders>
            <w:vMerge w:val="restart"/>
          </w:tcPr>
          <w:p>
            <w:pPr>
              <w:jc w:val="center"/>
              <w:spacing w:after="0" w:line="182" w:lineRule="exact"/>
              <w:rPr>
                <w:sz w:val="20"/>
                <w:szCs w:val="20"/>
                <w:color w:val="auto"/>
              </w:rPr>
            </w:pPr>
            <w:r>
              <w:rPr>
                <w:rFonts w:ascii="Arial" w:cs="Arial" w:eastAsia="Arial" w:hAnsi="Arial"/>
                <w:sz w:val="18"/>
                <w:szCs w:val="18"/>
                <w:color w:val="231F20"/>
                <w:w w:val="99"/>
              </w:rPr>
              <w:t>Q</w:t>
            </w:r>
          </w:p>
        </w:tc>
        <w:tc>
          <w:tcPr>
            <w:tcW w:w="0" w:type="dxa"/>
            <w:vAlign w:val="bottom"/>
          </w:tcPr>
          <w:p>
            <w:pPr>
              <w:spacing w:after="0"/>
              <w:rPr>
                <w:sz w:val="1"/>
                <w:szCs w:val="1"/>
                <w:color w:val="auto"/>
              </w:rPr>
            </w:pPr>
          </w:p>
        </w:tc>
      </w:tr>
      <w:tr>
        <w:trPr>
          <w:trHeight w:val="68"/>
        </w:trPr>
        <w:tc>
          <w:tcPr>
            <w:tcW w:w="680" w:type="dxa"/>
            <w:vAlign w:val="bottom"/>
            <w:tcBorders>
              <w:left w:val="single" w:sz="8" w:color="auto"/>
              <w:right w:val="single" w:sz="8" w:color="auto"/>
            </w:tcBorders>
          </w:tcPr>
          <w:p>
            <w:pPr>
              <w:spacing w:after="0"/>
              <w:rPr>
                <w:sz w:val="5"/>
                <w:szCs w:val="5"/>
                <w:color w:val="auto"/>
              </w:rPr>
            </w:pPr>
          </w:p>
        </w:tc>
        <w:tc>
          <w:tcPr>
            <w:tcW w:w="5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51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5"/>
              </w:rPr>
              <w:t>Report critical and material vendor incidents as defined by policy</w:t>
            </w:r>
          </w:p>
        </w:tc>
        <w:tc>
          <w:tcPr>
            <w:tcW w:w="406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80" w:type="dxa"/>
            <w:vAlign w:val="bottom"/>
            <w:tcBorders>
              <w:left w:val="single" w:sz="8" w:color="auto"/>
              <w:right w:val="single" w:sz="8" w:color="auto"/>
            </w:tcBorders>
          </w:tcPr>
          <w:p>
            <w:pPr>
              <w:spacing w:after="0"/>
              <w:rPr>
                <w:sz w:val="16"/>
                <w:szCs w:val="16"/>
                <w:color w:val="auto"/>
              </w:rPr>
            </w:pPr>
          </w:p>
        </w:tc>
        <w:tc>
          <w:tcPr>
            <w:tcW w:w="500" w:type="dxa"/>
            <w:vAlign w:val="bottom"/>
            <w:vMerge w:val="continue"/>
          </w:tcPr>
          <w:p>
            <w:pPr>
              <w:spacing w:after="0"/>
              <w:rPr>
                <w:sz w:val="16"/>
                <w:szCs w:val="16"/>
                <w:color w:val="auto"/>
              </w:rPr>
            </w:pPr>
          </w:p>
        </w:tc>
        <w:tc>
          <w:tcPr>
            <w:tcW w:w="5120" w:type="dxa"/>
            <w:vAlign w:val="bottom"/>
            <w:tcBorders>
              <w:right w:val="single" w:sz="8" w:color="auto"/>
            </w:tcBorders>
            <w:vMerge w:val="continue"/>
          </w:tcPr>
          <w:p>
            <w:pPr>
              <w:spacing w:after="0"/>
              <w:rPr>
                <w:sz w:val="16"/>
                <w:szCs w:val="16"/>
                <w:color w:val="auto"/>
              </w:rPr>
            </w:pPr>
          </w:p>
        </w:tc>
        <w:tc>
          <w:tcPr>
            <w:tcW w:w="40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231F20"/>
                <w:w w:val="91"/>
              </w:rPr>
              <w:t>Business Reviews will be completed within 30 days of</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80" w:type="dxa"/>
            <w:vAlign w:val="bottom"/>
            <w:tcBorders>
              <w:left w:val="single" w:sz="8" w:color="auto"/>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and procedures.</w:t>
            </w:r>
          </w:p>
        </w:tc>
        <w:tc>
          <w:tcPr>
            <w:tcW w:w="4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231F20"/>
              </w:rPr>
              <w:t>the timeframes established in the Supplier</w:t>
            </w: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51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Support all regulatory exams and provide documentation as</w:t>
            </w:r>
          </w:p>
        </w:tc>
        <w:tc>
          <w:tcPr>
            <w:tcW w:w="4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231F20"/>
              </w:rPr>
              <w:t>Relationship Management Procedures.</w:t>
            </w: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512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requested by the Banks.</w:t>
            </w:r>
          </w:p>
        </w:tc>
        <w:tc>
          <w:tcPr>
            <w:tcW w:w="40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231F20"/>
                <w:w w:val="97"/>
              </w:rPr>
              <w:t>Regulatory Requests: Fulfill all regulatory requests</w:t>
            </w:r>
          </w:p>
        </w:tc>
        <w:tc>
          <w:tcPr>
            <w:tcW w:w="8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231F20"/>
                <w:w w:val="98"/>
              </w:rPr>
              <w:t>Ad Hoc</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231F20"/>
                <w:w w:val="99"/>
              </w:rPr>
              <w:t>within two business day unless otherwise agreed.</w:t>
            </w: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u w:val="single" w:color="auto"/>
          <w:color w:val="auto"/>
        </w:rPr>
        <w:t>SECTION II: SERVICES AND PERFORMANCE STANDARDS APPLICABLE TO REVOLVING CREDIT CARDS</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00" w:type="dxa"/>
            <w:vAlign w:val="bottom"/>
            <w:tcBorders>
              <w:top w:val="single" w:sz="8" w:color="auto"/>
              <w:left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620" w:type="dxa"/>
            <w:vAlign w:val="bottom"/>
            <w:tcBorders>
              <w:top w:val="single" w:sz="8" w:color="auto"/>
            </w:tcBorders>
            <w:shd w:val="clear" w:color="auto" w:fill="D6D1B7"/>
          </w:tcPr>
          <w:p>
            <w:pPr>
              <w:spacing w:after="0"/>
              <w:rPr>
                <w:sz w:val="14"/>
                <w:szCs w:val="14"/>
                <w:color w:val="auto"/>
              </w:rPr>
            </w:pPr>
          </w:p>
        </w:tc>
        <w:tc>
          <w:tcPr>
            <w:tcW w:w="4980" w:type="dxa"/>
            <w:vAlign w:val="bottom"/>
            <w:tcBorders>
              <w:top w:val="single" w:sz="8" w:color="auto"/>
              <w:right w:val="single" w:sz="8" w:color="auto"/>
            </w:tcBorders>
            <w:shd w:val="clear" w:color="auto" w:fill="D6D1B7"/>
          </w:tcPr>
          <w:p>
            <w:pPr>
              <w:ind w:left="1940"/>
              <w:spacing w:after="0" w:line="162" w:lineRule="exact"/>
              <w:rPr>
                <w:sz w:val="20"/>
                <w:szCs w:val="20"/>
                <w:color w:val="auto"/>
              </w:rPr>
            </w:pPr>
            <w:r>
              <w:rPr>
                <w:rFonts w:ascii="Arial" w:cs="Arial" w:eastAsia="Arial" w:hAnsi="Arial"/>
                <w:sz w:val="18"/>
                <w:szCs w:val="18"/>
                <w:b w:val="1"/>
                <w:bCs w:val="1"/>
                <w:color w:val="231F20"/>
              </w:rPr>
              <w:t>Service</w:t>
            </w:r>
          </w:p>
        </w:tc>
        <w:tc>
          <w:tcPr>
            <w:tcW w:w="3900" w:type="dxa"/>
            <w:vAlign w:val="bottom"/>
            <w:tcBorders>
              <w:top w:val="single" w:sz="8" w:color="auto"/>
              <w:right w:val="single" w:sz="8" w:color="auto"/>
            </w:tcBorders>
            <w:shd w:val="clear" w:color="auto" w:fill="D6D1B7"/>
          </w:tcPr>
          <w:p>
            <w:pPr>
              <w:ind w:left="96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140" w:type="dxa"/>
            <w:vAlign w:val="bottom"/>
            <w:tcBorders>
              <w:top w:val="single" w:sz="8" w:color="auto"/>
              <w:right w:val="single" w:sz="8" w:color="auto"/>
            </w:tcBorders>
            <w:shd w:val="clear" w:color="auto" w:fill="D6D1B7"/>
          </w:tcPr>
          <w:p>
            <w:pPr>
              <w:ind w:left="200"/>
              <w:spacing w:after="0" w:line="162" w:lineRule="exact"/>
              <w:rPr>
                <w:sz w:val="20"/>
                <w:szCs w:val="20"/>
                <w:color w:val="auto"/>
              </w:rPr>
            </w:pPr>
            <w:r>
              <w:rPr>
                <w:rFonts w:ascii="Arial" w:cs="Arial" w:eastAsia="Arial" w:hAnsi="Arial"/>
                <w:sz w:val="18"/>
                <w:szCs w:val="18"/>
                <w:b w:val="1"/>
                <w:bCs w:val="1"/>
                <w:color w:val="231F20"/>
                <w:w w:val="99"/>
              </w:rPr>
              <w:t>Measuring</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620" w:type="dxa"/>
            <w:vAlign w:val="bottom"/>
            <w:tcBorders>
              <w:bottom w:val="single" w:sz="8" w:color="auto"/>
            </w:tcBorders>
            <w:shd w:val="clear" w:color="auto" w:fill="D6D1B7"/>
          </w:tcPr>
          <w:p>
            <w:pPr>
              <w:spacing w:after="0"/>
              <w:rPr>
                <w:sz w:val="17"/>
                <w:szCs w:val="17"/>
                <w:color w:val="auto"/>
              </w:rPr>
            </w:pPr>
          </w:p>
        </w:tc>
        <w:tc>
          <w:tcPr>
            <w:tcW w:w="4980" w:type="dxa"/>
            <w:vAlign w:val="bottom"/>
            <w:tcBorders>
              <w:bottom w:val="single" w:sz="8" w:color="auto"/>
              <w:right w:val="single" w:sz="8" w:color="auto"/>
            </w:tcBorders>
            <w:shd w:val="clear" w:color="auto" w:fill="D6D1B7"/>
          </w:tcPr>
          <w:p>
            <w:pPr>
              <w:spacing w:after="0"/>
              <w:rPr>
                <w:sz w:val="17"/>
                <w:szCs w:val="17"/>
                <w:color w:val="auto"/>
              </w:rPr>
            </w:pPr>
          </w:p>
        </w:tc>
        <w:tc>
          <w:tcPr>
            <w:tcW w:w="3900" w:type="dxa"/>
            <w:vAlign w:val="bottom"/>
            <w:tcBorders>
              <w:bottom w:val="single" w:sz="8" w:color="auto"/>
              <w:right w:val="single" w:sz="8" w:color="auto"/>
            </w:tcBorders>
            <w:shd w:val="clear" w:color="auto" w:fill="D6D1B7"/>
          </w:tcPr>
          <w:p>
            <w:pPr>
              <w:spacing w:after="0"/>
              <w:rPr>
                <w:sz w:val="17"/>
                <w:szCs w:val="17"/>
                <w:color w:val="auto"/>
              </w:rPr>
            </w:pPr>
          </w:p>
        </w:tc>
        <w:tc>
          <w:tcPr>
            <w:tcW w:w="1140" w:type="dxa"/>
            <w:vAlign w:val="bottom"/>
            <w:tcBorders>
              <w:bottom w:val="single" w:sz="8" w:color="auto"/>
              <w:right w:val="single" w:sz="8" w:color="auto"/>
            </w:tcBorders>
            <w:shd w:val="clear" w:color="auto" w:fill="D6D1B7"/>
          </w:tcPr>
          <w:p>
            <w:pPr>
              <w:ind w:left="360"/>
              <w:spacing w:after="0" w:line="202" w:lineRule="exact"/>
              <w:rPr>
                <w:sz w:val="20"/>
                <w:szCs w:val="20"/>
                <w:color w:val="auto"/>
              </w:rPr>
            </w:pPr>
            <w:r>
              <w:rPr>
                <w:rFonts w:ascii="Arial" w:cs="Arial" w:eastAsia="Arial" w:hAnsi="Arial"/>
                <w:sz w:val="18"/>
                <w:szCs w:val="18"/>
                <w:b w:val="1"/>
                <w:bCs w:val="1"/>
                <w:color w:val="231F20"/>
              </w:rPr>
              <w:t>Period</w:t>
            </w: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231F20"/>
                <w:w w:val="99"/>
              </w:rPr>
              <w:t>1</w:t>
            </w:r>
          </w:p>
        </w:tc>
        <w:tc>
          <w:tcPr>
            <w:tcW w:w="5600" w:type="dxa"/>
            <w:vAlign w:val="bottom"/>
            <w:tcBorders>
              <w:right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Card Embossing and Issuance</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w w:val="95"/>
              </w:rPr>
              <w:t>Issue 95% of new and replacement cards within 5</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49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w w:val="90"/>
              </w:rPr>
              <w:t>Provide end to end processing of card embossing requests, either</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business days. (This includes New cards,</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00" w:type="dxa"/>
            <w:vAlign w:val="bottom"/>
            <w:tcBorders>
              <w:left w:val="single" w:sz="8" w:color="auto"/>
              <w:bottom w:val="single" w:sz="8" w:color="auto"/>
              <w:right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from initial account set-up or for replacement cards.</w:t>
            </w: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Replacement cards, Lost / Stolen cards).</w:t>
            </w: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231F20"/>
                <w:w w:val="99"/>
              </w:rPr>
              <w:t>2</w:t>
            </w:r>
          </w:p>
        </w:tc>
        <w:tc>
          <w:tcPr>
            <w:tcW w:w="5600" w:type="dxa"/>
            <w:vAlign w:val="bottom"/>
            <w:tcBorders>
              <w:right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231F20"/>
              </w:rPr>
              <w:t>Collections</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6"/>
              </w:rPr>
              <w:t>A same-day collection attempt will be made on at</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ind w:left="420"/>
              <w:spacing w:after="0" w:line="202" w:lineRule="exact"/>
              <w:rPr>
                <w:sz w:val="20"/>
                <w:szCs w:val="20"/>
                <w:color w:val="auto"/>
              </w:rPr>
            </w:pPr>
            <w:r>
              <w:rPr>
                <w:rFonts w:ascii="Arial" w:cs="Arial" w:eastAsia="Arial" w:hAnsi="Arial"/>
                <w:sz w:val="18"/>
                <w:szCs w:val="18"/>
                <w:color w:val="231F20"/>
              </w:rPr>
              <w:t>•</w:t>
            </w:r>
          </w:p>
        </w:tc>
        <w:tc>
          <w:tcPr>
            <w:tcW w:w="49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231F20"/>
                <w:w w:val="95"/>
              </w:rPr>
              <w:t>Manage collection of overdue accounts from initial delinquency</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least 85% (monthly average) of the collection</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9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231F20"/>
              </w:rPr>
              <w:t>through charge-off.</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w w:val="95"/>
              </w:rPr>
              <w:t>accounts that are downloaded daily into the dialer</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spacing w:after="0"/>
              <w:rPr>
                <w:sz w:val="16"/>
                <w:szCs w:val="16"/>
                <w:color w:val="auto"/>
              </w:rPr>
            </w:pPr>
          </w:p>
        </w:tc>
        <w:tc>
          <w:tcPr>
            <w:tcW w:w="620" w:type="dxa"/>
            <w:vAlign w:val="bottom"/>
          </w:tcPr>
          <w:p>
            <w:pPr>
              <w:ind w:left="420"/>
              <w:spacing w:after="0" w:line="182" w:lineRule="exact"/>
              <w:rPr>
                <w:sz w:val="20"/>
                <w:szCs w:val="20"/>
                <w:color w:val="auto"/>
              </w:rPr>
            </w:pPr>
            <w:r>
              <w:rPr>
                <w:rFonts w:ascii="Arial" w:cs="Arial" w:eastAsia="Arial" w:hAnsi="Arial"/>
                <w:sz w:val="18"/>
                <w:szCs w:val="18"/>
                <w:color w:val="231F20"/>
              </w:rPr>
              <w:t>•</w:t>
            </w:r>
          </w:p>
        </w:tc>
        <w:tc>
          <w:tcPr>
            <w:tcW w:w="49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231F20"/>
              </w:rPr>
              <w:t>Manage special account processing including bankruptcy,</w:t>
            </w:r>
          </w:p>
        </w:tc>
        <w:tc>
          <w:tcPr>
            <w:tcW w:w="3900" w:type="dxa"/>
            <w:vAlign w:val="bottom"/>
            <w:tcBorders>
              <w:bottom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231F20"/>
              </w:rPr>
              <w:t>categories.</w:t>
            </w: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231F20"/>
              </w:rPr>
              <w:t>deceased &amp; settlement offers.</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8"/>
              </w:rPr>
              <w:t>Conduct one annual on-site audit/review of each</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94"/>
        </w:trPr>
        <w:tc>
          <w:tcPr>
            <w:tcW w:w="600" w:type="dxa"/>
            <w:vAlign w:val="bottom"/>
            <w:tcBorders>
              <w:left w:val="single" w:sz="8" w:color="auto"/>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980" w:type="dxa"/>
            <w:vAlign w:val="bottom"/>
            <w:tcBorders>
              <w:right w:val="single" w:sz="8" w:color="auto"/>
            </w:tcBorders>
            <w:vMerge w:val="continue"/>
          </w:tcPr>
          <w:p>
            <w:pPr>
              <w:spacing w:after="0"/>
              <w:rPr>
                <w:sz w:val="8"/>
                <w:szCs w:val="8"/>
                <w:color w:val="auto"/>
              </w:rPr>
            </w:pPr>
          </w:p>
        </w:tc>
        <w:tc>
          <w:tcPr>
            <w:tcW w:w="390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rPr>
              <w:t>agency that is either receiving active account</w:t>
            </w:r>
          </w:p>
        </w:tc>
        <w:tc>
          <w:tcPr>
            <w:tcW w:w="1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tcPr>
          <w:p>
            <w:pPr>
              <w:spacing w:after="0"/>
              <w:rPr>
                <w:sz w:val="9"/>
                <w:szCs w:val="9"/>
                <w:color w:val="auto"/>
              </w:rPr>
            </w:pPr>
          </w:p>
        </w:tc>
        <w:tc>
          <w:tcPr>
            <w:tcW w:w="620" w:type="dxa"/>
            <w:vAlign w:val="bottom"/>
            <w:vMerge w:val="restart"/>
          </w:tcPr>
          <w:p>
            <w:pPr>
              <w:ind w:left="420"/>
              <w:spacing w:after="0"/>
              <w:rPr>
                <w:sz w:val="20"/>
                <w:szCs w:val="20"/>
                <w:color w:val="auto"/>
              </w:rPr>
            </w:pPr>
            <w:r>
              <w:rPr>
                <w:rFonts w:ascii="Arial" w:cs="Arial" w:eastAsia="Arial" w:hAnsi="Arial"/>
                <w:sz w:val="18"/>
                <w:szCs w:val="18"/>
                <w:color w:val="231F20"/>
              </w:rPr>
              <w:t>•</w:t>
            </w:r>
          </w:p>
        </w:tc>
        <w:tc>
          <w:tcPr>
            <w:tcW w:w="4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231F20"/>
                <w:w w:val="99"/>
              </w:rPr>
              <w:t>Manage collection agencies and law firms retained to collect</w:t>
            </w:r>
          </w:p>
        </w:tc>
        <w:tc>
          <w:tcPr>
            <w:tcW w:w="39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20" w:type="dxa"/>
            <w:vAlign w:val="bottom"/>
            <w:vMerge w:val="continue"/>
          </w:tcPr>
          <w:p>
            <w:pPr>
              <w:spacing w:after="0"/>
              <w:rPr>
                <w:sz w:val="10"/>
                <w:szCs w:val="10"/>
                <w:color w:val="auto"/>
              </w:rPr>
            </w:pPr>
          </w:p>
        </w:tc>
        <w:tc>
          <w:tcPr>
            <w:tcW w:w="4980" w:type="dxa"/>
            <w:vAlign w:val="bottom"/>
            <w:tcBorders>
              <w:right w:val="single" w:sz="8" w:color="auto"/>
            </w:tcBorders>
            <w:vMerge w:val="continue"/>
          </w:tcPr>
          <w:p>
            <w:pPr>
              <w:spacing w:after="0"/>
              <w:rPr>
                <w:sz w:val="10"/>
                <w:szCs w:val="10"/>
                <w:color w:val="auto"/>
              </w:rPr>
            </w:pPr>
          </w:p>
        </w:tc>
        <w:tc>
          <w:tcPr>
            <w:tcW w:w="390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rPr>
              <w:t>placements and/or has a minimum of $1M in</w:t>
            </w: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right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4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231F20"/>
              </w:rPr>
              <w:t>overdue accounts.</w:t>
            </w:r>
          </w:p>
        </w:tc>
        <w:tc>
          <w:tcPr>
            <w:tcW w:w="390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980" w:type="dxa"/>
            <w:vAlign w:val="bottom"/>
            <w:tcBorders>
              <w:right w:val="single" w:sz="8" w:color="auto"/>
            </w:tcBorders>
            <w:vMerge w:val="continue"/>
          </w:tcPr>
          <w:p>
            <w:pPr>
              <w:spacing w:after="0"/>
              <w:rPr>
                <w:sz w:val="15"/>
                <w:szCs w:val="15"/>
                <w:color w:val="auto"/>
              </w:rPr>
            </w:pPr>
          </w:p>
        </w:tc>
        <w:tc>
          <w:tcPr>
            <w:tcW w:w="390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231F20"/>
              </w:rPr>
              <w:t>Bank account balances.</w:t>
            </w: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00" w:type="dxa"/>
            <w:vAlign w:val="bottom"/>
            <w:tcBorders>
              <w:left w:val="single" w:sz="8" w:color="auto"/>
              <w:right w:val="single" w:sz="8" w:color="auto"/>
            </w:tcBorders>
          </w:tcPr>
          <w:p>
            <w:pPr>
              <w:spacing w:after="0"/>
              <w:rPr>
                <w:sz w:val="3"/>
                <w:szCs w:val="3"/>
                <w:color w:val="auto"/>
              </w:rPr>
            </w:pPr>
          </w:p>
        </w:tc>
        <w:tc>
          <w:tcPr>
            <w:tcW w:w="62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4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231F20"/>
              </w:rPr>
              <w:t>Manage sales of accounts to debt buyers.</w:t>
            </w:r>
          </w:p>
        </w:tc>
        <w:tc>
          <w:tcPr>
            <w:tcW w:w="39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4980" w:type="dxa"/>
            <w:vAlign w:val="bottom"/>
            <w:tcBorders>
              <w:right w:val="single" w:sz="8" w:color="auto"/>
            </w:tcBorders>
            <w:vMerge w:val="continue"/>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Conduct remote monitoring quarterly of each</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Q</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agency engaged in the collection of Bank</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accounts.</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9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5"/>
              </w:rPr>
              <w:t>Provide account level details to Bank on accounts</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to be sold as part of the debt-sales program to</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w w:val="95"/>
              </w:rPr>
              <w:t>ensure appropriate exclusions have been applied.</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9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5"/>
              </w:rPr>
              <w:t>Staff early stage collections at a maximum ratio of</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1FTE to 2000 early stage collection accounts.</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9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7"/>
              </w:rPr>
              <w:t>Staff late stage collections at a maximum ratio of</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1FTE to 1000 late stage collection accounts.</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99"/>
              </w:rPr>
              <w:t>3</w:t>
            </w:r>
          </w:p>
        </w:tc>
        <w:tc>
          <w:tcPr>
            <w:tcW w:w="560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Contract Commitment Oversight</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7"/>
              </w:rPr>
              <w:t>Brand SLA failures shall not enable a contractual</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8"/>
              </w:rPr>
              <w:t>Holistic measurement of reputational risk, financial impact and high</w:t>
            </w: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breach that enables a termination right.</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5600" w:type="dxa"/>
            <w:vAlign w:val="bottom"/>
            <w:tcBorders>
              <w:right w:val="single" w:sz="8" w:color="auto"/>
            </w:tcBorders>
            <w:gridSpan w:val="2"/>
          </w:tcPr>
          <w:p>
            <w:pPr>
              <w:ind w:left="320"/>
              <w:spacing w:after="0" w:line="182" w:lineRule="exact"/>
              <w:rPr>
                <w:sz w:val="20"/>
                <w:szCs w:val="20"/>
                <w:color w:val="auto"/>
              </w:rPr>
            </w:pPr>
            <w:r>
              <w:rPr>
                <w:rFonts w:ascii="Arial" w:cs="Arial" w:eastAsia="Arial" w:hAnsi="Arial"/>
                <w:sz w:val="18"/>
                <w:szCs w:val="18"/>
                <w:color w:val="auto"/>
              </w:rPr>
              <w:t>value brand performance of Banks Brand Partners.</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8"/>
              </w:rPr>
              <w:t>Brand SLA achievement measures not less than</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95% achievement in a given month.</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99"/>
              </w:rPr>
              <w:t>4</w:t>
            </w:r>
          </w:p>
        </w:tc>
        <w:tc>
          <w:tcPr>
            <w:tcW w:w="5600" w:type="dxa"/>
            <w:vAlign w:val="bottom"/>
            <w:tcBorders>
              <w:right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Credit Management</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Produce and adhere to an “underwriting review</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498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Provide services related to all aspects of the Bank’s credit</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calendar”, which will include an analysis of new</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management  programs  including  underwriting  and  account</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account underwriting and recommendations for</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2"/>
              </w:rPr>
              <w:t>management to ensure processes to identify, evaluate, mitigate,</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8"/>
              </w:rPr>
              <w:t>clients with A/R &gt; $150MM and any requests for</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 monitor credit risk will adhere to the Bank’s established</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specific clients as needed.</w:t>
            </w: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8"/>
              </w:rPr>
              <w:t>credit risk appetite, tolerances and limits, and comply with all</w:t>
            </w:r>
          </w:p>
        </w:tc>
        <w:tc>
          <w:tcPr>
            <w:tcW w:w="3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2"/>
              </w:rPr>
              <w:t>applicable Bank credit risk management policies, strategies, and</w:t>
            </w:r>
          </w:p>
        </w:tc>
        <w:tc>
          <w:tcPr>
            <w:tcW w:w="3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related laws and regulations.</w:t>
            </w:r>
          </w:p>
        </w:tc>
        <w:tc>
          <w:tcPr>
            <w:tcW w:w="3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auto"/>
              <w:right w:val="single" w:sz="8" w:color="auto"/>
            </w:tcBorders>
          </w:tcPr>
          <w:p>
            <w:pPr>
              <w:spacing w:after="0"/>
              <w:rPr>
                <w:sz w:val="4"/>
                <w:szCs w:val="4"/>
                <w:color w:val="auto"/>
              </w:rPr>
            </w:pPr>
          </w:p>
        </w:tc>
        <w:tc>
          <w:tcPr>
            <w:tcW w:w="62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4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w w:val="96"/>
              </w:rPr>
              <w:t>Ensure that key credit risk strategies are thoroughly analyzed</w:t>
            </w:r>
          </w:p>
        </w:tc>
        <w:tc>
          <w:tcPr>
            <w:tcW w:w="39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4980" w:type="dxa"/>
            <w:vAlign w:val="bottom"/>
            <w:tcBorders>
              <w:right w:val="single" w:sz="8" w:color="auto"/>
            </w:tcBorders>
            <w:vMerge w:val="continue"/>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Produce client specific summary level report of</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9"/>
              </w:rPr>
              <w:t>and effectively documented, presented and approved by the</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7"/>
              </w:rPr>
              <w:t>key performance metrics on a monthly basis with</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8"/>
              </w:rPr>
              <w:t>Bank as required, and that credit actions adhere to the Bank</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comments for clients with A/R greater than</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credit policy and regulatory requirements.</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9"/>
              </w:rPr>
              <w:t>$150MM as well as any request by the Bank for</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49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Prepare and deliver presentations regarding key credit risk</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specific clients  as needed.</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trends, issues, exposures, effectiveness of strategies, and other</w:t>
            </w:r>
          </w:p>
        </w:tc>
        <w:tc>
          <w:tcPr>
            <w:tcW w:w="3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information as requested by the Bank.</w:t>
            </w:r>
          </w:p>
        </w:tc>
        <w:tc>
          <w:tcPr>
            <w:tcW w:w="3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231F20"/>
              </w:rPr>
              <w:t>•</w:t>
            </w:r>
          </w:p>
        </w:tc>
        <w:tc>
          <w:tcPr>
            <w:tcW w:w="49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Provide other Credit Risk services, as requested.</w:t>
            </w:r>
          </w:p>
        </w:tc>
        <w:tc>
          <w:tcPr>
            <w:tcW w:w="3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62"/>
        </w:trPr>
        <w:tc>
          <w:tcPr>
            <w:tcW w:w="600" w:type="dxa"/>
            <w:vAlign w:val="bottom"/>
            <w:tcBorders>
              <w:top w:val="single" w:sz="8" w:color="auto"/>
              <w:left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480" w:type="dxa"/>
            <w:vAlign w:val="bottom"/>
            <w:tcBorders>
              <w:top w:val="single" w:sz="8" w:color="auto"/>
            </w:tcBorders>
            <w:shd w:val="clear" w:color="auto" w:fill="D6D1B7"/>
          </w:tcPr>
          <w:p>
            <w:pPr>
              <w:spacing w:after="0"/>
              <w:rPr>
                <w:sz w:val="14"/>
                <w:szCs w:val="14"/>
                <w:color w:val="auto"/>
              </w:rPr>
            </w:pPr>
          </w:p>
        </w:tc>
        <w:tc>
          <w:tcPr>
            <w:tcW w:w="1100" w:type="dxa"/>
            <w:vAlign w:val="bottom"/>
            <w:tcBorders>
              <w:top w:val="single" w:sz="8" w:color="auto"/>
            </w:tcBorders>
            <w:shd w:val="clear" w:color="auto" w:fill="D6D1B7"/>
          </w:tcPr>
          <w:p>
            <w:pPr>
              <w:spacing w:after="0"/>
              <w:rPr>
                <w:sz w:val="14"/>
                <w:szCs w:val="14"/>
                <w:color w:val="auto"/>
              </w:rPr>
            </w:pPr>
          </w:p>
        </w:tc>
        <w:tc>
          <w:tcPr>
            <w:tcW w:w="640" w:type="dxa"/>
            <w:vAlign w:val="bottom"/>
            <w:tcBorders>
              <w:top w:val="single" w:sz="8" w:color="auto"/>
            </w:tcBorders>
            <w:shd w:val="clear" w:color="auto" w:fill="D6D1B7"/>
          </w:tcPr>
          <w:p>
            <w:pPr>
              <w:spacing w:after="0"/>
              <w:rPr>
                <w:sz w:val="14"/>
                <w:szCs w:val="14"/>
                <w:color w:val="auto"/>
              </w:rPr>
            </w:pPr>
          </w:p>
        </w:tc>
        <w:tc>
          <w:tcPr>
            <w:tcW w:w="960" w:type="dxa"/>
            <w:vAlign w:val="bottom"/>
            <w:tcBorders>
              <w:top w:val="single" w:sz="8" w:color="auto"/>
            </w:tcBorders>
            <w:shd w:val="clear" w:color="auto" w:fill="D6D1B7"/>
          </w:tcPr>
          <w:p>
            <w:pPr>
              <w:ind w:left="340"/>
              <w:spacing w:after="0" w:line="162" w:lineRule="exact"/>
              <w:rPr>
                <w:sz w:val="20"/>
                <w:szCs w:val="20"/>
                <w:color w:val="auto"/>
              </w:rPr>
            </w:pPr>
            <w:r>
              <w:rPr>
                <w:rFonts w:ascii="Arial" w:cs="Arial" w:eastAsia="Arial" w:hAnsi="Arial"/>
                <w:sz w:val="18"/>
                <w:szCs w:val="18"/>
                <w:b w:val="1"/>
                <w:bCs w:val="1"/>
                <w:color w:val="231F20"/>
                <w:w w:val="93"/>
              </w:rPr>
              <w:t>Service</w:t>
            </w:r>
          </w:p>
        </w:tc>
        <w:tc>
          <w:tcPr>
            <w:tcW w:w="960" w:type="dxa"/>
            <w:vAlign w:val="bottom"/>
            <w:tcBorders>
              <w:top w:val="single" w:sz="8" w:color="auto"/>
            </w:tcBorders>
            <w:shd w:val="clear" w:color="auto" w:fill="D6D1B7"/>
          </w:tcPr>
          <w:p>
            <w:pPr>
              <w:spacing w:after="0"/>
              <w:rPr>
                <w:sz w:val="14"/>
                <w:szCs w:val="14"/>
                <w:color w:val="auto"/>
              </w:rPr>
            </w:pPr>
          </w:p>
        </w:tc>
        <w:tc>
          <w:tcPr>
            <w:tcW w:w="1080" w:type="dxa"/>
            <w:vAlign w:val="bottom"/>
            <w:tcBorders>
              <w:top w:val="single" w:sz="8" w:color="auto"/>
            </w:tcBorders>
            <w:shd w:val="clear" w:color="auto" w:fill="D6D1B7"/>
          </w:tcPr>
          <w:p>
            <w:pPr>
              <w:spacing w:after="0"/>
              <w:rPr>
                <w:sz w:val="14"/>
                <w:szCs w:val="14"/>
                <w:color w:val="auto"/>
              </w:rPr>
            </w:pPr>
          </w:p>
        </w:tc>
        <w:tc>
          <w:tcPr>
            <w:tcW w:w="380" w:type="dxa"/>
            <w:vAlign w:val="bottom"/>
            <w:tcBorders>
              <w:top w:val="single" w:sz="8" w:color="auto"/>
              <w:right w:val="single" w:sz="8" w:color="auto"/>
            </w:tcBorders>
            <w:shd w:val="clear" w:color="auto" w:fill="D6D1B7"/>
          </w:tcPr>
          <w:p>
            <w:pPr>
              <w:spacing w:after="0"/>
              <w:rPr>
                <w:sz w:val="14"/>
                <w:szCs w:val="14"/>
                <w:color w:val="auto"/>
              </w:rPr>
            </w:pPr>
          </w:p>
        </w:tc>
        <w:tc>
          <w:tcPr>
            <w:tcW w:w="3900" w:type="dxa"/>
            <w:vAlign w:val="bottom"/>
            <w:tcBorders>
              <w:top w:val="single" w:sz="8" w:color="auto"/>
              <w:right w:val="single" w:sz="8" w:color="auto"/>
            </w:tcBorders>
            <w:shd w:val="clear" w:color="auto" w:fill="D6D1B7"/>
          </w:tcPr>
          <w:p>
            <w:pPr>
              <w:ind w:left="88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140" w:type="dxa"/>
            <w:vAlign w:val="bottom"/>
            <w:tcBorders>
              <w:top w:val="single" w:sz="8" w:color="auto"/>
              <w:right w:val="single" w:sz="8" w:color="auto"/>
            </w:tcBorders>
            <w:shd w:val="clear" w:color="auto" w:fill="D6D1B7"/>
          </w:tcPr>
          <w:p>
            <w:pPr>
              <w:ind w:left="200"/>
              <w:spacing w:after="0" w:line="162" w:lineRule="exact"/>
              <w:rPr>
                <w:sz w:val="20"/>
                <w:szCs w:val="20"/>
                <w:color w:val="auto"/>
              </w:rPr>
            </w:pPr>
            <w:r>
              <w:rPr>
                <w:rFonts w:ascii="Arial" w:cs="Arial" w:eastAsia="Arial" w:hAnsi="Arial"/>
                <w:sz w:val="18"/>
                <w:szCs w:val="18"/>
                <w:b w:val="1"/>
                <w:bCs w:val="1"/>
                <w:color w:val="231F20"/>
                <w:w w:val="99"/>
              </w:rPr>
              <w:t>Measuring</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480" w:type="dxa"/>
            <w:vAlign w:val="bottom"/>
            <w:tcBorders>
              <w:bottom w:val="single" w:sz="8" w:color="auto"/>
            </w:tcBorders>
            <w:shd w:val="clear" w:color="auto" w:fill="D6D1B7"/>
          </w:tcPr>
          <w:p>
            <w:pPr>
              <w:spacing w:after="0"/>
              <w:rPr>
                <w:sz w:val="17"/>
                <w:szCs w:val="17"/>
                <w:color w:val="auto"/>
              </w:rPr>
            </w:pPr>
          </w:p>
        </w:tc>
        <w:tc>
          <w:tcPr>
            <w:tcW w:w="1100" w:type="dxa"/>
            <w:vAlign w:val="bottom"/>
            <w:tcBorders>
              <w:bottom w:val="single" w:sz="8" w:color="auto"/>
            </w:tcBorders>
            <w:shd w:val="clear" w:color="auto" w:fill="D6D1B7"/>
          </w:tcPr>
          <w:p>
            <w:pPr>
              <w:spacing w:after="0"/>
              <w:rPr>
                <w:sz w:val="17"/>
                <w:szCs w:val="17"/>
                <w:color w:val="auto"/>
              </w:rPr>
            </w:pPr>
          </w:p>
        </w:tc>
        <w:tc>
          <w:tcPr>
            <w:tcW w:w="640" w:type="dxa"/>
            <w:vAlign w:val="bottom"/>
            <w:tcBorders>
              <w:bottom w:val="single" w:sz="8" w:color="auto"/>
            </w:tcBorders>
            <w:shd w:val="clear" w:color="auto" w:fill="D6D1B7"/>
          </w:tcPr>
          <w:p>
            <w:pPr>
              <w:spacing w:after="0"/>
              <w:rPr>
                <w:sz w:val="17"/>
                <w:szCs w:val="17"/>
                <w:color w:val="auto"/>
              </w:rPr>
            </w:pPr>
          </w:p>
        </w:tc>
        <w:tc>
          <w:tcPr>
            <w:tcW w:w="960" w:type="dxa"/>
            <w:vAlign w:val="bottom"/>
            <w:tcBorders>
              <w:bottom w:val="single" w:sz="8" w:color="auto"/>
            </w:tcBorders>
            <w:shd w:val="clear" w:color="auto" w:fill="D6D1B7"/>
          </w:tcPr>
          <w:p>
            <w:pPr>
              <w:spacing w:after="0"/>
              <w:rPr>
                <w:sz w:val="17"/>
                <w:szCs w:val="17"/>
                <w:color w:val="auto"/>
              </w:rPr>
            </w:pPr>
          </w:p>
        </w:tc>
        <w:tc>
          <w:tcPr>
            <w:tcW w:w="960" w:type="dxa"/>
            <w:vAlign w:val="bottom"/>
            <w:tcBorders>
              <w:bottom w:val="single" w:sz="8" w:color="auto"/>
            </w:tcBorders>
            <w:shd w:val="clear" w:color="auto" w:fill="D6D1B7"/>
          </w:tcPr>
          <w:p>
            <w:pPr>
              <w:spacing w:after="0"/>
              <w:rPr>
                <w:sz w:val="17"/>
                <w:szCs w:val="17"/>
                <w:color w:val="auto"/>
              </w:rPr>
            </w:pPr>
          </w:p>
        </w:tc>
        <w:tc>
          <w:tcPr>
            <w:tcW w:w="1080" w:type="dxa"/>
            <w:vAlign w:val="bottom"/>
            <w:tcBorders>
              <w:bottom w:val="single" w:sz="8" w:color="auto"/>
            </w:tcBorders>
            <w:shd w:val="clear" w:color="auto" w:fill="D6D1B7"/>
          </w:tcPr>
          <w:p>
            <w:pPr>
              <w:spacing w:after="0"/>
              <w:rPr>
                <w:sz w:val="17"/>
                <w:szCs w:val="17"/>
                <w:color w:val="auto"/>
              </w:rPr>
            </w:pPr>
          </w:p>
        </w:tc>
        <w:tc>
          <w:tcPr>
            <w:tcW w:w="380" w:type="dxa"/>
            <w:vAlign w:val="bottom"/>
            <w:tcBorders>
              <w:bottom w:val="single" w:sz="8" w:color="auto"/>
              <w:right w:val="single" w:sz="8" w:color="auto"/>
            </w:tcBorders>
            <w:shd w:val="clear" w:color="auto" w:fill="D6D1B7"/>
          </w:tcPr>
          <w:p>
            <w:pPr>
              <w:spacing w:after="0"/>
              <w:rPr>
                <w:sz w:val="17"/>
                <w:szCs w:val="17"/>
                <w:color w:val="auto"/>
              </w:rPr>
            </w:pPr>
          </w:p>
        </w:tc>
        <w:tc>
          <w:tcPr>
            <w:tcW w:w="3900" w:type="dxa"/>
            <w:vAlign w:val="bottom"/>
            <w:tcBorders>
              <w:bottom w:val="single" w:sz="8" w:color="auto"/>
              <w:right w:val="single" w:sz="8" w:color="auto"/>
            </w:tcBorders>
            <w:shd w:val="clear" w:color="auto" w:fill="D6D1B7"/>
          </w:tcPr>
          <w:p>
            <w:pPr>
              <w:spacing w:after="0"/>
              <w:rPr>
                <w:sz w:val="17"/>
                <w:szCs w:val="17"/>
                <w:color w:val="auto"/>
              </w:rPr>
            </w:pPr>
          </w:p>
        </w:tc>
        <w:tc>
          <w:tcPr>
            <w:tcW w:w="1140" w:type="dxa"/>
            <w:vAlign w:val="bottom"/>
            <w:tcBorders>
              <w:bottom w:val="single" w:sz="8" w:color="auto"/>
              <w:right w:val="single" w:sz="8" w:color="auto"/>
            </w:tcBorders>
            <w:shd w:val="clear" w:color="auto" w:fill="D6D1B7"/>
          </w:tcPr>
          <w:p>
            <w:pPr>
              <w:ind w:left="360"/>
              <w:spacing w:after="0" w:line="202" w:lineRule="exact"/>
              <w:rPr>
                <w:sz w:val="20"/>
                <w:szCs w:val="20"/>
                <w:color w:val="auto"/>
              </w:rPr>
            </w:pPr>
            <w:r>
              <w:rPr>
                <w:rFonts w:ascii="Arial" w:cs="Arial" w:eastAsia="Arial" w:hAnsi="Arial"/>
                <w:sz w:val="18"/>
                <w:szCs w:val="18"/>
                <w:b w:val="1"/>
                <w:bCs w:val="1"/>
                <w:color w:val="231F20"/>
              </w:rPr>
              <w:t>Period</w:t>
            </w: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99"/>
              </w:rPr>
              <w:t>5</w:t>
            </w:r>
          </w:p>
        </w:tc>
        <w:tc>
          <w:tcPr>
            <w:tcW w:w="222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231F20"/>
                <w:w w:val="89"/>
              </w:rPr>
              <w:t>Customer Communications</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Mail or deliver account statements within 4</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600" w:type="dxa"/>
            <w:vAlign w:val="bottom"/>
            <w:tcBorders>
              <w:right w:val="single" w:sz="8" w:color="auto"/>
            </w:tcBorders>
            <w:gridSpan w:val="7"/>
          </w:tcPr>
          <w:p>
            <w:pPr>
              <w:ind w:left="400"/>
              <w:spacing w:after="0" w:line="202" w:lineRule="exact"/>
              <w:rPr>
                <w:sz w:val="20"/>
                <w:szCs w:val="20"/>
                <w:color w:val="auto"/>
              </w:rPr>
            </w:pPr>
            <w:r>
              <w:rPr>
                <w:rFonts w:ascii="Arial" w:cs="Arial" w:eastAsia="Arial" w:hAnsi="Arial"/>
                <w:sz w:val="18"/>
                <w:szCs w:val="18"/>
                <w:color w:val="231F20"/>
                <w:w w:val="96"/>
              </w:rPr>
              <w:t>Produce  and  mail  customer  communications;  including  periodic</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business days of the scheduled billing date.</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5600" w:type="dxa"/>
            <w:vAlign w:val="bottom"/>
            <w:tcBorders>
              <w:right w:val="single" w:sz="8" w:color="auto"/>
            </w:tcBorders>
            <w:gridSpan w:val="7"/>
          </w:tcPr>
          <w:p>
            <w:pPr>
              <w:ind w:left="400"/>
              <w:spacing w:after="0" w:line="202" w:lineRule="exact"/>
              <w:rPr>
                <w:sz w:val="20"/>
                <w:szCs w:val="20"/>
                <w:color w:val="auto"/>
              </w:rPr>
            </w:pPr>
            <w:r>
              <w:rPr>
                <w:rFonts w:ascii="Arial" w:cs="Arial" w:eastAsia="Arial" w:hAnsi="Arial"/>
                <w:sz w:val="18"/>
                <w:szCs w:val="18"/>
                <w:color w:val="231F20"/>
                <w:w w:val="91"/>
              </w:rPr>
              <w:t>statements  and  dunning  letters,  customer  service  correspondence,</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Monthly periodic statements must be mailed</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140" w:type="dxa"/>
            <w:vAlign w:val="bottom"/>
            <w:gridSpan w:val="5"/>
          </w:tcPr>
          <w:p>
            <w:pPr>
              <w:ind w:left="400"/>
              <w:spacing w:after="0" w:line="202" w:lineRule="exact"/>
              <w:rPr>
                <w:sz w:val="20"/>
                <w:szCs w:val="20"/>
                <w:color w:val="auto"/>
              </w:rPr>
            </w:pPr>
            <w:r>
              <w:rPr>
                <w:rFonts w:ascii="Arial" w:cs="Arial" w:eastAsia="Arial" w:hAnsi="Arial"/>
                <w:sz w:val="18"/>
                <w:szCs w:val="18"/>
                <w:color w:val="231F20"/>
                <w:w w:val="91"/>
              </w:rPr>
              <w:t>adverse action letters and change of terms notices.</w:t>
            </w: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or delivered at least twenty-one (21) days</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(calendar days) prior to the payment due date</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disclosed on the billing statement.</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231F20"/>
                <w:w w:val="99"/>
              </w:rPr>
              <w:t>6</w:t>
            </w:r>
          </w:p>
        </w:tc>
        <w:tc>
          <w:tcPr>
            <w:tcW w:w="158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231F20"/>
                <w:w w:val="95"/>
              </w:rPr>
              <w:t>Customer Service</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Respond to written Cardholder inquiries</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ind w:left="400"/>
              <w:spacing w:after="0" w:line="202" w:lineRule="exact"/>
              <w:rPr>
                <w:sz w:val="20"/>
                <w:szCs w:val="20"/>
                <w:color w:val="auto"/>
              </w:rPr>
            </w:pPr>
            <w:r>
              <w:rPr>
                <w:rFonts w:ascii="Arial" w:cs="Arial" w:eastAsia="Arial" w:hAnsi="Arial"/>
                <w:sz w:val="18"/>
                <w:szCs w:val="18"/>
                <w:color w:val="231F20"/>
                <w:w w:val="94"/>
              </w:rPr>
              <w:t>•</w:t>
            </w:r>
          </w:p>
        </w:tc>
        <w:tc>
          <w:tcPr>
            <w:tcW w:w="1100" w:type="dxa"/>
            <w:vAlign w:val="bottom"/>
          </w:tcPr>
          <w:p>
            <w:pPr>
              <w:ind w:left="320"/>
              <w:spacing w:after="0" w:line="202" w:lineRule="exact"/>
              <w:rPr>
                <w:sz w:val="20"/>
                <w:szCs w:val="20"/>
                <w:color w:val="auto"/>
              </w:rPr>
            </w:pPr>
            <w:r>
              <w:rPr>
                <w:rFonts w:ascii="Arial" w:cs="Arial" w:eastAsia="Arial" w:hAnsi="Arial"/>
                <w:sz w:val="18"/>
                <w:szCs w:val="18"/>
                <w:color w:val="231F20"/>
              </w:rPr>
              <w:t>Process</w:t>
            </w:r>
          </w:p>
        </w:tc>
        <w:tc>
          <w:tcPr>
            <w:tcW w:w="640" w:type="dxa"/>
            <w:vAlign w:val="bottom"/>
          </w:tcPr>
          <w:p>
            <w:pPr>
              <w:ind w:left="120"/>
              <w:spacing w:after="0" w:line="202" w:lineRule="exact"/>
              <w:rPr>
                <w:sz w:val="20"/>
                <w:szCs w:val="20"/>
                <w:color w:val="auto"/>
              </w:rPr>
            </w:pPr>
            <w:r>
              <w:rPr>
                <w:rFonts w:ascii="Arial" w:cs="Arial" w:eastAsia="Arial" w:hAnsi="Arial"/>
                <w:sz w:val="18"/>
                <w:szCs w:val="18"/>
                <w:color w:val="231F20"/>
              </w:rPr>
              <w:t>all</w:t>
            </w:r>
          </w:p>
        </w:tc>
        <w:tc>
          <w:tcPr>
            <w:tcW w:w="960" w:type="dxa"/>
            <w:vAlign w:val="bottom"/>
          </w:tcPr>
          <w:p>
            <w:pPr>
              <w:ind w:left="20"/>
              <w:spacing w:after="0" w:line="202" w:lineRule="exact"/>
              <w:rPr>
                <w:sz w:val="20"/>
                <w:szCs w:val="20"/>
                <w:color w:val="auto"/>
              </w:rPr>
            </w:pPr>
            <w:r>
              <w:rPr>
                <w:rFonts w:ascii="Arial" w:cs="Arial" w:eastAsia="Arial" w:hAnsi="Arial"/>
                <w:sz w:val="18"/>
                <w:szCs w:val="18"/>
                <w:color w:val="231F20"/>
              </w:rPr>
              <w:t>customer</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231F20"/>
              </w:rPr>
              <w:t>inquiries</w:t>
            </w:r>
          </w:p>
        </w:tc>
        <w:tc>
          <w:tcPr>
            <w:tcW w:w="1080" w:type="dxa"/>
            <w:vAlign w:val="bottom"/>
          </w:tcPr>
          <w:p>
            <w:pPr>
              <w:ind w:left="100"/>
              <w:spacing w:after="0" w:line="202" w:lineRule="exact"/>
              <w:rPr>
                <w:sz w:val="20"/>
                <w:szCs w:val="20"/>
                <w:color w:val="auto"/>
              </w:rPr>
            </w:pPr>
            <w:r>
              <w:rPr>
                <w:rFonts w:ascii="Arial" w:cs="Arial" w:eastAsia="Arial" w:hAnsi="Arial"/>
                <w:sz w:val="18"/>
                <w:szCs w:val="18"/>
                <w:color w:val="231F20"/>
              </w:rPr>
              <w:t>(received</w:t>
            </w:r>
          </w:p>
        </w:tc>
        <w:tc>
          <w:tcPr>
            <w:tcW w:w="3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31F20"/>
              </w:rPr>
              <w:t>via</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(whitemail), response requirements are as</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tcBorders>
              <w:right w:val="single" w:sz="8" w:color="auto"/>
            </w:tcBorders>
            <w:gridSpan w:val="6"/>
          </w:tcPr>
          <w:p>
            <w:pPr>
              <w:ind w:left="260"/>
              <w:spacing w:after="0"/>
              <w:rPr>
                <w:sz w:val="20"/>
                <w:szCs w:val="20"/>
                <w:color w:val="auto"/>
              </w:rPr>
            </w:pPr>
            <w:r>
              <w:rPr>
                <w:rFonts w:ascii="Arial" w:cs="Arial" w:eastAsia="Arial" w:hAnsi="Arial"/>
                <w:sz w:val="18"/>
                <w:szCs w:val="18"/>
                <w:color w:val="231F20"/>
                <w:w w:val="96"/>
              </w:rPr>
              <w:t>telephone/mail/fax/electronic),  including  a  toll  free  customer</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follows:</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 w:type="dxa"/>
            <w:vAlign w:val="bottom"/>
            <w:tcBorders>
              <w:left w:val="single" w:sz="8" w:color="auto"/>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color w:val="231F20"/>
              </w:rPr>
              <w:t>inquiry number.</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 90% within 8 Business Days.</w:t>
            </w: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480" w:type="dxa"/>
            <w:vAlign w:val="bottom"/>
          </w:tcPr>
          <w:p>
            <w:pPr>
              <w:ind w:left="400"/>
              <w:spacing w:after="0"/>
              <w:rPr>
                <w:sz w:val="20"/>
                <w:szCs w:val="20"/>
                <w:color w:val="auto"/>
              </w:rPr>
            </w:pPr>
            <w:r>
              <w:rPr>
                <w:rFonts w:ascii="Arial" w:cs="Arial" w:eastAsia="Arial" w:hAnsi="Arial"/>
                <w:sz w:val="18"/>
                <w:szCs w:val="18"/>
                <w:color w:val="231F20"/>
                <w:w w:val="94"/>
              </w:rPr>
              <w:t>•</w:t>
            </w:r>
          </w:p>
        </w:tc>
        <w:tc>
          <w:tcPr>
            <w:tcW w:w="5120" w:type="dxa"/>
            <w:vAlign w:val="bottom"/>
            <w:tcBorders>
              <w:right w:val="single" w:sz="8" w:color="auto"/>
            </w:tcBorders>
            <w:gridSpan w:val="6"/>
          </w:tcPr>
          <w:p>
            <w:pPr>
              <w:ind w:left="320"/>
              <w:spacing w:after="0"/>
              <w:rPr>
                <w:sz w:val="20"/>
                <w:szCs w:val="20"/>
                <w:color w:val="auto"/>
              </w:rPr>
            </w:pPr>
            <w:r>
              <w:rPr>
                <w:rFonts w:ascii="Arial" w:cs="Arial" w:eastAsia="Arial" w:hAnsi="Arial"/>
                <w:sz w:val="18"/>
                <w:szCs w:val="18"/>
                <w:color w:val="231F20"/>
                <w:w w:val="94"/>
              </w:rPr>
              <w:t>Respond to billing inquiries, account disputes and adjustments,</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 100% within 30 Calendar Days.</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5120" w:type="dxa"/>
            <w:vAlign w:val="bottom"/>
            <w:tcBorders>
              <w:right w:val="single" w:sz="8" w:color="auto"/>
            </w:tcBorders>
            <w:gridSpan w:val="6"/>
          </w:tcPr>
          <w:p>
            <w:pPr>
              <w:ind w:left="260"/>
              <w:spacing w:after="0"/>
              <w:rPr>
                <w:sz w:val="20"/>
                <w:szCs w:val="20"/>
                <w:color w:val="auto"/>
              </w:rPr>
            </w:pPr>
            <w:r>
              <w:rPr>
                <w:rFonts w:ascii="Arial" w:cs="Arial" w:eastAsia="Arial" w:hAnsi="Arial"/>
                <w:sz w:val="18"/>
                <w:szCs w:val="18"/>
                <w:color w:val="231F20"/>
              </w:rPr>
              <w:t>billing error resolution, provision of duplicate copies of billing</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31F20"/>
              </w:rPr>
              <w:t>100% within regulatory timelines, as applicable.</w:t>
            </w: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gridSpan w:val="3"/>
          </w:tcPr>
          <w:p>
            <w:pPr>
              <w:ind w:left="260"/>
              <w:spacing w:after="0" w:line="168" w:lineRule="exact"/>
              <w:rPr>
                <w:sz w:val="20"/>
                <w:szCs w:val="20"/>
                <w:color w:val="auto"/>
              </w:rPr>
            </w:pPr>
            <w:r>
              <w:rPr>
                <w:rFonts w:ascii="Arial" w:cs="Arial" w:eastAsia="Arial" w:hAnsi="Arial"/>
                <w:sz w:val="18"/>
                <w:szCs w:val="18"/>
                <w:color w:val="231F20"/>
                <w:w w:val="99"/>
              </w:rPr>
              <w:t>documentation (as requested).</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8"/>
                <w:szCs w:val="18"/>
                <w:color w:val="231F20"/>
              </w:rPr>
              <w:t>Respond to written Cardholder inquiries</w:t>
            </w:r>
          </w:p>
        </w:tc>
        <w:tc>
          <w:tcPr>
            <w:tcW w:w="1140" w:type="dxa"/>
            <w:vAlign w:val="bottom"/>
            <w:tcBorders>
              <w:right w:val="single" w:sz="8" w:color="auto"/>
            </w:tcBorders>
          </w:tcPr>
          <w:p>
            <w:pPr>
              <w:ind w:left="580"/>
              <w:spacing w:after="0" w:line="168"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480" w:type="dxa"/>
            <w:vAlign w:val="bottom"/>
          </w:tcPr>
          <w:p>
            <w:pPr>
              <w:ind w:left="400"/>
              <w:spacing w:after="0"/>
              <w:rPr>
                <w:sz w:val="20"/>
                <w:szCs w:val="20"/>
                <w:color w:val="auto"/>
              </w:rPr>
            </w:pPr>
            <w:r>
              <w:rPr>
                <w:rFonts w:ascii="Arial" w:cs="Arial" w:eastAsia="Arial" w:hAnsi="Arial"/>
                <w:sz w:val="18"/>
                <w:szCs w:val="18"/>
                <w:color w:val="231F20"/>
                <w:w w:val="94"/>
              </w:rPr>
              <w:t>•</w:t>
            </w:r>
          </w:p>
        </w:tc>
        <w:tc>
          <w:tcPr>
            <w:tcW w:w="5120" w:type="dxa"/>
            <w:vAlign w:val="bottom"/>
            <w:tcBorders>
              <w:right w:val="single" w:sz="8" w:color="auto"/>
            </w:tcBorders>
            <w:gridSpan w:val="6"/>
          </w:tcPr>
          <w:p>
            <w:pPr>
              <w:ind w:left="320"/>
              <w:spacing w:after="0"/>
              <w:rPr>
                <w:sz w:val="20"/>
                <w:szCs w:val="20"/>
                <w:color w:val="auto"/>
              </w:rPr>
            </w:pPr>
            <w:r>
              <w:rPr>
                <w:rFonts w:ascii="Arial" w:cs="Arial" w:eastAsia="Arial" w:hAnsi="Arial"/>
                <w:sz w:val="18"/>
                <w:szCs w:val="18"/>
                <w:color w:val="231F20"/>
              </w:rPr>
              <w:t>Serve  as  a  liaison  between  customers  and  clients  for</w:t>
            </w: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(email), response requirements are as</w:t>
            </w: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4"/>
          </w:tcPr>
          <w:p>
            <w:pPr>
              <w:ind w:left="260"/>
              <w:spacing w:after="0"/>
              <w:rPr>
                <w:sz w:val="20"/>
                <w:szCs w:val="20"/>
                <w:color w:val="auto"/>
              </w:rPr>
            </w:pPr>
            <w:r>
              <w:rPr>
                <w:rFonts w:ascii="Arial" w:cs="Arial" w:eastAsia="Arial" w:hAnsi="Arial"/>
                <w:sz w:val="18"/>
                <w:szCs w:val="18"/>
                <w:color w:val="231F20"/>
                <w:w w:val="97"/>
              </w:rPr>
              <w:t>communication of product/service disputes.</w:t>
            </w:r>
          </w:p>
        </w:tc>
        <w:tc>
          <w:tcPr>
            <w:tcW w:w="10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follows:</w:t>
            </w: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right w:val="single" w:sz="8" w:color="auto"/>
            </w:tcBorders>
          </w:tcPr>
          <w:p>
            <w:pPr>
              <w:spacing w:after="0"/>
              <w:rPr>
                <w:sz w:val="21"/>
                <w:szCs w:val="21"/>
                <w:color w:val="auto"/>
              </w:rPr>
            </w:pPr>
          </w:p>
        </w:tc>
        <w:tc>
          <w:tcPr>
            <w:tcW w:w="480" w:type="dxa"/>
            <w:vAlign w:val="bottom"/>
          </w:tcPr>
          <w:p>
            <w:pPr>
              <w:ind w:left="400"/>
              <w:spacing w:after="0"/>
              <w:rPr>
                <w:sz w:val="20"/>
                <w:szCs w:val="20"/>
                <w:color w:val="auto"/>
              </w:rPr>
            </w:pPr>
            <w:r>
              <w:rPr>
                <w:rFonts w:ascii="Arial" w:cs="Arial" w:eastAsia="Arial" w:hAnsi="Arial"/>
                <w:sz w:val="18"/>
                <w:szCs w:val="18"/>
                <w:color w:val="231F20"/>
                <w:w w:val="94"/>
              </w:rPr>
              <w:t>•</w:t>
            </w:r>
          </w:p>
        </w:tc>
        <w:tc>
          <w:tcPr>
            <w:tcW w:w="2700" w:type="dxa"/>
            <w:vAlign w:val="bottom"/>
            <w:gridSpan w:val="3"/>
          </w:tcPr>
          <w:p>
            <w:pPr>
              <w:ind w:left="320"/>
              <w:spacing w:after="0"/>
              <w:rPr>
                <w:sz w:val="20"/>
                <w:szCs w:val="20"/>
                <w:color w:val="auto"/>
              </w:rPr>
            </w:pPr>
            <w:r>
              <w:rPr>
                <w:rFonts w:ascii="Arial" w:cs="Arial" w:eastAsia="Arial" w:hAnsi="Arial"/>
                <w:sz w:val="18"/>
                <w:szCs w:val="18"/>
                <w:color w:val="231F20"/>
                <w:w w:val="95"/>
              </w:rPr>
              <w:t>Provide call resolution support.</w:t>
            </w: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 90% within 8 Business Days.</w:t>
            </w:r>
          </w:p>
        </w:tc>
        <w:tc>
          <w:tcPr>
            <w:tcW w:w="1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 100% within 30 Calendar Days.</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31F20"/>
              </w:rPr>
              <w:t>100% within regulatory timelines, as applicable.</w:t>
            </w: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Abandon Rate:</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w w:val="97"/>
              </w:rPr>
              <w:t>Calls that exit the IVR and are abandoned prior to</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w w:val="91"/>
              </w:rPr>
              <w:t>being serviced by a live agent shall not exceed 5% of</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rPr>
              <w:t>calls; excludes “quick abandons” (less than 10</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31F20"/>
              </w:rPr>
              <w:t>seconds)</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Cardholder Dispute Response:</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rPr>
              <w:t>Acknowledge 99% of Cardholder billing disputes</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31F20"/>
              </w:rPr>
              <w:t>within 30 calendar days</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Cardholder Dispute Resolution:</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w w:val="95"/>
              </w:rPr>
              <w:t>Resolve 99% of cardholder billing disputes within 2</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31F20"/>
              </w:rPr>
              <w:t>billing cycles not to exceed 90 days.</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First Call Resolution:</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w w:val="95"/>
              </w:rPr>
              <w:t>Calls that exit the IVR, are serviced by a live agent</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w w:val="97"/>
              </w:rPr>
              <w:t>and result in no additional calls within 4 days shall</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31F20"/>
              </w:rPr>
              <w:t>not fall below 75%</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231F20"/>
                <w:w w:val="97"/>
              </w:rPr>
              <w:t>Answer at least 80% of calls within 25 seconds or</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w w:val="96"/>
              </w:rPr>
              <w:t>less. Primary Customer Service and Store Service</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w w:val="90"/>
              </w:rPr>
              <w:t>live phone support to be measured individually across</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231F20"/>
              </w:rPr>
              <w:t>each call type (Customer Service, Voice</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tcPr>
          <w:p>
            <w:pPr>
              <w:spacing w:after="0"/>
              <w:rPr>
                <w:sz w:val="20"/>
                <w:szCs w:val="20"/>
                <w:color w:val="auto"/>
              </w:rPr>
            </w:pPr>
            <w:r>
              <w:rPr>
                <w:rFonts w:ascii="Arial" w:cs="Arial" w:eastAsia="Arial" w:hAnsi="Arial"/>
                <w:sz w:val="18"/>
                <w:szCs w:val="18"/>
                <w:color w:val="231F20"/>
              </w:rPr>
              <w:t>Authorization, New Accounts).</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tcBorders>
            <w:gridSpan w:val="3"/>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9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7F7F7F"/>
                <w:w w:val="99"/>
              </w:rPr>
              <w:t>7</w:t>
            </w:r>
          </w:p>
        </w:tc>
        <w:tc>
          <w:tcPr>
            <w:tcW w:w="222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231F20"/>
                <w:w w:val="97"/>
              </w:rPr>
              <w:t>New Account Processing</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w w:val="99"/>
              </w:rPr>
              <w:t>Systemically process 95% of approved/declined</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480" w:type="dxa"/>
            <w:vAlign w:val="bottom"/>
          </w:tcPr>
          <w:p>
            <w:pPr>
              <w:ind w:left="400"/>
              <w:spacing w:after="0" w:line="202" w:lineRule="exact"/>
              <w:rPr>
                <w:sz w:val="20"/>
                <w:szCs w:val="20"/>
                <w:color w:val="auto"/>
              </w:rPr>
            </w:pPr>
            <w:r>
              <w:rPr>
                <w:rFonts w:ascii="Arial" w:cs="Arial" w:eastAsia="Arial" w:hAnsi="Arial"/>
                <w:sz w:val="18"/>
                <w:szCs w:val="18"/>
                <w:color w:val="231F20"/>
                <w:w w:val="94"/>
              </w:rPr>
              <w:t>•</w:t>
            </w:r>
          </w:p>
        </w:tc>
        <w:tc>
          <w:tcPr>
            <w:tcW w:w="4740" w:type="dxa"/>
            <w:vAlign w:val="bottom"/>
            <w:gridSpan w:val="5"/>
          </w:tcPr>
          <w:p>
            <w:pPr>
              <w:ind w:left="320"/>
              <w:spacing w:after="0" w:line="202" w:lineRule="exact"/>
              <w:rPr>
                <w:sz w:val="20"/>
                <w:szCs w:val="20"/>
                <w:color w:val="auto"/>
              </w:rPr>
            </w:pPr>
            <w:r>
              <w:rPr>
                <w:rFonts w:ascii="Arial" w:cs="Arial" w:eastAsia="Arial" w:hAnsi="Arial"/>
                <w:sz w:val="18"/>
                <w:szCs w:val="18"/>
                <w:color w:val="231F20"/>
                <w:w w:val="91"/>
              </w:rPr>
              <w:t>Receive and process applications received via all application</w:t>
            </w:r>
          </w:p>
        </w:tc>
        <w:tc>
          <w:tcPr>
            <w:tcW w:w="3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3"/>
              </w:rPr>
              <w:t>application requests within less than or equal to 15</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Arial" w:cs="Arial" w:eastAsia="Arial" w:hAnsi="Arial"/>
                <w:sz w:val="18"/>
                <w:szCs w:val="18"/>
                <w:color w:val="231F20"/>
              </w:rPr>
              <w:t>channels.</w:t>
            </w: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seconds.</w:t>
            </w: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00" w:type="dxa"/>
            <w:vAlign w:val="bottom"/>
            <w:tcBorders>
              <w:left w:val="single" w:sz="8" w:color="auto"/>
              <w:right w:val="single" w:sz="8" w:color="auto"/>
            </w:tcBorders>
          </w:tcPr>
          <w:p>
            <w:pPr>
              <w:spacing w:after="0"/>
              <w:rPr>
                <w:sz w:val="12"/>
                <w:szCs w:val="12"/>
                <w:color w:val="auto"/>
              </w:rPr>
            </w:pPr>
          </w:p>
        </w:tc>
        <w:tc>
          <w:tcPr>
            <w:tcW w:w="480" w:type="dxa"/>
            <w:vAlign w:val="bottom"/>
            <w:vMerge w:val="restart"/>
          </w:tcPr>
          <w:p>
            <w:pPr>
              <w:ind w:left="400"/>
              <w:spacing w:after="0"/>
              <w:rPr>
                <w:sz w:val="20"/>
                <w:szCs w:val="20"/>
                <w:color w:val="auto"/>
              </w:rPr>
            </w:pPr>
            <w:r>
              <w:rPr>
                <w:rFonts w:ascii="Arial" w:cs="Arial" w:eastAsia="Arial" w:hAnsi="Arial"/>
                <w:sz w:val="18"/>
                <w:szCs w:val="18"/>
                <w:color w:val="231F20"/>
                <w:w w:val="94"/>
              </w:rPr>
              <w:t>•</w:t>
            </w:r>
          </w:p>
        </w:tc>
        <w:tc>
          <w:tcPr>
            <w:tcW w:w="5120" w:type="dxa"/>
            <w:vAlign w:val="bottom"/>
            <w:tcBorders>
              <w:right w:val="single" w:sz="8" w:color="auto"/>
            </w:tcBorders>
            <w:gridSpan w:val="6"/>
            <w:vMerge w:val="restart"/>
          </w:tcPr>
          <w:p>
            <w:pPr>
              <w:ind w:left="320"/>
              <w:spacing w:after="0"/>
              <w:rPr>
                <w:sz w:val="20"/>
                <w:szCs w:val="20"/>
                <w:color w:val="auto"/>
              </w:rPr>
            </w:pPr>
            <w:r>
              <w:rPr>
                <w:rFonts w:ascii="Arial" w:cs="Arial" w:eastAsia="Arial" w:hAnsi="Arial"/>
                <w:sz w:val="18"/>
                <w:szCs w:val="18"/>
                <w:color w:val="231F20"/>
                <w:w w:val="92"/>
              </w:rPr>
              <w:t>Provide Credit scoring and adjudication in accordance with Bank</w:t>
            </w:r>
          </w:p>
        </w:tc>
        <w:tc>
          <w:tcPr>
            <w:tcW w:w="390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right w:val="single" w:sz="8" w:color="auto"/>
            </w:tcBorders>
          </w:tcPr>
          <w:p>
            <w:pPr>
              <w:spacing w:after="0"/>
              <w:rPr>
                <w:sz w:val="5"/>
                <w:szCs w:val="5"/>
                <w:color w:val="auto"/>
              </w:rPr>
            </w:pPr>
          </w:p>
        </w:tc>
        <w:tc>
          <w:tcPr>
            <w:tcW w:w="480" w:type="dxa"/>
            <w:vAlign w:val="bottom"/>
            <w:vMerge w:val="continue"/>
          </w:tcPr>
          <w:p>
            <w:pPr>
              <w:spacing w:after="0"/>
              <w:rPr>
                <w:sz w:val="5"/>
                <w:szCs w:val="5"/>
                <w:color w:val="auto"/>
              </w:rPr>
            </w:pPr>
          </w:p>
        </w:tc>
        <w:tc>
          <w:tcPr>
            <w:tcW w:w="5120" w:type="dxa"/>
            <w:vAlign w:val="bottom"/>
            <w:tcBorders>
              <w:right w:val="single" w:sz="8" w:color="auto"/>
            </w:tcBorders>
            <w:gridSpan w:val="6"/>
            <w:vMerge w:val="continue"/>
          </w:tcPr>
          <w:p>
            <w:pPr>
              <w:spacing w:after="0"/>
              <w:rPr>
                <w:sz w:val="5"/>
                <w:szCs w:val="5"/>
                <w:color w:val="auto"/>
              </w:rPr>
            </w:pPr>
          </w:p>
        </w:tc>
        <w:tc>
          <w:tcPr>
            <w:tcW w:w="3900" w:type="dxa"/>
            <w:vAlign w:val="bottom"/>
            <w:tcBorders>
              <w:right w:val="single" w:sz="8" w:color="auto"/>
            </w:tcBorders>
            <w:vMerge w:val="restart"/>
          </w:tcPr>
          <w:p>
            <w:pPr>
              <w:ind w:left="80"/>
              <w:spacing w:after="0" w:line="182" w:lineRule="exact"/>
              <w:rPr>
                <w:sz w:val="20"/>
                <w:szCs w:val="20"/>
                <w:color w:val="auto"/>
              </w:rPr>
            </w:pPr>
            <w:r>
              <w:rPr>
                <w:rFonts w:ascii="Arial" w:cs="Arial" w:eastAsia="Arial" w:hAnsi="Arial"/>
                <w:sz w:val="18"/>
                <w:szCs w:val="18"/>
                <w:color w:val="231F20"/>
                <w:w w:val="95"/>
              </w:rPr>
              <w:t>Process 100% of domestic mail-in application in 6</w:t>
            </w:r>
          </w:p>
        </w:tc>
        <w:tc>
          <w:tcPr>
            <w:tcW w:w="1140" w:type="dxa"/>
            <w:vAlign w:val="bottom"/>
            <w:tcBorders>
              <w:right w:val="single" w:sz="8" w:color="auto"/>
            </w:tcBorders>
            <w:vMerge w:val="restart"/>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121"/>
        </w:trPr>
        <w:tc>
          <w:tcPr>
            <w:tcW w:w="600" w:type="dxa"/>
            <w:vAlign w:val="bottom"/>
            <w:tcBorders>
              <w:left w:val="single" w:sz="8" w:color="auto"/>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gridSpan w:val="2"/>
            <w:vMerge w:val="restart"/>
          </w:tcPr>
          <w:p>
            <w:pPr>
              <w:ind w:left="260"/>
              <w:spacing w:after="0"/>
              <w:rPr>
                <w:sz w:val="20"/>
                <w:szCs w:val="20"/>
                <w:color w:val="auto"/>
              </w:rPr>
            </w:pPr>
            <w:r>
              <w:rPr>
                <w:rFonts w:ascii="Arial" w:cs="Arial" w:eastAsia="Arial" w:hAnsi="Arial"/>
                <w:sz w:val="18"/>
                <w:szCs w:val="18"/>
                <w:color w:val="231F20"/>
              </w:rPr>
              <w:t>credit criteria.</w:t>
            </w: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39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390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rPr>
              <w:t>business days or less and international mail-in</w:t>
            </w: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480" w:type="dxa"/>
            <w:vAlign w:val="bottom"/>
            <w:vMerge w:val="restart"/>
          </w:tcPr>
          <w:p>
            <w:pPr>
              <w:ind w:left="400"/>
              <w:spacing w:after="0"/>
              <w:rPr>
                <w:sz w:val="20"/>
                <w:szCs w:val="20"/>
                <w:color w:val="auto"/>
              </w:rPr>
            </w:pPr>
            <w:r>
              <w:rPr>
                <w:rFonts w:ascii="Arial" w:cs="Arial" w:eastAsia="Arial" w:hAnsi="Arial"/>
                <w:sz w:val="18"/>
                <w:szCs w:val="18"/>
                <w:color w:val="231F20"/>
                <w:w w:val="94"/>
              </w:rPr>
              <w:t>•</w:t>
            </w:r>
          </w:p>
        </w:tc>
        <w:tc>
          <w:tcPr>
            <w:tcW w:w="5120" w:type="dxa"/>
            <w:vAlign w:val="bottom"/>
            <w:tcBorders>
              <w:right w:val="single" w:sz="8" w:color="auto"/>
            </w:tcBorders>
            <w:gridSpan w:val="6"/>
            <w:vMerge w:val="restart"/>
          </w:tcPr>
          <w:p>
            <w:pPr>
              <w:ind w:left="320"/>
              <w:spacing w:after="0"/>
              <w:rPr>
                <w:sz w:val="20"/>
                <w:szCs w:val="20"/>
                <w:color w:val="auto"/>
              </w:rPr>
            </w:pPr>
            <w:r>
              <w:rPr>
                <w:rFonts w:ascii="Arial" w:cs="Arial" w:eastAsia="Arial" w:hAnsi="Arial"/>
                <w:sz w:val="18"/>
                <w:szCs w:val="18"/>
                <w:color w:val="231F20"/>
                <w:w w:val="93"/>
              </w:rPr>
              <w:t>Refer application exceptions to appropriate Bank representative</w:t>
            </w:r>
          </w:p>
        </w:tc>
        <w:tc>
          <w:tcPr>
            <w:tcW w:w="39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right w:val="single" w:sz="8" w:color="auto"/>
            </w:tcBorders>
          </w:tcPr>
          <w:p>
            <w:pPr>
              <w:spacing w:after="0"/>
              <w:rPr>
                <w:sz w:val="11"/>
                <w:szCs w:val="11"/>
                <w:color w:val="auto"/>
              </w:rPr>
            </w:pPr>
          </w:p>
        </w:tc>
        <w:tc>
          <w:tcPr>
            <w:tcW w:w="480" w:type="dxa"/>
            <w:vAlign w:val="bottom"/>
            <w:vMerge w:val="continue"/>
          </w:tcPr>
          <w:p>
            <w:pPr>
              <w:spacing w:after="0"/>
              <w:rPr>
                <w:sz w:val="11"/>
                <w:szCs w:val="11"/>
                <w:color w:val="auto"/>
              </w:rPr>
            </w:pPr>
          </w:p>
        </w:tc>
        <w:tc>
          <w:tcPr>
            <w:tcW w:w="5120" w:type="dxa"/>
            <w:vAlign w:val="bottom"/>
            <w:tcBorders>
              <w:right w:val="single" w:sz="8" w:color="auto"/>
            </w:tcBorders>
            <w:gridSpan w:val="6"/>
            <w:vMerge w:val="continue"/>
          </w:tcPr>
          <w:p>
            <w:pPr>
              <w:spacing w:after="0"/>
              <w:rPr>
                <w:sz w:val="11"/>
                <w:szCs w:val="11"/>
                <w:color w:val="auto"/>
              </w:rPr>
            </w:pPr>
          </w:p>
        </w:tc>
        <w:tc>
          <w:tcPr>
            <w:tcW w:w="390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w w:val="94"/>
              </w:rPr>
              <w:t>applications will be processed in 10 business days</w:t>
            </w:r>
          </w:p>
        </w:tc>
        <w:tc>
          <w:tcPr>
            <w:tcW w:w="1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right w:val="single" w:sz="8" w:color="auto"/>
            </w:tcBorders>
          </w:tcPr>
          <w:p>
            <w:pPr>
              <w:spacing w:after="0"/>
              <w:rPr>
                <w:sz w:val="5"/>
                <w:szCs w:val="5"/>
                <w:color w:val="auto"/>
              </w:rPr>
            </w:pPr>
          </w:p>
        </w:tc>
        <w:tc>
          <w:tcPr>
            <w:tcW w:w="480" w:type="dxa"/>
            <w:vAlign w:val="bottom"/>
            <w:vMerge w:val="restart"/>
          </w:tcPr>
          <w:p>
            <w:pPr>
              <w:ind w:left="400"/>
              <w:spacing w:after="0"/>
              <w:rPr>
                <w:sz w:val="20"/>
                <w:szCs w:val="20"/>
                <w:color w:val="auto"/>
              </w:rPr>
            </w:pPr>
            <w:r>
              <w:rPr>
                <w:rFonts w:ascii="Arial" w:cs="Arial" w:eastAsia="Arial" w:hAnsi="Arial"/>
                <w:sz w:val="18"/>
                <w:szCs w:val="18"/>
                <w:color w:val="231F20"/>
                <w:w w:val="94"/>
              </w:rPr>
              <w:t>•</w:t>
            </w:r>
          </w:p>
        </w:tc>
        <w:tc>
          <w:tcPr>
            <w:tcW w:w="4740" w:type="dxa"/>
            <w:vAlign w:val="bottom"/>
            <w:gridSpan w:val="5"/>
            <w:vMerge w:val="restart"/>
          </w:tcPr>
          <w:p>
            <w:pPr>
              <w:ind w:left="320"/>
              <w:spacing w:after="0"/>
              <w:rPr>
                <w:sz w:val="20"/>
                <w:szCs w:val="20"/>
                <w:color w:val="auto"/>
              </w:rPr>
            </w:pPr>
            <w:r>
              <w:rPr>
                <w:rFonts w:ascii="Arial" w:cs="Arial" w:eastAsia="Arial" w:hAnsi="Arial"/>
                <w:sz w:val="18"/>
                <w:szCs w:val="18"/>
                <w:color w:val="231F20"/>
                <w:w w:val="90"/>
              </w:rPr>
              <w:t>Establish approved accounts on account processing platform</w:t>
            </w:r>
          </w:p>
        </w:tc>
        <w:tc>
          <w:tcPr>
            <w:tcW w:w="380" w:type="dxa"/>
            <w:vAlign w:val="bottom"/>
            <w:tcBorders>
              <w:right w:val="single" w:sz="8" w:color="auto"/>
            </w:tcBorders>
          </w:tcPr>
          <w:p>
            <w:pPr>
              <w:spacing w:after="0"/>
              <w:rPr>
                <w:sz w:val="5"/>
                <w:szCs w:val="5"/>
                <w:color w:val="auto"/>
              </w:rPr>
            </w:pPr>
          </w:p>
        </w:tc>
        <w:tc>
          <w:tcPr>
            <w:tcW w:w="390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480" w:type="dxa"/>
            <w:vAlign w:val="bottom"/>
            <w:vMerge w:val="continue"/>
          </w:tcPr>
          <w:p>
            <w:pPr>
              <w:spacing w:after="0"/>
              <w:rPr>
                <w:sz w:val="18"/>
                <w:szCs w:val="18"/>
                <w:color w:val="auto"/>
              </w:rPr>
            </w:pPr>
          </w:p>
        </w:tc>
        <w:tc>
          <w:tcPr>
            <w:tcW w:w="4740" w:type="dxa"/>
            <w:vAlign w:val="bottom"/>
            <w:gridSpan w:val="5"/>
            <w:vMerge w:val="continue"/>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231F20"/>
              </w:rPr>
              <w:t>or less.</w:t>
            </w: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480" w:type="dxa"/>
            <w:vAlign w:val="bottom"/>
          </w:tcPr>
          <w:p>
            <w:pPr>
              <w:ind w:left="400"/>
              <w:spacing w:after="0"/>
              <w:rPr>
                <w:sz w:val="20"/>
                <w:szCs w:val="20"/>
                <w:color w:val="auto"/>
              </w:rPr>
            </w:pPr>
            <w:r>
              <w:rPr>
                <w:rFonts w:ascii="Arial" w:cs="Arial" w:eastAsia="Arial" w:hAnsi="Arial"/>
                <w:sz w:val="18"/>
                <w:szCs w:val="18"/>
                <w:color w:val="231F20"/>
                <w:w w:val="94"/>
              </w:rPr>
              <w:t>•</w:t>
            </w:r>
          </w:p>
        </w:tc>
        <w:tc>
          <w:tcPr>
            <w:tcW w:w="3660" w:type="dxa"/>
            <w:vAlign w:val="bottom"/>
            <w:gridSpan w:val="4"/>
          </w:tcPr>
          <w:p>
            <w:pPr>
              <w:ind w:left="320"/>
              <w:spacing w:after="0"/>
              <w:rPr>
                <w:sz w:val="20"/>
                <w:szCs w:val="20"/>
                <w:color w:val="auto"/>
              </w:rPr>
            </w:pPr>
            <w:r>
              <w:rPr>
                <w:rFonts w:ascii="Arial" w:cs="Arial" w:eastAsia="Arial" w:hAnsi="Arial"/>
                <w:sz w:val="18"/>
                <w:szCs w:val="18"/>
                <w:color w:val="231F20"/>
                <w:w w:val="90"/>
              </w:rPr>
              <w:t>Send declined accounts adverse action letters</w:t>
            </w:r>
          </w:p>
        </w:tc>
        <w:tc>
          <w:tcPr>
            <w:tcW w:w="10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62"/>
        </w:trPr>
        <w:tc>
          <w:tcPr>
            <w:tcW w:w="600" w:type="dxa"/>
            <w:vAlign w:val="bottom"/>
            <w:tcBorders>
              <w:top w:val="single" w:sz="8" w:color="auto"/>
              <w:left w:val="single" w:sz="8" w:color="auto"/>
              <w:right w:val="single" w:sz="8" w:color="auto"/>
            </w:tcBorders>
            <w:shd w:val="clear" w:color="auto" w:fill="D6D1B7"/>
          </w:tcPr>
          <w:p>
            <w:pPr>
              <w:jc w:val="center"/>
              <w:spacing w:after="0" w:line="162" w:lineRule="exact"/>
              <w:rPr>
                <w:sz w:val="20"/>
                <w:szCs w:val="20"/>
                <w:color w:val="auto"/>
              </w:rPr>
            </w:pPr>
            <w:r>
              <w:rPr>
                <w:rFonts w:ascii="Arial" w:cs="Arial" w:eastAsia="Arial" w:hAnsi="Arial"/>
                <w:sz w:val="18"/>
                <w:szCs w:val="18"/>
                <w:b w:val="1"/>
                <w:bCs w:val="1"/>
                <w:color w:val="231F20"/>
                <w:w w:val="97"/>
              </w:rPr>
              <w:t>Item</w:t>
            </w:r>
          </w:p>
        </w:tc>
        <w:tc>
          <w:tcPr>
            <w:tcW w:w="600" w:type="dxa"/>
            <w:vAlign w:val="bottom"/>
            <w:tcBorders>
              <w:top w:val="single" w:sz="8" w:color="auto"/>
            </w:tcBorders>
            <w:shd w:val="clear" w:color="auto" w:fill="D6D1B7"/>
          </w:tcPr>
          <w:p>
            <w:pPr>
              <w:spacing w:after="0"/>
              <w:rPr>
                <w:sz w:val="14"/>
                <w:szCs w:val="14"/>
                <w:color w:val="auto"/>
              </w:rPr>
            </w:pPr>
          </w:p>
        </w:tc>
        <w:tc>
          <w:tcPr>
            <w:tcW w:w="5000" w:type="dxa"/>
            <w:vAlign w:val="bottom"/>
            <w:tcBorders>
              <w:top w:val="single" w:sz="8" w:color="auto"/>
              <w:right w:val="single" w:sz="8" w:color="auto"/>
            </w:tcBorders>
            <w:shd w:val="clear" w:color="auto" w:fill="D6D1B7"/>
          </w:tcPr>
          <w:p>
            <w:pPr>
              <w:ind w:left="1960"/>
              <w:spacing w:after="0" w:line="162" w:lineRule="exact"/>
              <w:rPr>
                <w:sz w:val="20"/>
                <w:szCs w:val="20"/>
                <w:color w:val="auto"/>
              </w:rPr>
            </w:pPr>
            <w:r>
              <w:rPr>
                <w:rFonts w:ascii="Arial" w:cs="Arial" w:eastAsia="Arial" w:hAnsi="Arial"/>
                <w:sz w:val="18"/>
                <w:szCs w:val="18"/>
                <w:b w:val="1"/>
                <w:bCs w:val="1"/>
                <w:color w:val="231F20"/>
              </w:rPr>
              <w:t>Service</w:t>
            </w:r>
          </w:p>
        </w:tc>
        <w:tc>
          <w:tcPr>
            <w:tcW w:w="3900" w:type="dxa"/>
            <w:vAlign w:val="bottom"/>
            <w:tcBorders>
              <w:top w:val="single" w:sz="8" w:color="auto"/>
              <w:right w:val="single" w:sz="8" w:color="auto"/>
            </w:tcBorders>
            <w:shd w:val="clear" w:color="auto" w:fill="D6D1B7"/>
          </w:tcPr>
          <w:p>
            <w:pPr>
              <w:ind w:left="940"/>
              <w:spacing w:after="0" w:line="162" w:lineRule="exact"/>
              <w:rPr>
                <w:sz w:val="20"/>
                <w:szCs w:val="20"/>
                <w:color w:val="auto"/>
              </w:rPr>
            </w:pPr>
            <w:r>
              <w:rPr>
                <w:rFonts w:ascii="Arial" w:cs="Arial" w:eastAsia="Arial" w:hAnsi="Arial"/>
                <w:sz w:val="18"/>
                <w:szCs w:val="18"/>
                <w:b w:val="1"/>
                <w:bCs w:val="1"/>
                <w:color w:val="231F20"/>
              </w:rPr>
              <w:t>Performance Standard</w:t>
            </w:r>
          </w:p>
        </w:tc>
        <w:tc>
          <w:tcPr>
            <w:tcW w:w="1140" w:type="dxa"/>
            <w:vAlign w:val="bottom"/>
            <w:tcBorders>
              <w:top w:val="single" w:sz="8" w:color="auto"/>
              <w:right w:val="single" w:sz="8" w:color="auto"/>
            </w:tcBorders>
            <w:shd w:val="clear" w:color="auto" w:fill="D6D1B7"/>
          </w:tcPr>
          <w:p>
            <w:pPr>
              <w:ind w:left="200"/>
              <w:spacing w:after="0" w:line="162" w:lineRule="exact"/>
              <w:rPr>
                <w:sz w:val="20"/>
                <w:szCs w:val="20"/>
                <w:color w:val="auto"/>
              </w:rPr>
            </w:pPr>
            <w:r>
              <w:rPr>
                <w:rFonts w:ascii="Arial" w:cs="Arial" w:eastAsia="Arial" w:hAnsi="Arial"/>
                <w:sz w:val="18"/>
                <w:szCs w:val="18"/>
                <w:b w:val="1"/>
                <w:bCs w:val="1"/>
                <w:color w:val="231F20"/>
                <w:w w:val="99"/>
              </w:rPr>
              <w:t>Measuring</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bottom w:val="single" w:sz="8" w:color="auto"/>
              <w:right w:val="single" w:sz="8" w:color="auto"/>
            </w:tcBorders>
            <w:shd w:val="clear" w:color="auto" w:fill="D6D1B7"/>
          </w:tcPr>
          <w:p>
            <w:pPr>
              <w:spacing w:after="0"/>
              <w:rPr>
                <w:sz w:val="17"/>
                <w:szCs w:val="17"/>
                <w:color w:val="auto"/>
              </w:rPr>
            </w:pPr>
          </w:p>
        </w:tc>
        <w:tc>
          <w:tcPr>
            <w:tcW w:w="600" w:type="dxa"/>
            <w:vAlign w:val="bottom"/>
            <w:tcBorders>
              <w:bottom w:val="single" w:sz="8" w:color="auto"/>
            </w:tcBorders>
            <w:shd w:val="clear" w:color="auto" w:fill="D6D1B7"/>
          </w:tcPr>
          <w:p>
            <w:pPr>
              <w:spacing w:after="0"/>
              <w:rPr>
                <w:sz w:val="17"/>
                <w:szCs w:val="17"/>
                <w:color w:val="auto"/>
              </w:rPr>
            </w:pPr>
          </w:p>
        </w:tc>
        <w:tc>
          <w:tcPr>
            <w:tcW w:w="5000" w:type="dxa"/>
            <w:vAlign w:val="bottom"/>
            <w:tcBorders>
              <w:bottom w:val="single" w:sz="8" w:color="auto"/>
              <w:right w:val="single" w:sz="8" w:color="auto"/>
            </w:tcBorders>
            <w:shd w:val="clear" w:color="auto" w:fill="D6D1B7"/>
          </w:tcPr>
          <w:p>
            <w:pPr>
              <w:spacing w:after="0"/>
              <w:rPr>
                <w:sz w:val="17"/>
                <w:szCs w:val="17"/>
                <w:color w:val="auto"/>
              </w:rPr>
            </w:pPr>
          </w:p>
        </w:tc>
        <w:tc>
          <w:tcPr>
            <w:tcW w:w="3900" w:type="dxa"/>
            <w:vAlign w:val="bottom"/>
            <w:tcBorders>
              <w:bottom w:val="single" w:sz="8" w:color="auto"/>
              <w:right w:val="single" w:sz="8" w:color="auto"/>
            </w:tcBorders>
            <w:shd w:val="clear" w:color="auto" w:fill="D6D1B7"/>
          </w:tcPr>
          <w:p>
            <w:pPr>
              <w:spacing w:after="0"/>
              <w:rPr>
                <w:sz w:val="17"/>
                <w:szCs w:val="17"/>
                <w:color w:val="auto"/>
              </w:rPr>
            </w:pPr>
          </w:p>
        </w:tc>
        <w:tc>
          <w:tcPr>
            <w:tcW w:w="1140" w:type="dxa"/>
            <w:vAlign w:val="bottom"/>
            <w:tcBorders>
              <w:bottom w:val="single" w:sz="8" w:color="auto"/>
              <w:right w:val="single" w:sz="8" w:color="auto"/>
            </w:tcBorders>
            <w:shd w:val="clear" w:color="auto" w:fill="D6D1B7"/>
          </w:tcPr>
          <w:p>
            <w:pPr>
              <w:ind w:left="360"/>
              <w:spacing w:after="0" w:line="202" w:lineRule="exact"/>
              <w:rPr>
                <w:sz w:val="20"/>
                <w:szCs w:val="20"/>
                <w:color w:val="auto"/>
              </w:rPr>
            </w:pPr>
            <w:r>
              <w:rPr>
                <w:rFonts w:ascii="Arial" w:cs="Arial" w:eastAsia="Arial" w:hAnsi="Arial"/>
                <w:sz w:val="18"/>
                <w:szCs w:val="18"/>
                <w:b w:val="1"/>
                <w:bCs w:val="1"/>
                <w:color w:val="231F20"/>
              </w:rPr>
              <w:t>Period</w:t>
            </w: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New accounts average response time is less</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than 30 seconds.</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Notify 100% of Applicants of action taken</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00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within 30 calendar days of receiving a</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00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completed application concerning the approval</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00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of, counteroffer to, or adverse action on the</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application.</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jc w:val="right"/>
              <w:ind w:right="150"/>
              <w:spacing w:after="0" w:line="182" w:lineRule="exact"/>
              <w:rPr>
                <w:sz w:val="20"/>
                <w:szCs w:val="20"/>
                <w:color w:val="auto"/>
              </w:rPr>
            </w:pPr>
            <w:r>
              <w:rPr>
                <w:rFonts w:ascii="Arial" w:cs="Arial" w:eastAsia="Arial" w:hAnsi="Arial"/>
                <w:sz w:val="18"/>
                <w:szCs w:val="18"/>
                <w:color w:val="231F20"/>
              </w:rPr>
              <w:t>8</w:t>
            </w:r>
          </w:p>
        </w:tc>
        <w:tc>
          <w:tcPr>
            <w:tcW w:w="5600" w:type="dxa"/>
            <w:vAlign w:val="bottom"/>
            <w:tcBorders>
              <w:right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231F20"/>
              </w:rPr>
              <w:t>Payment Processing</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Report return payments monthly reflecting</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00" w:type="dxa"/>
            <w:vAlign w:val="bottom"/>
          </w:tcPr>
          <w:p>
            <w:pPr>
              <w:ind w:left="400"/>
              <w:spacing w:after="0" w:line="202" w:lineRule="exact"/>
              <w:rPr>
                <w:sz w:val="20"/>
                <w:szCs w:val="20"/>
                <w:color w:val="auto"/>
              </w:rPr>
            </w:pPr>
            <w:r>
              <w:rPr>
                <w:rFonts w:ascii="Arial" w:cs="Arial" w:eastAsia="Arial" w:hAnsi="Arial"/>
                <w:sz w:val="18"/>
                <w:szCs w:val="18"/>
                <w:color w:val="231F20"/>
              </w:rPr>
              <w:t>•</w:t>
            </w:r>
          </w:p>
        </w:tc>
        <w:tc>
          <w:tcPr>
            <w:tcW w:w="50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8"/>
              </w:rPr>
              <w:t>Provide secure payment processing for ACH payment types,</w:t>
            </w: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w w:val="99"/>
              </w:rPr>
              <w:t>appropriate action taken on customer accounts,</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including,  but  not  limited  to  Remittance  (ARC)  Electronic</w:t>
            </w:r>
          </w:p>
        </w:tc>
        <w:tc>
          <w:tcPr>
            <w:tcW w:w="3900" w:type="dxa"/>
            <w:vAlign w:val="bottom"/>
            <w:tcBorders>
              <w:bottom w:val="single" w:sz="8" w:color="auto"/>
              <w:right w:val="single" w:sz="8" w:color="auto"/>
            </w:tcBorders>
          </w:tcPr>
          <w:p>
            <w:pPr>
              <w:ind w:left="80"/>
              <w:spacing w:after="0" w:line="197" w:lineRule="exact"/>
              <w:rPr>
                <w:sz w:val="20"/>
                <w:szCs w:val="20"/>
                <w:color w:val="auto"/>
              </w:rPr>
            </w:pPr>
            <w:r>
              <w:rPr>
                <w:rFonts w:ascii="Arial" w:cs="Arial" w:eastAsia="Arial" w:hAnsi="Arial"/>
                <w:sz w:val="18"/>
                <w:szCs w:val="18"/>
                <w:color w:val="231F20"/>
              </w:rPr>
              <w:t>within five business days of receipt.</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000" w:type="dxa"/>
            <w:vAlign w:val="bottom"/>
            <w:tcBorders>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(WEB) and Telephone (TEL) payments.</w:t>
            </w:r>
          </w:p>
        </w:tc>
        <w:tc>
          <w:tcPr>
            <w:tcW w:w="390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231F20"/>
              </w:rPr>
              <w:t>Process 100% of non-conforming payments</w:t>
            </w:r>
          </w:p>
        </w:tc>
        <w:tc>
          <w:tcPr>
            <w:tcW w:w="1140" w:type="dxa"/>
            <w:vAlign w:val="bottom"/>
            <w:tcBorders>
              <w:right w:val="single" w:sz="8" w:color="auto"/>
            </w:tcBorders>
          </w:tcPr>
          <w:p>
            <w:pPr>
              <w:ind w:left="580"/>
              <w:spacing w:after="0" w:line="196"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00" w:type="dxa"/>
            <w:vAlign w:val="bottom"/>
          </w:tcPr>
          <w:p>
            <w:pPr>
              <w:ind w:left="400"/>
              <w:spacing w:after="0" w:line="182" w:lineRule="exact"/>
              <w:rPr>
                <w:sz w:val="20"/>
                <w:szCs w:val="20"/>
                <w:color w:val="auto"/>
              </w:rPr>
            </w:pPr>
            <w:r>
              <w:rPr>
                <w:rFonts w:ascii="Arial" w:cs="Arial" w:eastAsia="Arial" w:hAnsi="Arial"/>
                <w:sz w:val="18"/>
                <w:szCs w:val="18"/>
                <w:color w:val="231F20"/>
              </w:rPr>
              <w:t>•</w:t>
            </w:r>
          </w:p>
        </w:tc>
        <w:tc>
          <w:tcPr>
            <w:tcW w:w="500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231F20"/>
                <w:w w:val="92"/>
              </w:rPr>
              <w:t>Include payment exception item processing and deposit of funds</w:t>
            </w:r>
          </w:p>
        </w:tc>
        <w:tc>
          <w:tcPr>
            <w:tcW w:w="390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within five days of receipt.</w:t>
            </w: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50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231F20"/>
              </w:rPr>
              <w:t>into Bank- specified account(s).</w:t>
            </w:r>
          </w:p>
        </w:tc>
        <w:tc>
          <w:tcPr>
            <w:tcW w:w="39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231F20"/>
              </w:rPr>
              <w:t>Process 96% of all conforming payments within</w:t>
            </w:r>
          </w:p>
        </w:tc>
        <w:tc>
          <w:tcPr>
            <w:tcW w:w="1140" w:type="dxa"/>
            <w:vAlign w:val="bottom"/>
            <w:tcBorders>
              <w:right w:val="single" w:sz="8" w:color="auto"/>
            </w:tcBorders>
          </w:tcPr>
          <w:p>
            <w:pPr>
              <w:ind w:left="580"/>
              <w:spacing w:after="0" w:line="182" w:lineRule="exact"/>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right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500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rPr>
              <w:t>24 hours of receipt; payments must be</w:t>
            </w:r>
          </w:p>
        </w:tc>
        <w:tc>
          <w:tcPr>
            <w:tcW w:w="1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00" w:type="dxa"/>
            <w:vAlign w:val="bottom"/>
            <w:vMerge w:val="restart"/>
          </w:tcPr>
          <w:p>
            <w:pPr>
              <w:ind w:left="400"/>
              <w:spacing w:after="0"/>
              <w:rPr>
                <w:sz w:val="20"/>
                <w:szCs w:val="20"/>
                <w:color w:val="auto"/>
              </w:rPr>
            </w:pPr>
            <w:r>
              <w:rPr>
                <w:rFonts w:ascii="Arial" w:cs="Arial" w:eastAsia="Arial" w:hAnsi="Arial"/>
                <w:sz w:val="18"/>
                <w:szCs w:val="18"/>
                <w:color w:val="231F20"/>
              </w:rPr>
              <w:t>•</w:t>
            </w:r>
          </w:p>
        </w:tc>
        <w:tc>
          <w:tcPr>
            <w:tcW w:w="50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231F20"/>
              </w:rPr>
              <w:t>Report action taken on returned payments.</w:t>
            </w:r>
          </w:p>
        </w:tc>
        <w:tc>
          <w:tcPr>
            <w:tcW w:w="39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500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231F20"/>
              </w:rPr>
              <w:t>processed utilizing the date of receipt, unless</w:t>
            </w: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00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231F20"/>
              </w:rPr>
              <w:t>the delay in crediting does not result in a</w:t>
            </w: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231F20"/>
              </w:rPr>
              <w:t>finance charge or other charge.</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400"/>
        <w:spacing w:after="0" w:line="235" w:lineRule="auto"/>
        <w:rPr>
          <w:sz w:val="20"/>
          <w:szCs w:val="20"/>
          <w:color w:val="auto"/>
        </w:rPr>
      </w:pPr>
      <w:r>
        <w:rPr>
          <w:rFonts w:ascii="Arial" w:cs="Arial" w:eastAsia="Arial" w:hAnsi="Arial"/>
          <w:sz w:val="22"/>
          <w:szCs w:val="22"/>
          <w:color w:val="231F20"/>
        </w:rPr>
        <w:t xml:space="preserve">Servicer and Bank will meet as needed, but no less than annually, to review the Services and associated Performance Standards and Measuring Periods. Based on that review, Bank will use its business judgment to determine whether (and if so, how) to add, remove, adjust, or otherwise amend any component of the Services, Performance Standards and/or Measuring Periods. Documentation of such adjustments shall be memorialized in writing and executed by both parties, which writing need not be in the form of a formal amendment to this Agreement, but shall be attached to and become a part of this </w:t>
      </w:r>
      <w:r>
        <w:rPr>
          <w:rFonts w:ascii="Arial" w:cs="Arial" w:eastAsia="Arial" w:hAnsi="Arial"/>
          <w:sz w:val="22"/>
          <w:szCs w:val="22"/>
          <w:u w:val="single" w:color="auto"/>
          <w:color w:val="231F20"/>
        </w:rPr>
        <w:t>Appendix A</w:t>
      </w:r>
      <w:r>
        <w:rPr>
          <w:rFonts w:ascii="Arial" w:cs="Arial" w:eastAsia="Arial" w:hAnsi="Arial"/>
          <w:sz w:val="22"/>
          <w:szCs w:val="22"/>
          <w:color w:val="231F20"/>
        </w:rPr>
        <w:t xml:space="preserve"> once executed by the parties.</w:t>
      </w:r>
    </w:p>
    <w:p>
      <w:pPr>
        <w:spacing w:after="0" w:line="191" w:lineRule="exact"/>
        <w:rPr>
          <w:sz w:val="20"/>
          <w:szCs w:val="20"/>
          <w:color w:val="auto"/>
        </w:rPr>
      </w:pPr>
    </w:p>
    <w:p>
      <w:pPr>
        <w:ind w:left="180"/>
        <w:spacing w:after="0"/>
        <w:tabs>
          <w:tab w:leader="none" w:pos="1480" w:val="left"/>
        </w:tabs>
        <w:rPr>
          <w:sz w:val="20"/>
          <w:szCs w:val="20"/>
          <w:color w:val="auto"/>
        </w:rPr>
      </w:pPr>
      <w:r>
        <w:rPr>
          <w:rFonts w:ascii="Arial" w:cs="Arial" w:eastAsia="Arial" w:hAnsi="Arial"/>
          <w:sz w:val="18"/>
          <w:szCs w:val="18"/>
          <w:b w:val="1"/>
          <w:bCs w:val="1"/>
          <w:color w:val="231F20"/>
        </w:rPr>
        <w:t>Abbreviation</w:t>
      </w:r>
      <w:r>
        <w:rPr>
          <w:sz w:val="20"/>
          <w:szCs w:val="20"/>
          <w:color w:val="auto"/>
        </w:rPr>
        <w:tab/>
      </w:r>
      <w:r>
        <w:rPr>
          <w:rFonts w:ascii="Arial" w:cs="Arial" w:eastAsia="Arial" w:hAnsi="Arial"/>
          <w:sz w:val="18"/>
          <w:szCs w:val="18"/>
          <w:b w:val="1"/>
          <w:bCs w:val="1"/>
          <w:color w:val="231F20"/>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17015" cy="591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015" cy="591820"/>
                    </a:xfrm>
                    <a:prstGeom prst="rect">
                      <a:avLst/>
                    </a:prstGeom>
                    <a:noFill/>
                  </pic:spPr>
                </pic:pic>
              </a:graphicData>
            </a:graphic>
          </wp:anchor>
        </w:drawing>
      </w:r>
    </w:p>
    <w:p>
      <w:pPr>
        <w:spacing w:after="0" w:line="7" w:lineRule="exact"/>
        <w:rPr>
          <w:sz w:val="20"/>
          <w:szCs w:val="20"/>
          <w:color w:val="auto"/>
        </w:rPr>
      </w:pPr>
    </w:p>
    <w:p>
      <w:pPr>
        <w:ind w:left="1300" w:hanging="1182"/>
        <w:spacing w:after="0"/>
        <w:tabs>
          <w:tab w:leader="none" w:pos="130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Monthly</w:t>
      </w:r>
    </w:p>
    <w:p>
      <w:pPr>
        <w:spacing w:after="0" w:line="23" w:lineRule="exact"/>
        <w:rPr>
          <w:sz w:val="20"/>
          <w:szCs w:val="20"/>
          <w:color w:val="auto"/>
        </w:rPr>
      </w:pPr>
    </w:p>
    <w:p>
      <w:pPr>
        <w:ind w:left="1300" w:hanging="1182"/>
        <w:spacing w:after="0"/>
        <w:tabs>
          <w:tab w:leader="none" w:pos="13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Quarterly</w:t>
      </w:r>
    </w:p>
    <w:p>
      <w:pPr>
        <w:spacing w:after="0" w:line="22" w:lineRule="exact"/>
        <w:rPr>
          <w:rFonts w:ascii="Arial" w:cs="Arial" w:eastAsia="Arial" w:hAnsi="Arial"/>
          <w:sz w:val="18"/>
          <w:szCs w:val="18"/>
          <w:color w:val="231F20"/>
        </w:rPr>
      </w:pPr>
    </w:p>
    <w:p>
      <w:pPr>
        <w:ind w:left="120"/>
        <w:spacing w:after="0"/>
        <w:rPr>
          <w:rFonts w:ascii="Arial" w:cs="Arial" w:eastAsia="Arial" w:hAnsi="Arial"/>
          <w:sz w:val="18"/>
          <w:szCs w:val="18"/>
          <w:color w:val="231F20"/>
        </w:rPr>
      </w:pPr>
      <w:r>
        <w:rPr>
          <w:rFonts w:ascii="Arial" w:cs="Arial" w:eastAsia="Arial" w:hAnsi="Arial"/>
          <w:sz w:val="18"/>
          <w:szCs w:val="18"/>
          <w:color w:val="231F20"/>
        </w:rPr>
        <w:t>A</w:t>
      </w:r>
      <w:r>
        <w:rPr>
          <w:rFonts w:ascii="Arial" w:cs="Arial" w:eastAsia="Arial" w:hAnsi="Arial"/>
          <w:sz w:val="17"/>
          <w:szCs w:val="17"/>
          <w:color w:val="231F20"/>
        </w:rPr>
        <w:t>Annually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0" w:lineRule="auto"/>
        <w:rPr>
          <w:sz w:val="20"/>
          <w:szCs w:val="20"/>
          <w:color w:val="auto"/>
        </w:rPr>
      </w:pPr>
      <w:r>
        <w:rPr>
          <w:rFonts w:ascii="Arial" w:cs="Arial" w:eastAsia="Arial" w:hAnsi="Arial"/>
          <w:sz w:val="22"/>
          <w:szCs w:val="22"/>
          <w:color w:val="auto"/>
        </w:rPr>
        <w:t>Service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5" w:name="page16"/>
    <w:bookmarkEnd w:id="15"/>
    <w:p>
      <w:pPr>
        <w:ind w:left="4960"/>
        <w:spacing w:after="0"/>
        <w:rPr>
          <w:sz w:val="20"/>
          <w:szCs w:val="20"/>
          <w:color w:val="auto"/>
        </w:rPr>
      </w:pPr>
      <w:r>
        <w:rPr>
          <w:rFonts w:ascii="Arial" w:cs="Arial" w:eastAsia="Arial" w:hAnsi="Arial"/>
          <w:sz w:val="22"/>
          <w:szCs w:val="22"/>
          <w:b w:val="1"/>
          <w:bCs w:val="1"/>
          <w:color w:val="auto"/>
        </w:rPr>
        <w:t>APPENDIX B</w:t>
      </w:r>
    </w:p>
    <w:p>
      <w:pPr>
        <w:spacing w:after="0" w:line="167"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FEE SCHEDULE FOR REVOLVING CREDIT CARDS</w:t>
      </w:r>
    </w:p>
    <w:p>
      <w:pPr>
        <w:jc w:val="center"/>
        <w:spacing w:after="0"/>
        <w:rPr>
          <w:sz w:val="20"/>
          <w:szCs w:val="20"/>
          <w:color w:val="auto"/>
        </w:rPr>
      </w:pPr>
      <w:r>
        <w:rPr>
          <w:rFonts w:ascii="Arial" w:cs="Arial" w:eastAsia="Arial" w:hAnsi="Arial"/>
          <w:sz w:val="22"/>
          <w:szCs w:val="22"/>
          <w:b w:val="1"/>
          <w:bCs w:val="1"/>
          <w:color w:val="auto"/>
        </w:rPr>
        <w:t>(APPLIES TO APPENDIX A SECTION I &amp; II)</w:t>
      </w:r>
    </w:p>
    <w:p>
      <w:pPr>
        <w:spacing w:after="0" w:line="175" w:lineRule="exact"/>
        <w:rPr>
          <w:sz w:val="20"/>
          <w:szCs w:val="20"/>
          <w:color w:val="auto"/>
        </w:rPr>
      </w:pPr>
    </w:p>
    <w:p>
      <w:pPr>
        <w:jc w:val="both"/>
        <w:ind w:left="340" w:right="2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Bank agrees to pay Servicer monthly for the Services provided with respect to revolving credit cards. The fee for such Services provided shall become due and payable by Bank not later than the 15th calendar day following the end of the preceding month.</w:t>
      </w:r>
    </w:p>
    <w:p>
      <w:pPr>
        <w:spacing w:after="0" w:line="213" w:lineRule="exact"/>
        <w:rPr>
          <w:rFonts w:ascii="Arial" w:cs="Arial" w:eastAsia="Arial" w:hAnsi="Arial"/>
          <w:sz w:val="22"/>
          <w:szCs w:val="22"/>
          <w:color w:val="auto"/>
        </w:rPr>
      </w:pPr>
    </w:p>
    <w:p>
      <w:pPr>
        <w:jc w:val="both"/>
        <w:ind w:left="340" w:hanging="332"/>
        <w:spacing w:after="0" w:line="245" w:lineRule="auto"/>
        <w:tabs>
          <w:tab w:leader="none" w:pos="340" w:val="left"/>
        </w:tabs>
        <w:numPr>
          <w:ilvl w:val="0"/>
          <w:numId w:val="8"/>
        </w:numPr>
        <w:rPr>
          <w:rFonts w:ascii="Arial" w:cs="Arial" w:eastAsia="Arial" w:hAnsi="Arial"/>
          <w:sz w:val="21"/>
          <w:szCs w:val="21"/>
          <w:color w:val="auto"/>
        </w:rPr>
      </w:pPr>
      <w:r>
        <w:rPr>
          <w:rFonts w:ascii="Arial" w:cs="Arial" w:eastAsia="Arial" w:hAnsi="Arial"/>
          <w:sz w:val="21"/>
          <w:szCs w:val="21"/>
          <w:color w:val="auto"/>
        </w:rPr>
        <w:t>Servicer will provide to Bank, no later than the 10th calendar day of each month, a statement of the fees incurred during the immediately preceding month (the “Fee Statement”). Servicer shall assess the fees by (1) calculating the total cost of the Services, as defined in this Agreement and the Third Amended and Restated Service Agreement, dated as of February 1, 2019, by and between Comenity Servicing LLC and Comenity Bank, provided to Bank and Bank’s sister bank, Comenity Bank, (together, the “Total Services”), during the subject month, inclusive of payroll, benefits and Total Services-associated expenses, (2) calculating the amount of that total cost allocable to Bank based on Bank’s statement volume during the subject month, and (3) adding a twelve percent (12%) markup. The parties have agreed (based upon an independent third party study) that a 12% markup is within the reasonable markup range which would be charged by an independent party on an arm’s length basis for the Services provided.</w:t>
      </w:r>
    </w:p>
    <w:p>
      <w:pPr>
        <w:spacing w:after="0" w:line="211" w:lineRule="exact"/>
        <w:rPr>
          <w:rFonts w:ascii="Arial" w:cs="Arial" w:eastAsia="Arial" w:hAnsi="Arial"/>
          <w:sz w:val="21"/>
          <w:szCs w:val="21"/>
          <w:color w:val="auto"/>
        </w:rPr>
      </w:pPr>
    </w:p>
    <w:p>
      <w:pPr>
        <w:ind w:left="340" w:hanging="332"/>
        <w:spacing w:after="0" w:line="328" w:lineRule="auto"/>
        <w:tabs>
          <w:tab w:leader="none" w:pos="340" w:val="left"/>
        </w:tabs>
        <w:numPr>
          <w:ilvl w:val="0"/>
          <w:numId w:val="8"/>
        </w:numPr>
        <w:rPr>
          <w:rFonts w:ascii="Arial" w:cs="Arial" w:eastAsia="Arial" w:hAnsi="Arial"/>
          <w:sz w:val="19"/>
          <w:szCs w:val="19"/>
          <w:color w:val="auto"/>
        </w:rPr>
      </w:pPr>
      <w:r>
        <w:rPr>
          <w:rFonts w:ascii="Arial" w:cs="Arial" w:eastAsia="Arial" w:hAnsi="Arial"/>
          <w:sz w:val="19"/>
          <w:szCs w:val="19"/>
          <w:color w:val="auto"/>
        </w:rPr>
        <w:t>Bank is responsible for examining the Fee Statement and promptly reporting any errors or irregularities to Servicer. Bank will remit payment to Servicer no later than the 15th calendar day of the month in which each Fee Statement is received.</w:t>
      </w:r>
    </w:p>
    <w:p>
      <w:pPr>
        <w:spacing w:after="0" w:line="131" w:lineRule="exact"/>
        <w:rPr>
          <w:rFonts w:ascii="Arial" w:cs="Arial" w:eastAsia="Arial" w:hAnsi="Arial"/>
          <w:sz w:val="19"/>
          <w:szCs w:val="19"/>
          <w:color w:val="auto"/>
        </w:rPr>
      </w:pPr>
    </w:p>
    <w:p>
      <w:pPr>
        <w:jc w:val="both"/>
        <w:ind w:left="340" w:hanging="332"/>
        <w:spacing w:after="0" w:line="252" w:lineRule="auto"/>
        <w:tabs>
          <w:tab w:leader="none" w:pos="340" w:val="left"/>
        </w:tabs>
        <w:numPr>
          <w:ilvl w:val="0"/>
          <w:numId w:val="8"/>
        </w:numPr>
        <w:rPr>
          <w:rFonts w:ascii="Arial" w:cs="Arial" w:eastAsia="Arial" w:hAnsi="Arial"/>
          <w:sz w:val="21"/>
          <w:szCs w:val="21"/>
          <w:color w:val="auto"/>
        </w:rPr>
      </w:pPr>
      <w:r>
        <w:rPr>
          <w:rFonts w:ascii="Arial" w:cs="Arial" w:eastAsia="Arial" w:hAnsi="Arial"/>
          <w:sz w:val="21"/>
          <w:szCs w:val="21"/>
          <w:color w:val="auto"/>
        </w:rPr>
        <w:t>Bank shall be responsible for all sales, use or excise taxes levied on accounts payable by Bank to Servicer under this Agreement, excluding taxes based upon Servicer’s income, employment of personnel or taxes from which Bank is exempt, provided Bank provides Servicer written evidence of such exemption. Undisputed payments shall be made by Bank to Servicer within thirty (30) calendar days after Bank’s receipt of Servicer’s invoice therefor.</w:t>
      </w:r>
    </w:p>
    <w:p>
      <w:pPr>
        <w:spacing w:after="0" w:line="200" w:lineRule="exact"/>
        <w:rPr>
          <w:rFonts w:ascii="Arial" w:cs="Arial" w:eastAsia="Arial" w:hAnsi="Arial"/>
          <w:sz w:val="21"/>
          <w:szCs w:val="21"/>
          <w:color w:val="auto"/>
        </w:rPr>
      </w:pPr>
    </w:p>
    <w:p>
      <w:pPr>
        <w:jc w:val="both"/>
        <w:ind w:left="340" w:hanging="332"/>
        <w:spacing w:after="0" w:line="235"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parties will meet at least annually to review Servicer’s budgeted costs for the following year for the Services with respect to revolving credit cards. Based on that review, the parties will use commercially reasonable efforts to determine appropriate adjustments to the forecasted fees and/or markup percentage. Such adjustments and component costs shall be documented in writing executed by both parties, which writing need not be in the form of a formal amendment to this Agreement, but shall be attached to and become a part of this Fee Schedule for Revolving Credit Cards of Appendix B once executed by Bank and Servicer.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Second Amendment to Third Amended and Restated</w:t>
      </w:r>
    </w:p>
    <w:p>
      <w:pPr>
        <w:jc w:val="right"/>
        <w:spacing w:after="0" w:line="238" w:lineRule="auto"/>
        <w:rPr>
          <w:sz w:val="20"/>
          <w:szCs w:val="20"/>
          <w:color w:val="auto"/>
        </w:rPr>
      </w:pPr>
      <w:r>
        <w:rPr>
          <w:rFonts w:ascii="Arial" w:cs="Arial" w:eastAsia="Arial" w:hAnsi="Arial"/>
          <w:sz w:val="22"/>
          <w:szCs w:val="22"/>
          <w:color w:val="auto"/>
        </w:rPr>
        <w:t>Service Agreement</w:t>
      </w:r>
    </w:p>
    <w:p>
      <w:pPr>
        <w:jc w:val="right"/>
        <w:spacing w:after="0"/>
        <w:rPr>
          <w:sz w:val="20"/>
          <w:szCs w:val="20"/>
          <w:color w:val="auto"/>
        </w:rPr>
      </w:pPr>
      <w:r>
        <w:rPr>
          <w:rFonts w:ascii="Arial" w:cs="Arial" w:eastAsia="Arial" w:hAnsi="Arial"/>
          <w:sz w:val="22"/>
          <w:szCs w:val="22"/>
          <w:color w:val="auto"/>
        </w:rPr>
        <w:t>Comenity Servicing LLC/Comenity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M"/>
      <w:numFmt w:val="bullet"/>
      <w:start w:val="1"/>
    </w:lvl>
  </w:abstractNum>
  <w:abstractNum w:abstractNumId="6">
    <w:nsid w:val="79E2A9E3"/>
    <w:multiLevelType w:val="hybridMultilevel"/>
    <w:lvl w:ilvl="0">
      <w:lvlJc w:val="left"/>
      <w:lvlText w:val="Q"/>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2022-03-03T15:48:26Z</dcterms:created>
  <dcterms:modified xsi:type="dcterms:W3CDTF">2022-03-03T15:48:26Z</dcterms:modified>
</cp:coreProperties>
</file>