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4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July 23, 2026</w:t>
      </w:r>
    </w:p>
    <w:p>
      <w:pPr>
        <w:pStyle w:val="TextBody"/>
        <w:bidi w:val="0"/>
        <w:spacing w:before="240" w:after="283"/>
        <w:jc w:val="center"/>
        <w:rPr/>
      </w:pPr>
      <w:r>
        <w:rPr/>
        <w:drawing>
          <wp:inline distT="0" distB="0" distL="0" distR="0">
            <wp:extent cx="28575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390525"/>
                    </a:xfrm>
                    <a:prstGeom prst="rect">
                      <a:avLst/>
                    </a:prstGeom>
                  </pic:spPr>
                </pic:pic>
              </a:graphicData>
            </a:graphic>
          </wp:inline>
        </w:drawing>
      </w:r>
      <w:bookmarkStart w:id="0" w:name="i-1"/>
      <w:bookmarkEnd w:id="0"/>
    </w:p>
    <w:p>
      <w:pPr>
        <w:pStyle w:val="TextBody"/>
        <w:bidi w:val="0"/>
        <w:spacing w:lineRule="auto" w:line="288" w:before="400" w:after="283"/>
        <w:jc w:val="center"/>
        <w:rPr>
          <w:rFonts w:ascii="Times New Roman;serif" w:hAnsi="Times New Roman;serif"/>
          <w:b/>
          <w:color w:val="000000"/>
          <w:sz w:val="36"/>
        </w:rPr>
      </w:pPr>
      <w:r>
        <w:rPr>
          <w:rFonts w:ascii="Times New Roman;serif" w:hAnsi="Times New Roman;serif"/>
          <w:b/>
          <w:color w:val="000000"/>
          <w:sz w:val="36"/>
        </w:rPr>
        <w:t>BREAD FINANCIAL HOLDINGS,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Charter)</w:t>
      </w:r>
    </w:p>
    <w:tbl>
      <w:tblPr>
        <w:tblW w:w="5922" w:type="dxa"/>
        <w:jc w:val="left"/>
        <w:tblInd w:w="0" w:type="dxa"/>
        <w:tblLayout w:type="fixed"/>
        <w:tblCellMar>
          <w:top w:w="28" w:type="dxa"/>
          <w:left w:w="28" w:type="dxa"/>
          <w:bottom w:w="28" w:type="dxa"/>
          <w:right w:w="28" w:type="dxa"/>
        </w:tblCellMar>
      </w:tblPr>
      <w:tblGrid>
        <w:gridCol w:w="960"/>
        <w:gridCol w:w="844"/>
        <w:gridCol w:w="850"/>
        <w:gridCol w:w="458"/>
        <w:gridCol w:w="458"/>
        <w:gridCol w:w="463"/>
        <w:gridCol w:w="552"/>
        <w:gridCol w:w="552"/>
        <w:gridCol w:w="785"/>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Delaware</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001-15749</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31-1429215</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w:t>
              <w:br/>
              <w:t>of Incorporation)</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(Commission</w:t>
              <w:br/>
              <w:t>File Number)</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(IRS Employer</w:t>
              <w:br/>
              <w:t>Identification No.)</w:t>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3095 LOYALTY CIRCLE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COLUMBUS, Ohio 43219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(Address and Zip Code of Principal Executive Offices)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(614) 729-4000</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(Registrant’s Telephone Number, including Area Code)</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Check the appropriate box below if the Form 8-K is intended to simultaneously satisfy the filing obligation of the Registrant under any of the following provisions:</w:t>
      </w:r>
    </w:p>
    <w:tbl>
      <w:tblPr>
        <w:tblW w:w="8832" w:type="dxa"/>
        <w:jc w:val="left"/>
        <w:tblInd w:w="0" w:type="dxa"/>
        <w:tblLayout w:type="fixed"/>
        <w:tblCellMar>
          <w:top w:w="28" w:type="dxa"/>
          <w:left w:w="28" w:type="dxa"/>
          <w:bottom w:w="28" w:type="dxa"/>
          <w:right w:w="28" w:type="dxa"/>
        </w:tblCellMar>
      </w:tblPr>
      <w:tblGrid>
        <w:gridCol w:w="124"/>
        <w:gridCol w:w="109"/>
        <w:gridCol w:w="109"/>
        <w:gridCol w:w="2483"/>
        <w:gridCol w:w="2483"/>
        <w:gridCol w:w="35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Soliciting material pursuant to Rule 14a-12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14d-2(b)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13e-4(c) under the Exchange Act</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82"/>
        <w:gridCol w:w="1708"/>
        <w:gridCol w:w="1729"/>
        <w:gridCol w:w="109"/>
        <w:gridCol w:w="109"/>
        <w:gridCol w:w="109"/>
        <w:gridCol w:w="390"/>
        <w:gridCol w:w="390"/>
        <w:gridCol w:w="391"/>
        <w:gridCol w:w="109"/>
        <w:gridCol w:w="109"/>
        <w:gridCol w:w="109"/>
        <w:gridCol w:w="719"/>
        <w:gridCol w:w="719"/>
        <w:gridCol w:w="1023"/>
      </w:tblGrid>
      <w:tr>
        <w:trPr/>
        <w:tc>
          <w:tcPr>
            <w:tcW w:w="248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Trading 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Name of each exchange on which registered</w:t>
            </w:r>
          </w:p>
        </w:tc>
      </w:tr>
      <w:tr>
        <w:trPr/>
        <w:tc>
          <w:tcPr>
            <w:tcW w:w="5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par value $0.01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BFH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8.625%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BFH 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8.875% Fixed 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BFH 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Emerging growth company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 July 23, 2026, Bread Financial Holdings, Inc. (the “Company”) issued a press release regarding its results of operations for the quarter ended June 30, 2026 (the “Q2 2026 Earnings Release”). Copies of the Q2 2026 Earnings Release and the related financial supplement are furnished as Exhibit 99.1 and Exhibit 99.2 hereto,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connection with the Q2 2026 Earnings Release, on July 23, 2026, the Company posted an investor presentation to the Company’s website (at www.breadfinancial.com) on the “Investors” page under “Events &amp; Presentations,” where the Company routinely posts, and intends to do so in the future, announcements, events, presentations, news releases and other investor information. The investor presentation may be used by the Company’s senior management during meetings and calls with analysts, investors and other market participants. Information on the Company’s website does not constitute a part of this Current Report on Form 8-K.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8.01 Other Events.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 July 23, 2026, the Company issued a press release announcing that the Board of Directors of the Company has declared: (i) a quarterly cash dividend of $21.56 per share of its 8.625% Non-Cumulative Perpetual Preferred Stock, Series A (equivalent to $0.539 per depositary share, each representing a 1/40th interest in a share of preferred stock), payable on September 15, 2026 to preferred stockholders of record at the close of business on August 31, 2026; (ii) a quarterly cash dividend of $30.32 per share of its 8.875% Fixed Rate Reset Non-Cumulative Perpetual Preferred Stock, Series B (equivalent to $0.758 per depositary share, each representing a 1/40th interest in a share of preferred stock), payable on September 15, 2026 to preferred stockholders of record at the close of business on August 31, 2026; and (iii) a quarterly cash dividend of $0.23 per share of common stock, payable on September 15, 2026 to common stockholders of record at the close of business on August 31, 2026. A copy of the press release announcing these dividends is attached as Exhibit 99.3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5"/>
        <w:gridCol w:w="355"/>
        <w:gridCol w:w="357"/>
        <w:gridCol w:w="109"/>
        <w:gridCol w:w="109"/>
        <w:gridCol w:w="109"/>
        <w:gridCol w:w="2571"/>
        <w:gridCol w:w="2563"/>
        <w:gridCol w:w="3627"/>
      </w:tblGrid>
      <w:tr>
        <w:trPr/>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Document Description</w:t>
            </w:r>
          </w:p>
        </w:tc>
      </w:tr>
      <w:tr>
        <w:trPr/>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991-2q26bfhepr_final.htm">
              <w:r>
                <w:rPr>
                  <w:rStyle w:val="InternetLink"/>
                  <w:rFonts w:ascii="Times New Roman;serif" w:hAnsi="Times New Roman;serif"/>
                  <w:b w:val="false"/>
                  <w:color w:val="0000FF"/>
                  <w:sz w:val="24"/>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Press Release dated July 23, 2026 announcing the Company’s results of operations for the quarter ended June 30, 2026.</w:t>
            </w:r>
          </w:p>
        </w:tc>
      </w:tr>
      <w:tr>
        <w:trPr/>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992-2q26bfhfinancials.htm">
              <w:r>
                <w:rPr>
                  <w:rStyle w:val="InternetLink"/>
                  <w:rFonts w:ascii="Times New Roman;serif" w:hAnsi="Times New Roman;serif"/>
                  <w:b w:val="false"/>
                  <w:color w:val="0000FF"/>
                  <w:sz w:val="24"/>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Financial Supplement - Second Quarter 2026.</w:t>
            </w:r>
          </w:p>
        </w:tc>
      </w:tr>
      <w:tr>
        <w:trPr/>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3cashandpreferred.htm">
              <w:r>
                <w:rPr>
                  <w:rStyle w:val="InternetLink"/>
                  <w:rFonts w:ascii="Times New Roman;serif" w:hAnsi="Times New Roman;serif"/>
                  <w:b w:val="false"/>
                  <w:color w:val="0000FF"/>
                  <w:sz w:val="24"/>
                  <w:u w:val="single"/>
                </w:rPr>
                <w:t>99.3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Press Release dated July 23, 2026 announcing the dividends on the Company’s preferred and common stock.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60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283"/>
        <w:gridCol w:w="2283"/>
        <w:gridCol w:w="323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4"/>
        </w:rPr>
        <w:t xml:space="preserve">Note: </w:t>
      </w:r>
      <w:r>
        <w:rPr>
          <w:rFonts w:ascii="Times New Roman;serif" w:hAnsi="Times New Roman;serif"/>
          <w:b w:val="false"/>
          <w:color w:val="000000"/>
          <w:sz w:val="24"/>
        </w:rPr>
        <w:t>Except for the information in Item 8.01 hereof (including Exhibit 99.3 hereto), the information contained in this report (including Exhibits 99.1 and 99.2) shall not be deemed “filed” for purposes of Section 18 of the Securities Exchange Act of 1934, as amended, or otherwise subject to the liabilities of that section, nor shall it be deemed incorporated by reference in any filing under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tbl>
      <w:tblPr>
        <w:tblW w:w="6645" w:type="dxa"/>
        <w:jc w:val="left"/>
        <w:tblInd w:w="0" w:type="dxa"/>
        <w:tblLayout w:type="fixed"/>
        <w:tblCellMar>
          <w:top w:w="28" w:type="dxa"/>
          <w:left w:w="28" w:type="dxa"/>
          <w:bottom w:w="28" w:type="dxa"/>
          <w:right w:w="28" w:type="dxa"/>
        </w:tblCellMar>
      </w:tblPr>
      <w:tblGrid>
        <w:gridCol w:w="715"/>
        <w:gridCol w:w="631"/>
        <w:gridCol w:w="634"/>
        <w:gridCol w:w="475"/>
        <w:gridCol w:w="475"/>
        <w:gridCol w:w="475"/>
        <w:gridCol w:w="943"/>
        <w:gridCol w:w="943"/>
        <w:gridCol w:w="1354"/>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July 23, 2026</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Joseph L. Motes III</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Joseph L. Motes III</w:t>
              <w:br/>
              <w:t xml:space="preserve">Executive Vice President, Chief </w:t>
              <w:br/>
              <w:t xml:space="preserve">Administrative Officer, General </w:t>
              <w:br/>
              <w:t>Counsel and Secretary</w:t>
            </w:r>
          </w:p>
        </w:tc>
      </w:tr>
    </w:tbl>
    <w:p>
      <w:pPr>
        <w:pStyle w:val="TextBody"/>
        <w:bidi w:val="0"/>
        <w:spacing w:before="0" w:after="0"/>
        <w:jc w:val="center"/>
        <w:rPr/>
      </w:pPr>
      <w:bookmarkStart w:id="1" w:name="exh991-2q26bfhepr_final.htm"/>
      <w:bookmarkStart w:id="2" w:name="ksexh9912q26bfhepr_final"/>
      <w:bookmarkEnd w:id="1"/>
      <w:bookmarkEnd w:id="2"/>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Bread Financial | July 23, 2026 1 "Bread Financial delivered another quarter of strong results, underscoring the effectiveness of our business strategy and the consistency of our disciplined execution. We experienced growth in our co-brand portfolio, Bread Pay platform, and new partnerships, driving 11% year-over-year credit sales growth and supporting 5% end-of-period loan growth. We had broad success across industry verticals during the quarter, with solid growth in the home, travel and entertainment, and sporting goods verticals. This momentum translated into strong financial performance, with year-over-year revenue growth of 7% and net income of $146 million, demonstrating the earnings power of our business model and underscoring opportunities ahead. "Our direct-to-consumer deposits grew 16% year-over-year, marking our second strongest quarter of growth since the program's inception in 2019, and reinforcing a cost-effective and steady funding source. Beyond our core operating performance, we enhanced both our capital stack and our capacity to return excess capital to shareholders through another successful issuance of preferred stock, while retiring 7% of our outstanding common shares since the end of the first quarter. Our financial results combined with our capital actions increased tangible book value per common share by 22% year-over-year, a continued demonstration of the intrinsic value we are building. These results showcase the durability and resilience of our business model and success in executing on our priorities while delivering long-term value to shareholders. "Consumers have remained resilient as they navigate inflationary pressures and continued macroeconomic uncertainty. We remain disciplined in our underwriting and credit strategies and continue to drive meaningful improvement in both our delinquency and net loss rate as a result. As we look ahead, we remain confident in our ability to sustain our positive momentum while continuing to invest in the long-term growth of Bread Financial." - Ralph Andretta, president and chief executive officer Bread Financial reports continued growth for the second quarter across credit sales, loans, and direct-to-consumer deposits; Improves 2026 outlook (1) Represents a Non-GAAP financial measure. See “Non-GAAP Financial Measures” and "Reconciliation of GAAP to Non-GAAP Financial Measures." $18.2B 2Q26 Average loans $3.55 2Q26 Earnings per diluted common share 12.9% Common equity tier 1 capital ratio $63.66 Tangible book value per common share(1) • Relative to the second quarter of 2025: • Net income of $146 million increased $7 million, or 5%, driven by solid loan growth resulting in both 7% revenue growth and a higher provision for credit losses. • Pretax pre-provision earnings (PPNR)(1) increased $62 million, or 14%, while adjusted PPNR(1), which excludes impacts from debt repurchases, increased $49 million, or 11%. • Average loans increased 3%, benefitting from growth in our new partnerships and improved credit sales. • Book value per common share increased $13.91, or 21%, to $81.79. • Tangible book value per common share(1) increased $11.45, or 22%, to $63.66. • Return on average equity was 17.1%. • Return on average tangible common equity(1) was 22.6%. • The delinquency rate was 5.25% and the net loss rate was 6.98%. • Issued $135 million of 8.875% preferred shares. • Repurchased 2.8 million shares of common stock for $241 million. CEO COMMENTARY COLUMBUS, Ohio, July 23, 2026 – Bread Financial Holdings, Inc. (NYSE: BFH), a tech-forward financial services company that provides simple, personalized payment, lending, and saving solutions, today announced financial results for the second quarter ended June 30, 2026.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Bread Financial | July 23, 2026 2 2026 full year outlook • "Our 2026 outlook is predicated on continued consumer resilience, inflation remaining above the Federal Reserve target rate of 2%, and a generally stable labor market. • Average loan growth: "Based on visibility into our pipeline and partner growth, we now expect average credit card and other loan growth to be up low- to mid- single digits from full year 2025. • Total revenue: "We now anticipate total revenue growth to be up low- to mid-single digits from full year 2025, primarily driven by average loan growth. • Total expenses: "We actively manage expense growth based on revenue generation and ongoing investment in our business. We expect to deliver positive operating leverage in 2026, excluding the pretax impacts from our debt repurchases. • Net loss rate: "We now anticipate a 2026 net loss rate in the range of 7.0% to 7.1%. • Effective tax rate: "We expect our full year normalized effective tax rate to be in the range of 25% to 27%, with quarter-over- quarter variability due to the timing of certain discrete items." "Our second quarter results reflect continued momentum across the business, highlighted by tangible book value per common share increasing to $63.66, more than $11, or 22% from a year ago. Average loans grew 3% year-over-year, driven by continued strong credit sales and ongoing improvement in our credit metrics. Pretax pre-provision earnings, a non- GAAP financial measure, increased 14% year-over-year, driven by growth in our loan portfolio and ongoing pricing and expense discipline. "Revenue increased 7% year-over-year, while total non-interest expenses remained flat. Net interest margin improved to 18.5% year-over-year, yet declined sequentially following seasonal trends. Billed late fees continue to move lower sequentially as trends in delinquency rates improve. Within non- interest income, our retailer share arrangement payments were higher sequentially; although, the impact was offset by stronger than expected interchange revenue, merchant discount, and other fees. We now expect both full year average loan and revenue growth to be up low- to mid-single digits compared to full year 2025. "Direct-to-consumer deposits increased 16% year-over-year to $9.4 billion at quarter-end with our average direct-to-consumer deposits representing 50% of total funding, up from 45% a year ago. We are pleased with the success of this program and expect further growth, which will continue to provide flexibility in our funding strategy. "During the quarter, we further optimized our capital structure by issuing $135 million of 8.875% preferred stock. This successful issuance, as well as our continued strong earnings generation, positioned Bread Financial to return value to shareholders through share repurchases, buying back 2.8 million shares, or $241 million, of common stock. We ended the second quarter with $449 million remaining under our stock repurchase authorization. We are committed to balancing growth, capital flexibility, and shareholder returns in a way that supports long-term value creation. "Credit metrics performed well in the quarter, with the delinquency rate and net loss rate improving both year-over-year and sequentially. These results reflect the benefits of our disciplined credit risk management, sophisticated underwriting, and the continued maturation of higher-quality new account acquisitions. Supported by our strong year-to-date credit performance and favorable delinquency outlook, we are improving our full year 2026 net loss rate guidance to a range of 7.0% to 7.1%. "The second quarter reserve rate improved 66 basis points year-over-year to 11.23%, aligned with our credit performance trends. Our credit reserve continues to reflect prudent weightings on the economic scenarios used in our modeling given the wide range of potential macroeconomic outcomes. "Overall, our second quarter results demonstrate the strength of our earnings power and the benefits of disciplined capital management. We remain confident in our ability to execute on our strategy and deliver attractive returns while creating long-term value for our shareholders." - Perry Beberman, executive vice president and chief financial officer CFO COMMENTARY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Bread Financial | July 23, 2026 3 PPNR $461 $510 2Q25 2Q26 Second quarter Year-to-date ($ in millions, except per share amounts) 2026 2025 % change 2026 2025 % change Total net interest and non-interest income (“Revenue”) $ 993 $ 929 7 $ 2,010 $ 1,899 6 Net principal losses 316 348 (9) 647 713 (9) Reserve release (3) (74) (96) (31) (143) (78) Provision for credit losses 313 274 14 616 570 8 Total non-interest expenses 483 481 — 955 958 — Income from continuing operations before income taxes 197 174 13 439 371 18 Income from continuing operations 146 139 6 328 280 17 Loss from discontinued operations, net of income taxes — — — — (4) (100) Net income $ 146 $ 139 5 $ 328 $ 276 18 Dividends declared to preferred stockholders (2) — nm (4) — nm Net income available to common stockholders $ 144 $ 139 4 $ 324 $ 276 17 Adjusted net income available to common stockholders(1) $ 144 $ 149 (3) $ 325 $ 288 13 Weighted average common shares outstanding – diluted 40.7 47.2 (14) 41.9 48.4 (13) Earnings per diluted common share (EPS) $ 3.55 $ 2.94 21 $ 7.72 $ 5.71 35 Adjusted earnings per diluted common share(1) $ 3.55 $ 3.15 13 $ 7.75 $ 5.96 30 Pretax pre-provision earnings (PPNR)(1) $ 510 $ 448 14 $ 1,055 $ 941 12 Adjusted PPNR(1) $ 510 $ 461 11 $ 1,057 $ 956 11 Revenue $929MM $993MM 2Q25 2Q26 +7% Key operating and financial metrics Credit metrics (1) Represents a Non-GAAP financial measure. See “Non-GAAP Financial Measures” and "Reconciliation of GAAP to Non-GAAP Financial Measures." Credit sales $6.8B $7.5B 2Q25 2Q26 +11% Net loss rate 7.88% 6.98% 2Q25 2Q26 Delinquency rate 5.73% 5.25% 2Q25 2Q26 Diluted EPS $2.94 $3.15 $3.55 2Q25 Adj. 2Q25 2Q26 -48 bps -90 bps +11% Adjusted pretax pre-provision earnings (excl. impacts from debt repurchases)(1) nm – Not meaningful, denoting a variance of 1,000 percent or more.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Bread Financial | July 23, 2026 4 Second quarter 2026 compared with second quarter 2025 • Credit sales were $7.5 billion, an increase of $0.7 billion, or 11%, driven by growth in our new partnerships and increased general-purpose spending. • Average credit card and other loans of $18.2 billion were up 3%, and end-of-period credit card and other loans of $18.5 billion increased 5%, benefiting from growth in our new partnerships and improved credit sales. • End-of-period direct-to-consumer deposits of $9.4 billion increased 16%, or $1.3 billion, year-over-year. • Revenue increased $64 million, or 7%, primarily reflecting loan growth, the implementation of pricing changes, lower interest expense, higher interchange and merchant fees, partially offset by lower billed late fees and higher retailer share arrangements. • Total non-interest expenses were nearly flat as a result of higher employee compensation and benefits costs offset by the prior year impacts from debt repurchases. Excluding the impact from our debt repurchases, expenses were up $15 million, or 3%. • Net income increased $7 million, or 5%, primarily driven by loan growth resulting in both higher revenue, and a higher provision for credit losses, (reflecting a reserve release of $3 million this year compared to a release of $74 million last year), as well as a higher provision for income taxes. • PPNR(1) increased $62 million, or 14%, while adjusted PPNR(1), which excludes impacts from debt repurchases, increased $49 million, or 11%. • The delinquency rate of 5.25% decreased 48 basis points. • The net loss rate of 6.98% decreased 90 basis points. • CET1 ratio of 12.9% decreased from 13.0% in the second quarter of 2025. Contacts Investor Relations: Brian Vereb (brian.vereb@breadfinancial.com) Susan Haugen (susan.haugen@breadfinancial.com) Media Relations: Rachel Stultz (rachel.stultz@breadfinancial.com) (1) Represents a Non-GAAP financial measure. See “Non-GAAP Financial Measures” and "Reconciliation of GAAP to Non-GAAP Financial Measures." Impacts from debt repurchases ($ in millions, except per share amounts) Total non-interest expenses Net income available to common stockholders Diluted EPS 2Q26 2Q25 2Q26 2Q25 2Q26 2Q25 GAAP-basis $ 483 $ 481 $ 144 $ 139 $ 3.55 $ 2.94 Impacts from debt repurchases — 13 — 10 — 0.21 Adjusted GAAP-basis(1) $ 483 $ 468 $ 144 $ 149 $ 3.55 $ 3.15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Bread Financial | July 23, 2026 5 Forward-looking statements This release contains forward-looking statements within the meaning of Section 27A of the Securities Act of 1933 and Section 21E of the Securities Exchange Act of 1934.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and future economic conditions. 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release, and no assurances can be given that our expectations will prove to have been correct. Factors that could cause the outcomes to differ materially include, but are not limited to, the following: macroeconomic conditions, including inflation, interest rates, labor market conditions, financial and capital market conditions, recessionary pressures or concerns over a prolonged economic slowdown, and the related impact on consumer spending behavior, payments, debt levels, savings rates and other behaviors; global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and military conflicts, and international tensions or hostilities; local or global public health issues, climate-related events, impacts to the power grid, and natural disasters; future credit performance, including the level of future delinquency and charge-off rates; 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inaccuracies in the models and estimates on which we rely, including our credit risk management models and the amount of our Allowance for credit losses; the inability to realize the intended benefits of acquisitions, dispositions and other strategic initiatives; our level of indebtedness and ability to access financial or capital markets; pending and future federal and state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 failures or breaches in our operational or security systems, including as a result of cyberattacks, unanticipated impacts from technology modernization projects or otherwise; and any liability or other adverse impacts arising out of or related to the spinoff of our former LoyaltyOne segment or the bankruptcy filings of Loyalty Ventures Inc. (LVI) and certain of its subsidiaries, including the pending litigation against us in connection with the spinoff. The foregoing factors, along with other risks and uncertainties that could cause actual results to differ materially from those expressed or implied in forward-looking statements, are described in greater detail under the headings “Risk Factors” and “Management’s Discussion and Analysis of Financial Condition and Results of Operations” in our Annual Report on Form 10-K for the most recently ended fiscal year, which may be updated in Item 1A of, or elsewhere in, our Quarterly Reports on Form 10-Q filed for periods subsequent to such Form 10-K. Our forward- looking statements speak only as of the date made, and we undertake no obligation, other than as required by applicable law, to update or revise any forward-looking statements, whether as a result of new information, subsequent events, anticipated or unanticipated circumstances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Bread Financial | July 23, 2026 6 Non-GAAP financial measures We prepare our Consolidated Financial Statements in accordance with accounting principles generally accepted in the United States of America (GAAP). However, certain information included herein constitutes Non-GAAP Financial Measures. Our calculations of Non-GAAP Financial Measures may differ from the calculations of similarly titled measures by other companies. In particular: • We have previously repurchased and may, from time to time, in the future continue to repurchase debt, including any outstanding senior unsecured notes, subordinated notes or convertible notes. In such transactions, we may pay a premium to induce these repurchases, or in certain cases repurchase at a discount, which, from a GAAP perspective, would result in an impact to Total non-interest expenses, with a corresponding impact also reflected in Net income available to common stockholders and consequently our Earnings per diluted common share. For our prior debt repurchases, we show adjustments to these three financial statement line items to exclude the impacts from our debt repurchases. We use Adjusted total non-interest expenses, Adjusted net income available to common stockholders, and Adjusted earnings per diluted common share to evaluate the ongoing operations of the Company excluding the volatility that can occur from the impacts of our debt repurchases. • Pretax pre-provision earnings (PPNR) represents Income from continuing operations before income taxes and the Provision for credit losses. PPNR excluding impacts from debt repurchases then excludes from PPNR the loss or gain on any debt repurchases in the period. We use PPNR and PPNR excluding impacts from debt repurchases as metrics to evaluate our results of operations before income taxes, excluding the movements that can occur within Provision for credit losses and the one-time nature of the impacts from debt repurchases. • Return on average tangible common equity (ROTCE) represents annualized Income from continuing operations less Dividends to preferred stockholders, divided by average Tangible common equity. Tangible common equity (TCE) represents Total stockholders’ equity reduced by Preferred stock and Goodwill and intangible assets, net. We use ROTCE as a metric to evaluate the Company’s performance. • Tangible book value per common share represents TCE divided by common shares outstanding. We use Tangible book value per common share, a metric used across the industry, to assess capital and performance, in conjunction with ROTCE. We believe the use of these Non-GAAP financial measures provide additional clarity in understanding our results of operations and trends. For a reconciliation of these Non-GAAP financial measures to the most directly comparable GAAP measures, please see the “Reconciliation of GAAP to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Bread Financial | July 23, 2026 7 Financial supplement This earnings release should be read in conjunction with the Financial Supplement for the second quarter of 2026, available at investor.breadfinancial.com and in a Form 8-K furnished today with the Securities and Exchange Commission. Conference call/webcast information Bread Financial will host a conference call on Thursday, July 23, 2026, at 8:30 a.m. (Eastern Time) to discuss the company’s second quarter results. The conference call will be available via the internet at investor.breadfinancial.com. There will be several slides accompanying the webcast. Please go to the website at least 15 minutes prior to the call to register, download and install any necessary software. The recorded webcast will also be available on the company’s website. About Bread Financial® Bread Financial® (NYSE: BFH) is a tech-forward financial services company that provides simple, personalized payment, lending and saving solutions to millions of U.S. consumers. Our payment solutions deliver growth for some of the most recognized brands in travel &amp; entertainment, health &amp; beauty, technology, electronics, jewelry, home and specialty apparel through our co-brand and private label credit cards and pay-over-time products providing choice and value to our shared customers. Additionally, we offer Bread Financial general purpose credit cards and saving products that empower our customers and their passions for a better life. Bread Financial proudly marks 30 years of success in 2026. To learn more about our global associates, our performance and our sustainability progress, visit breadfinancial.com or follow us on Instagram and LinkedIn.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Bread Financial | July 23, 2026 8 BREAD FINANCIAL HOLDINGS, INC. RECONCILIATION OF GAAP TO NON-GAAP FINANCIAL MEASURES (In millions, except percentages) As of or for the three months ended June 30, As of or for the six months ended June 30, 2026 2025 % change 2026 2025 % change Adjusted net income available to common stockholders Net income available to common stockholders $ 144 $ 139 4 $ 324 $ 276 17 Impacts from debt repurchases — 10 (100) 1 12 (88) Adjusted net income available to common stockholders $ 144 $ 149 (3) $ 325 $ 288 13 Adjusted earnings per diluted common share Earnings per diluted common share $ 3.55 $ 2.94 21 $ 7.72 $ 5.71 35 Impacts from debt repurchases — 0.21 (100) 0.03 0.25 (86) Adjusted earnings per diluted common share $ 3.55 $ 3.15 13 $ 7.75 $ 5.96 30 Adjusted total non-interest expenses Total non-interest expenses $ 483 $ 481 — $ 955 $ 958 — Impacts from debt repurchases — 13 (100) 2 15 (87) Adjusted total non-interest expenses $ 483 $ 468 3 $ 953 $ 943 1 Pretax pre-provision earnings (PPNR) Income from continuing operations before income taxes $ 197 $ 174 13 $ 439 $ 371 18 Provision for credit losses 313 274 14 616 570 8 Pretax pre-provision earnings (PPNR) 510 448 14 1,055 941 12 Impacts from debt repurchases — 13 (100) 2 15 (87) PPNR excluding impacts from debt repurchases $ 510 $ 461 11 $ 1,057 $ 956 11 Average Tangible common equity Average Total stockholders’ equity $ 3,433 $ 3,183 8 $ 3,447 $ 3,214 7 Less: average Preferred stock (143) </w:t>
        <w:tab/>
        <w:t xml:space="preserve"> —</w:t>
        <w:tab/>
        <w:t xml:space="preserve"> nm (108) </w:t>
        <w:tab/>
        <w:t xml:space="preserve"> —</w:t>
        <w:tab/>
        <w:t xml:space="preserve"> nm Less: average Goodwill and intangible assets, net (706) (735) (4) (709) (739) (4) Average Tangible common equity $ 2,584 $ 2,448 6 $ 2,630 $ 2,475 6 Tangible common equity (TCE) Total stockholders’ equity $ 3,365 $ 3,166 6 $ 3,365 $ 3,166 6 Less: Preferred stock (201) — nm (201) — nm Less: Goodwill and intangible assets, net (701) (731) (4) (701) (731) (4) Tangible common equity (TCE) $ 2,463 $ 2,435 1 $ 2,463 $ 2,435 1 nm – Not meaningful, denoting a variance of 1,000 percent or more.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h992-2q26bfhfinancials.htm"/>
      <w:bookmarkStart w:id="4" w:name="ksexh9922q26bfhfinancials"/>
      <w:bookmarkEnd w:id="3"/>
      <w:bookmarkEnd w:id="4"/>
      <w:r>
        <w:rPr/>
        <w:drawing>
          <wp:inline distT="0" distB="0" distL="0" distR="0">
            <wp:extent cx="7620000" cy="588645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Bread Financial Holdings, Inc Financial Supplement Second Quarter 2026 Table of Contents Page Number Table 1: Consolidated Statements of Income 2 Table 2: Consolidated Balance Sheets 3 Table 3: Select Financial Metrics 4 Table 4: Capital Ratios 5 Table 5: Average Balances and Net Interest Margin 6 Table 6: Reconciliation of GAAP to Non-GAAP Financial Measures 7 Glossary of Terms 9 Note: The information contained in this Financial Supplement is preliminary and based on data available at the time of the earnings presentation. Please refer to our Quarterly Report on Form 10-Q for the period ended June 30, 2026 once it is filed with the Securities and Exchange Commission. Amounts presented in the following tables may not sum and percentages may not recalculate due to rounding. 1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1Q26 4Q25 3Q25 2Q25 2Q26 vs. 1Q26 2Q26 vs. 2Q25 YTD '26 YTD '25 YTD '26 vs. YTD '25 (Millions, except per share amounts and percentages) Interest income Interest and fees on loans $ 1,195 $ 1,224 $ 1,208 $ 1,198 $ 1,148 (2) % 4 % $ 2,419 $ 2,333 4 % Interest on cash and investment securities 39 36 38 44 46 4 % (16) % 75 91 (18) % Total interest income 1,234 1,260 1,246 1,242 1,194 (2) % 3 % 2,494 2,424 3 % Interest expense Interest on deposits 139 133 137 139 139 4 % — % 272 277 (2) % Interest on borrowings 56 60 62 71 81 (8) % (31) % 116 167 (31) % Total interest expense 195 193 199 210 220 — % (11) % 388 444 (13) % Net interest income 1,039 1,067 1,047 1,032 974 (3) % 7 % 2,106 1,980 6 % Non-interest income Interchange revenue, net of retailer share arrangements (110) (107) (127) (111) (95) 2 % 16 % (216) (178) 22 % Other 64 58 55 50 50 9 % 34 % 120 97 28 % Total non-interest income (46) (49) (72) (61) (45) (5) % 4 % (96) (81) 19 % Total net interest and non-interest income 993 1,018 975 971 929 (2) % 7 % 2,010 1,899 6 % Provision for credit losses 313 303 373 299 274 3 % 14 % 616 570 8 % Total net interest and non-interest income, after provision for credit losses 680 715 602 672 655 (5) % 4 % 1,394 1,329 5 % Non-interest expenses Employee compensation and benefits 225 220 232 222 212 3 % 6 % 445 426 4 % Card and processing expenses 81 80 78 81 81 2 % 1 % 161 163 (1) % Information processing and communication 80 76 78 72 77 6 % 4 % 156 158 (1) % Marketing expenses 36 35 44 38 34 3 % 7 % 71 68 4 % Depreciation and amortization 19 19 19 20 20 (1) % (8) % 37 42 (10) % Other 42 42 104 43 57 (5) % (29) % 85 101 (17) % Total non-interest expenses 483 472 555 476 481 2 % — % 955 958 — % Income from continuing operations before income taxes 197 243 47 196 174 (19) % 13 % 439 371 18 % Provision (benefit) for income taxes 51 62 (6) 8 35 (18) % 41 % 111 91 23 % Income from continuing operations 146 181 53 188 139 (19) % 6 % 328 280 17 % Loss from discontinued operations, net of income taxes — — — — — — % — % — (4) (100) % Net income 146 181 53 188 139 (19) % 5 % 328 276 18 % Dividends declared to preferred stockholders (2) (2) — — — (18) % nm (4) — nm Net income available to common stockholders $ 144 $ 179 $ 53 $ 188 $ 139 (19) % 4 % $ 324 $ 276 17 % Basic income per share Income from continuing operations $ 3.62 $ 4.19 $ 1.19 $ 4.04 $ 2.96 (14) % 22 % $ 7.83 $ 5.86 34 % Income (loss) from discontinued operations — — — — 0.01 — % (100) % — (0.08) (100) % Net income per share $ 3.62 $ 4.19 $ 1.19 $ 4.04 $ 2.97 (14) % 22 % $ 7.83 $ 5.78 36 % Diluted income per share Income from continuing operations $ 3.55 $ 4.15 $ 1.16 $ 3.96 $ 2.93 (14) % 21 % $ 7.72 $ 5.79 33 % Income (loss) from discontinued operations — — — — 0.01 — % (100) % — (0.08) (100) % Net income per share $ 3.55 $ 4.15 $ 1.16 $ 3.96 $ 2.94 (14) % 21 % $ 7.72 $ 5.71 35 % Weighted average common shares outstanding Basic 39.9 42.8 44.9 46.5 46.7 (7) % (14) % 41.3 47.8 (14) % Diluted 40.7 43.2 46.0 47.5 47.2 (6) % (14) % 41.9 48.4 (13) % nm - Not meaningful, denoting a variance of 1,000 percent or more. Bread Financial Holdings, Inc Preliminary Table 1: Consolidated Statements of Income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1Q26 4Q25 3Q25 2Q25 2Q26 vs. 1Q26 2Q26 vs. 2Q25 (Millions, except preferred shares in thousands) ASSETS Cash and cash equivalents $ 3,683 $ 3,637 $ 3,604 $ 3,764 $ 3,799 1 % (3) % Credit card and other loans Total credit card and other loans 18,477 18,135 18,805 17,655 17,656 2 % 5 % Allowance for credit losses (2,075) (2,078) (2,106) (2,070) (2,098) — % (1) % Credit card and other loans, net 16,402 16,057 16,699 15,585 15,558 2 % 5 % Investments 288 286 284 284 277 1 % 4 % Property and equipment, net 104 112 117 122 127 (7) % (18) % Goodwill and intangible assets, net 701 708 716 723 731 (1) % (4) % Other assets 1,274 1,508 1,243 1,236 1,329 (16) % (4) % Total assets $ 22,452 $ 22,308 $ 22,663 $ 21,714 $ 21,821 1 % 3 % LIABILITIES AND STOCKHOLDERS’ EQUITY Deposits Direct-to-consumer (retail) $ 9,358 $ 8,708 $ 8,522 $ 8,188 $ 8,080 7 % 14 % Wholesale and other 5,374 5,365 5,394 5,347 5,260 — % 2 % Total deposits 14,732 14,073 13,916 13,535 13,340 5 % 10 % Debt issued by consolidated variable interest entities 2,447 3,041 3,422 2,682 3,089 (20) % (21) % Long-term and other debt 838 837 886 1,105 1,138 — % (26) % Other liabilities 1,070 1,032 1,112 1,075 1,088 4 % (2) % Total liabilities 19,087 18,983 19,336 18,397 18,655 1 % 2 % Stockholders’ equity Preferred stock — — — — — 180 % nm Common stock — — — 1 1 (6) % (17) % Additional paid-in capital 1,603 1,699 1,868 1,900 1,929 (6) % (17) % Retained earnings 1,779 1,643 1,475 1,432 1,255 8 % 42 % Accumulated other comprehensive loss (17) (17) (16) (16) (19) 3 % (9) % Total stockholders’ equity 3,365 3,325 3,327 3,317 3,166 1 % 6 % Total liabilities and stockholders’ equity $ 22,452 $ 22,308 $ 22,663 $ 21,714 $ 21,821 1 % 3 % Preferred shares outstanding 210.0 75.0 75.0 — — 180 % nm Common shares outstanding 38.7 41.3 44.1 46.0 46.6 (6) % (17) % nm - Not meaningful, denoting a variance of 1,000 percent or more. Bread Financial Holdings, Inc Preliminary Table 2: Consolidated Balance Sheets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1Q26 4Q25 3Q25 2Q25 2Q26 vs. 1Q26 2Q26 vs. 2Q25 YTD '26 YTD '25 YTD '26 vs. YTD '25 (Millions, except per share amounts and percentages) Credit sales $ 7,537 $ 6,510 $8,070 $ 6,787 $ 6,814 16 % 11 % $ 14,047 $ 12,920 9 % Average credit card and other loans 18,197 18,283 17,961 17,596 17,686 — % 3 % 18,240 17,924 2 % End-of-period credit card and other loans 18,477 18,135 18,805 17,655 17,656 2 % 5 % 18,477 17,656 5 % End-of-period direct-to-consumer (retail) deposits 9,357 8,708 $8,523 8,188 8,080 7 % 16 % 9,357 8,080 16 % Adjusted net income available to common stockholders * $ 144 $ 180 95 $ 191 $ 149 (20) % (3) % $ 325 $ 288 13 % Adjusted earnings per diluted common share * $ 3.55 $ 4.18 $2.07 $ 4.02 $ 3.15 (15) % 13 % $ 7.75 $ 5.96 30 % Pretax pre-provision earning (PPNR) *(1) $ 510 $ 546 420 $ 495 $ 448 (6) % 14 % $ 1,055 $ 941 12 % PPNR excluding impacts from debt repurchases *(1) $ 510 $ 548 475 $ 498 $ 461 (7) % 11 % $ 1,057 $ 956 11 % Return on average assets (1) 2.6 % 3.3 % 1.0 % 3.4 % 2.5 % (0.7) % 0.1 % 2.9 % 2.5 % 0.4 % Return on average equity (1) 17.1 % 21.2 % 6.2 % 22.4 % 17.5 % (4.1) % (0.4) % 19.2 % 17.6 % 1.6 % Return on average tangible common equity *(1) 22.6 % 27.4 % 8.0 % 28.6 % 22.7 % (4.8) % (0.1) % 25.0 % 22.8 % 2.2 % Net interest margin (1) 18.49 % 19.25 % 18.94 % 18.81 % 17.71 % (0.76) % 0.78 % 18.87 % 17.88 % 0.99 % Loan yield (1) 26.35 % 27.14 % 26.68 % 27.01 % 26.03 % (0.79) % 0.32 % 26.75 % 26.25 % 0.50 % Efficiency ratio (1) 48.6 % 46.4 % 57.0 % 49.0 % 51.8 % 2.2 % (3.2) % 47.5 % 50.4 % (2.9) % Adjusted efficiency ratio (1) 48.6 % 46.2 % 51.3 % 48.7 % 50.4 % 2.4 % (1.8) % 47.4 % 49.7 % (2) % Common equity tier 1 capital ratio (1) 12.9 % 13.3 % 13.0 % 14.0 % 13.0 % (0.4) % (0.1) % 12.9 % 13.0 % (0.1) % Book value per common share (1) $ 81.79 $ 78.72 $73.80 $ 72.08 $ 67.88 4 % 21 % $ 81.79 $ 67.88 21 % Tangible book value per common share *(1) $ 63.66 $ 61.57 $57.57 $ 56.36 $ 52.21 3 % 22 % $ 63.66 $ 52.21 22 % Cash dividend per preferred share $ 21.56 $ 26.35 $ — $ — $ — (18) % nm $ 47.91 $ — nm Cash dividend per common share $ 0.23 $ 0.23 $0.23 $ 0.21 $ 0.21 — % 10 % $ 0.46 $ 0.42 10 % Payment rate (1) 15.1 % 15.0 % 15.0 % 14.9 % 15.0 % 0.1 % 0.1 % 15.1 % 14.9 % 0.2 % Delinquency rate (1) 5.25 % 5.59 % 5.75 % 6.04 % 5.73 % (0.34) % (0.48) % 5.25 % 5.73 % (0.48) % Net loss rate (1) 6.98 % 7.33 % 7.43 % 7.39 % 7.88 % (0.35) % (0.90) % 7.16 % 8.02 % (0.86) % Reserve rate (1) 11.23 % 11.46 % 11.20 % 11.72 % 11.89 % (0.23) % (0.66) % 11.23 % 11.89 % (0.66) % * Represents a Non-GAAP financial measure. See Table 6: Reconciliation of GAAP to Non-GAAP Financial Measures. (1) Please refer to "Glossary of terms." nm - Not meaningful, denoting a variance of 1,000 percent or more. Bread Financial Holdings, Inc Preliminary Table 3: Select Financial Metrics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(Millions, except percentages) 2Q26 1Q26 4Q25 3Q25 2Q25 2Q26 vs. 1Q26 2Q26 vs. 2Q25 Total company Common equity tier 1 capital ratio (1) 12.9 % 13.3 % 13.0 % 14.0 % 13.0 % (0.4) % (0.1) % Total risk-based capital ratio (1) 17.1 % 16.9 % 16.8 % 17.5 % 16.5 % 0.2 % 0.6 % Total risk-weighted assets (1) $ 19,329 $ 19,352 $ 19,755 $ 18,714 $ 18,730 (0.1) % 3.2 % Tangible common equity / tangible assets ratio *(1) 11.3 % 11.8 % 11.6 % 12.4 % 11.5 % (0.5) % (0.2) % Tangible common equity + credit reserve rate *(1) 24.6 % 25.5 % 24.7 % 26.4 % 25.7 % (0.9) % (1.1) % Comenity Bank Common equity tier 1 capital ratio (1) 15.5 % 15.1 % 15.1 % 15.4 % 15.8 % 0.4 % (0.3) % Total risk-based capital ratio (1) 16.9 % 16.5 % 16.5 % 16.8 % 17.2 % 0.4 % (0.3) % Comenity Capital Bank Common equity tier 1 capital ratio (1) 12.5 % 13.5 % 13.5 % 15.4 % 15.9 % (1.0) % (3.4) % Total risk-based capital ratio (1) 17.7 % 17.6 % 17.5 % 19.0 % 19.5 % 0.1 % (1.8) % * Represents a Non-GAAP financial measure. See Table 6: Reconciliation of GAAP to Non-GAAP Financial Measures. (1) Please refer to "Glossary of terms." Bread Financial Holdings, Inc Preliminary Table 4: Capital Ratios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1Q26 2Q25 Average Balance Interest Income/ Expense Average Yield / Rate Average Balance Interest Income/ Expense Average Yield / Rate Average Balance Interest Income/ Expense Average Yield / Rate (Millions, except percentages) Cash and investment securities $ 4,348 $ 39 3.51 % $ 4,184 $ 36 3.54 % $ 4,372 $ 46 4.18 % Credit card and other loans 18,197 1,195 26.35 % 18,283 1,224 27.14 % 17,686 1,148 26.03 % Total interest-earning assets 22,545 1,234 21.95 % 22,467 1,260 22.75 % 22,058 1,194 21.70 % Direct-to-consumer (retail) deposits 8,993 89 3.95 % 8,574 84 3.99 % 8,039 88 4.39 % Wholesale deposits 5,344 50 3.77 % 5,358 49 3.69 % 5,164 51 3.97 % Interest-bearing deposits 14,337 139 3.88 % 13,932 133 3.87 % 13,203 139 4.23 % Secured borrowings 2,826 38 5.40 % 3,203 42 5.38 % 3,393 50 5.79 % Unsecured borrowings 850 18 8.27 % 872 18 8.37 % 1,267 31 9.97 % Interest-bearing borrowings 3,676 56 6.06 % 4,075 60 6.02 % 4,660 81 6.93 % Total interest-bearing liabilities $ 18,013 $ 195 4.33 % $ 18,007 $ 193 4.36 % $ 17,863 $ 220 4.93 % Net interest income $ 1,039 $ 1,067 $ 974 Net interest margin (1) 18.49 % 19.25 % 17.71 % YTD '26 YTD '25 Average Balance Interest Income/ Expense Average Yield / Rate Average Balance Interest Income/ Expense Average Yield / Rate (Millions, except percentages) Cash and investment securities $ 4,266 $ 75 3.52 % $ 4,397 $ 91 4.17 % Credit card and other loans 18,240 2,419 26.75 % 17,924 2,333 26.25 % Total interest-earning assets 22,506 2,494 22.34 % 22,321 2,424 21.90 % Direct-to-consumer (retail) deposits 8,785 173 3.97 % 7,919 175 4.46 % Wholesale deposits 5,351 99 3.73 % 5,194 102 3.97 % Interest-bearing deposits 14,136 272 3.88 % 13,113 277 4.27 % Secured borrowings 3,013 80 5.39 % 3,791 109 5.83 % Unsecured borrowings 861 36 8.32 % 1,174 58 9.92 % Interest-bearing borrowings 3,874 116 6.04 % 4,965 167 6.80 % Total interest-bearing liabilities $ 18,010 $ 388 4.34 % $ 18,078 $ 444 4.96 % Net interest income $ 2,106 $ 1,980 Net interest margin (1) 18.87 % 17.88 % (1) Please refer to "Glossary of terms." Bread Financial Holdings, Inc Preliminary Table 5: Average Balances and Net Interest Margin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We prepare our Consolidated Financial Statements in accordance with accounting principles generally accepted in the United States of America (GAAP). However, certain information included herein constitutes Non-GAAP Financial Measures. Our calculations of Non-GAAP Financial Measures may differ from the calculations of similarly titled measures by other companies. In particular: • We have previously repurchased and may, from time to time, in the future continue to repurchase debt, including any outstanding senior unsecured notes, subordinated notes or convertible notes. In such transactions, we may pay a premium to induce these repurchases, or in certain cases repurchase at a discount, which, from a GAAP perspective, would result in an impact to Total non-interest expenses, with a corresponding impact also reflected in Net income available to common stockholders and consequently our Earnings per diluted common share. For our prior debt repurchases, we show adjustments to these three financial statement line items to exclude the impacts from our debt repurchases. We use Adjusted total non-interest expenses, Adjusted net income available to common stockholders, and Adjusted earnings per diluted common share to evaluate the ongoing operations of the Company excluding the volatility that can occur from the impacts of our debt repurchases. • Pretax pre-provision earnings (PPNR) represents Income from continuing operations before income taxes and the Provision for credit losses. PPNR excluding impacts from debt repurchases then excludes from PPNR the loss or gain on any debt repurchases in the period. We use PPNR and PPNR excluding impacts from debt repurchases as metrics to evaluate our results of operations before income taxes, excluding the movements that can occur within Provision for credit losses and the one-time nature of the impacts from debt repurchases. • Return on average tangible common equity (ROTCE) represents annualized Income from continuing operations less Dividends to preferred stockholders, divided by average Tangible common equity. Tangible common equity (TCE) represents Total stockholders’ equity reduced by Preferred stock and Goodwill and intangible assets, net. We use ROTCE as a metric to evaluate the Company’s performance. • Tangible book value per common share represents TCE divided by common shares outstanding. We use Tangible book value per common share, a metric used across the industry, to assess capital and performance, in conjunction with ROTCE. • Tangible common equity over Tangible assets (TCE/TA) represents TCE divided by Tangible assets (TA), which is Total assets reduced by Goodwill and intangible assets, net. We use TCE/TA as a metric to evaluate the Company’s capital adequacy and estimate its ability to absorb losses. We believe the use of these Non-GAAP financial measures provide additional clarity in understanding our results of operations and trends. Please see the table below for a reconciliation of these Non-GAAP financial measures to the most directly comparable GAAP measures. Adjusted net income available to common stockholders Net income available to common stockholders $ 144 $ 179 $ 53 $ 188 $ 139 (19) % 4 % $ 324 $ 276 17 % Impacts from debt repurchases — 1 42 3 10 (100) % (100) % 1 12 (88) % Adjusted net income available to common stockholders $ 144 $ 180 $ 95 $ 191 $ 149 (20) % (3) % $ 325 $ 288 13 % Adjusted earnings per diluted common share Earnings per diluted common share $ 3.55 $ 4.15 $ 1.16 $ 3.96 $ 2.94 (14) % 21 % $ 7.72 $ 5.71 35 % Impacts from debt repurchases $ — $ 0.03 $ 0.91 $ 0.06 $ 0.21 (100) % (100) % $ 0.03 $ 0.25 (86) % Adjusted earnings per diluted common share $ 3.55 $ 4.18 $ 2.07 $ 4.02 $ 3.15 (15) % 13 % $ 7.75 $ 5.96 30 % Adjusted total non-interest expenses Total non-interest expenses $ 483 $ 472 $ 555 $ 476 $ 481 2 % — % $ 955 $ 958 — % Impacts from debt repurchases — 2 55 3 13 (100) % (100) % 2 15 (87) % Adjusted total non-interest expenses 483 470 500 473 468 3 % 3 % $ 953 $ 943 1 % Pretax pre-provision earnings (PPNR) Income from continuing operations before income taxes 197 243 47 196 174 (19) % 13 % $ 439 $ 371 18 % Provision for credit losses 313 303 373 299 274 3 % 14 % 616 570 8 % Pretax pre-provision earnings (PPNR) 510 546 420 495 448 (6) % 14 % 1,055 941 12 % Impacts from debt repurchases — 2 55 3 13 (100) % (100) % 2 15 (87) % PPNR excluding impacts from debt repurchases $ 510 $ 548 $ 475 $ 498 $ 461 (7) % 11 % $ 1,057 $ 956 11 % Continued on the following page 2Q26 1Q26 4Q25 3Q25 2Q25 2Q26 vs. 1Q26 2Q26 vs. 2Q25 YTD '26 YTD '25 YTD '26 vs. YTD '25 (Millions, except per share amounts and percentages) Bread Financial Holdings, Inc Preliminary Table 6: Reconciliation of GAAP to Non-GAAP Financial Measures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Average tangible common equity Average Total stockholders’ equity $ 3,433 $ 3,461 $ 3,405 $ 3,335 $ 3,183 (1) % 8 % 3,447 3,214 7 % Less: average Preferred Stock (143) (72) (29) — — 100 % nm (108) — nm Less: average Goodwill and intangible assets, net (706) (713) (721) (728) (735) (1) % (4) % (709) (739) (4) % Average Tangible common equity 2,584 2,676 2,655 2,607 2,448 (3) % 6 % 2,630 2,475 6 % Tangible common equity (TCE) Total stockholders’ equity 3,365 3,325 3,327 3,317 3,166 1 % 6 % 3,365 3,166 6 % Less: Preferred stock (201) (72) (71) </w:t>
        <w:tab/>
        <w:t xml:space="preserve"> —</w:t>
        <w:tab/>
        <w:t xml:space="preserve"> </w:t>
        <w:tab/>
        <w:t xml:space="preserve"> —</w:t>
        <w:tab/>
        <w:t xml:space="preserve"> 181 % nm (201) — nm Less: Goodwill and intangible assets, net (701) (708) (716) (723) (731) (1) % (4) % (701) (731) (4) % Tangible common equity (TCE) 2,463 2,545 2,540 2,594 2,435 (3) % 1 % 2,463 2,435 1 % Tangible assets (TA) Total assets 22,452 22,308 22,663 21,714 21,821 1 % 3 % 22,452 21,821 3 % Less: Goodwill and intangible assets, net (701) (708) (716) (723) (731) (1) % (4) % (701) (731) (4) % Tangible assets (TA) $ 21,751 $ 21,600 $ 21,947 $ 20,991 $ 21,090 1 % 3 % $ 21,751 $ 21,090 3 % 2Q26 1Q26 4Q25 3Q25 2Q25 2Q26 vs. 1Q26 2Q26 vs. 2Q25 YTD '26 YTD '25 YTD '26 vs. YTD '25 (Millions, except per share amounts and percentages) nm - Not meaningful, denoting a variance of 1,000 percent or more. Bread Financial Holdings, Inc Preliminary Table 6: Reconciliation of GAAP to Non-GAAP Financial Measures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Book value per common share Book value per common share represents Total stockholders' equity less Preferred stock, divided by common shares outstanding. Common equity tier 1 capital ratio Common equity tier 1 capital ratio represents tier 1 capital reduced by Preferred stock, divided by total risk-weighted assets. In the calculation of tier 1 capital, we follow the Basel III Standardized Approach and therefore Total stockholders’ equity has been reduced by Goodwill and intangible assets, net. Delinquency rate Delinquency rate represents outstanding balances that are contractually delinquent (i.e., principal balances 30 days past due or more) as of the end of the period, divided by the outstanding principal amount of Credit card and other loans as of the same period-end. Efficiency ratio and Adjusted efficiency ratio Efficiency ratio represents Total non-interest expenses divided by Total net interest and non-interest income. Adjusted efficiency ratio excludes any impacts from debt repurchases. Loan yield Loan yield represents annualized Interest and fees on loans divided by Average credit card and other loans. Net interest margin Net interest margin represents annualized Net interest income divided by average Total interest-earning assets. Net principal loss rate Net principal loss rate, an annualized rate, represents net principal losses for the period divided by Average credit card and other loans for the same period, using an average daily balance calculation methodology. Payment rate Payment rate represents consumer payments during the period, divided by the aggregate of the opening monthly Credit card and other loans balances during the period, including held for sale in applicable periods. PPNR and PPNR excluding impacts from debt repurchases * PPNR represents Income from continuing operations before income taxes and the Provision for credit losses. PPNR excluding impacts from debt repurchases excludes from PPNR impacts from our debt repurchases in the period. Reserve rate Reserve rate represents the Allowance for credit losses divided by End-of-period credit card and other loans. Return on average assets Return on average assets represents annualized Income from continuing operations divided by average Total assets. Return on average equity Return on average equity represents annualized Income from continuing operations divided by average Total stockholders’ equity. Return on average tangible common equity * Return on average tangible common equity (ROTCE) represents annualized Income from continuing operations, less Dividends to preferred stockholders, divided by average Tangible common equity. Tangible common equity (TCE) represents Total stockholders’ equity reduced by Preferred stock and Goodwill and intangible assets, net. Tangible book value per common share * Tangible book value per common share represents TCE divided by common shares outstanding. Tangible common equity + credit reserve rate * Tangible common equity + credit reserve rate represents the sum of TCE and Allowance for credit losses, divided by End-of-period credit card and other loans. Tangible common equity / tangible assets ratio * Tangible common equity over tangible assets (TCE/TA) represents TCE divided by Tangible assets (TA), which is Total assets reduced by Goodwill and intangible assets, net. Total risk-based capital ratio 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 Total risk-weighted assets Total risk-weighted assets are generally measured by allocating assets, and specified off-balance sheet exposures, to various risk categories as defined by the Basel III Standardized Approach. * Represents a Non-GAAP financial measure. See Table 6: Reconciliation of GAAP to Non-GAAP Financial Measures. Bread Financial Holdings, Inc Glossary of Terms 9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99.3</w:t>
      </w:r>
    </w:p>
    <w:p>
      <w:pPr>
        <w:pStyle w:val="TextBody"/>
        <w:bidi w:val="0"/>
        <w:spacing w:before="0" w:after="0"/>
        <w:jc w:val="left"/>
        <w:rPr/>
      </w:pPr>
      <w:r>
        <w:rPr/>
        <w:drawing>
          <wp:inline distT="0" distB="0" distL="0" distR="0">
            <wp:extent cx="1905000" cy="2667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905000" cy="2667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Bread Financial Declares Dividends on Preferred and Common Stock</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COLUMBUS, Ohio – July 23, 2026</w:t>
      </w:r>
      <w:r>
        <w:rPr>
          <w:color w:val="000000"/>
        </w:rPr>
        <w:t xml:space="preserve"> – </w:t>
      </w:r>
      <w:r>
        <w:rPr>
          <w:rFonts w:ascii="Arial;sans-serif" w:hAnsi="Arial;sans-serif"/>
          <w:b w:val="false"/>
          <w:color w:val="000000"/>
          <w:sz w:val="22"/>
        </w:rPr>
        <w:t>Bread Financial Holdings, Inc. (NYSE: BFH), a tech-forward financial services company that provides simple, personalized payment, lending and saving solutions, today announced that its Board of Directors declared quarterly dividends on its preferred and common stock for the third quarter of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On the Company’s 8.625% Non-Cumulative Perpetual Preferred Stock, Series A (NYSE: BFH-PrA), the Board of Directors declared a quarterly cash dividend of $21.56 per share (equivalent to $0.539 per depositary share, each representing a 1/40th interest in a share of preferred stock). The dividend is payable on September 15, 2026 to preferred stockholders of record at the close of business on August 31, 2026.</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On the Company’s 8.875% Fixed Rate Reset Non-Cumulative Perpetual Preferred Stock, Series B (NYSE: BFH-PrB), the Board of Directors declared a quarterly cash dividend of $30.32 per share (equivalent to $0.758 per depositary share, each representing a 1/40th interest in a share of preferred stock). The dividend is payable on September 15, 2026 to preferred stockholders of record at the close of business on August 31,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On the Company’s common stock, the Board of Directors declared a quarterly cash dividend of $0.23 per share, payable on September 15, 2026 to common stockholders of record at the close of business on August 31, 2026.</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About Bread Financial</w:t>
      </w:r>
      <w:r>
        <w:rPr>
          <w:rFonts w:ascii="Arial;sans-serif" w:hAnsi="Arial;sans-serif"/>
          <w:b/>
          <w:color w:val="12294A"/>
          <w:sz w:val="14"/>
        </w:rPr>
        <w:t>®</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Bread Financial® (NYSE: BFH) is a tech-forward financial services company that provides simple, personalized payment, lending and saving solutions to millions of U.S. consumers. Our payment solutions deliver growth for some of the most recognized brands in travel &amp; entertainment, specialty apparel, health &amp; beauty, jewelry, sporting goods, technology and electronics, as well as home &amp;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 xml:space="preserve">Bread Financial proudly marks 30 years of success in 2026. To learn more about our global associates, our performance and our sustainability progress, visit </w:t>
      </w:r>
      <w:r>
        <w:rPr>
          <w:rFonts w:ascii="Arial;sans-serif" w:hAnsi="Arial;sans-serif"/>
          <w:b/>
          <w:color w:val="000000"/>
          <w:sz w:val="22"/>
          <w:u w:val="single"/>
        </w:rPr>
        <w:t>breadfinancial.com</w:t>
      </w:r>
      <w:r>
        <w:rPr>
          <w:color w:val="000000"/>
        </w:rPr>
        <w:t xml:space="preserve"> </w:t>
      </w:r>
      <w:r>
        <w:rPr>
          <w:rFonts w:ascii="Arial;sans-serif" w:hAnsi="Arial;sans-serif"/>
          <w:b w:val="false"/>
          <w:color w:val="000000"/>
          <w:sz w:val="22"/>
        </w:rPr>
        <w:t xml:space="preserve">or follow us on </w:t>
      </w:r>
      <w:r>
        <w:rPr>
          <w:rFonts w:ascii="Arial;sans-serif" w:hAnsi="Arial;sans-serif"/>
          <w:b/>
          <w:color w:val="000000"/>
          <w:sz w:val="22"/>
          <w:u w:val="single"/>
        </w:rPr>
        <w:t>Instagram</w:t>
      </w:r>
      <w:r>
        <w:rPr>
          <w:color w:val="000000"/>
        </w:rPr>
        <w:t xml:space="preserve"> </w:t>
      </w:r>
      <w:r>
        <w:rPr>
          <w:rFonts w:ascii="Arial;sans-serif" w:hAnsi="Arial;sans-serif"/>
          <w:b w:val="false"/>
          <w:color w:val="000000"/>
          <w:sz w:val="22"/>
        </w:rPr>
        <w:t xml:space="preserve">and </w:t>
      </w:r>
      <w:r>
        <w:rPr>
          <w:rFonts w:ascii="Arial;sans-serif" w:hAnsi="Arial;sans-serif"/>
          <w:b/>
          <w:color w:val="000000"/>
          <w:sz w:val="22"/>
          <w:u w:val="single"/>
        </w:rPr>
        <w:t>LinkedIn</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13294B"/>
          <w:sz w:val="22"/>
        </w:rPr>
      </w:pPr>
      <w:r>
        <w:rPr>
          <w:rFonts w:ascii="Arial;sans-serif" w:hAnsi="Arial;sans-serif"/>
          <w:b/>
          <w:color w:val="13294B"/>
          <w:sz w:val="22"/>
        </w:rPr>
        <w:t>Contacts</w:t>
      </w:r>
    </w:p>
    <w:p>
      <w:pPr>
        <w:pStyle w:val="TextBody"/>
        <w:bidi w:val="0"/>
        <w:spacing w:lineRule="auto" w:line="268" w:before="0" w:after="0"/>
        <w:jc w:val="left"/>
        <w:rPr>
          <w:rFonts w:ascii="Arial;sans-serif" w:hAnsi="Arial;sans-serif"/>
          <w:b w:val="false"/>
          <w:color w:val="13294B"/>
          <w:sz w:val="22"/>
        </w:rPr>
      </w:pPr>
      <w:r>
        <w:rPr>
          <w:rFonts w:ascii="Arial;sans-serif" w:hAnsi="Arial;sans-serif"/>
          <w:b w:val="false"/>
          <w:color w:val="13294B"/>
          <w:sz w:val="22"/>
        </w:rPr>
        <w:t>Brian Vereb – Investor Relations</w:t>
      </w:r>
    </w:p>
    <w:p>
      <w:pPr>
        <w:pStyle w:val="TextBody"/>
        <w:bidi w:val="0"/>
        <w:spacing w:lineRule="auto" w:line="268" w:before="0" w:after="0"/>
        <w:jc w:val="left"/>
        <w:rPr/>
      </w:pPr>
      <w:r>
        <w:rPr>
          <w:rFonts w:ascii="Arial;sans-serif" w:hAnsi="Arial;sans-serif"/>
          <w:b w:val="false"/>
          <w:color w:val="007DBA"/>
          <w:sz w:val="22"/>
        </w:rPr>
        <w:t>Brian.Vereb@BreadFinancial.com</w:t>
      </w:r>
      <w:r>
        <w:rPr>
          <w:color w:val="13294B"/>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13294B"/>
          <w:sz w:val="22"/>
        </w:rPr>
      </w:pPr>
      <w:r>
        <w:rPr>
          <w:rFonts w:ascii="Arial;sans-serif" w:hAnsi="Arial;sans-serif"/>
          <w:b w:val="false"/>
          <w:color w:val="13294B"/>
          <w:sz w:val="22"/>
        </w:rPr>
        <w:t>Susan Haugen – Investor Relations</w:t>
      </w:r>
    </w:p>
    <w:p>
      <w:pPr>
        <w:pStyle w:val="TextBody"/>
        <w:bidi w:val="0"/>
        <w:spacing w:lineRule="auto" w:line="268" w:before="0" w:after="0"/>
        <w:jc w:val="left"/>
        <w:rPr/>
      </w:pPr>
      <w:r>
        <w:rPr>
          <w:rFonts w:ascii="Arial;sans-serif" w:hAnsi="Arial;sans-serif"/>
          <w:b w:val="false"/>
          <w:color w:val="007DBA"/>
          <w:sz w:val="22"/>
        </w:rPr>
        <w:t>Susan.Haugen@BreadFinancial.com</w:t>
      </w:r>
      <w:r>
        <w:rPr>
          <w:color w:val="13294B"/>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13294B"/>
          <w:sz w:val="22"/>
        </w:rPr>
      </w:pPr>
      <w:r>
        <w:rPr>
          <w:rFonts w:ascii="Arial;sans-serif" w:hAnsi="Arial;sans-serif"/>
          <w:b w:val="false"/>
          <w:color w:val="13294B"/>
          <w:sz w:val="22"/>
        </w:rPr>
        <w:t>Rachel Stultz – Media</w:t>
      </w:r>
    </w:p>
    <w:p>
      <w:pPr>
        <w:pStyle w:val="TextBody"/>
        <w:bidi w:val="0"/>
        <w:spacing w:lineRule="auto" w:line="268" w:before="0" w:after="0"/>
        <w:jc w:val="left"/>
        <w:rPr/>
      </w:pPr>
      <w:r>
        <w:rPr>
          <w:rFonts w:ascii="Arial;sans-serif" w:hAnsi="Arial;sans-serif"/>
          <w:b w:val="false"/>
          <w:color w:val="007DBA"/>
          <w:sz w:val="22"/>
        </w:rPr>
        <w:t>Rachel.Stultz@BreadFinancial.com</w:t>
      </w:r>
      <w:r>
        <w:rPr>
          <w:color w:val="13294B"/>
        </w:rPr>
        <w:t xml:space="preserve"> </w:t>
      </w:r>
    </w:p>
    <w:p>
      <w:pPr>
        <w:pStyle w:val="TextBody"/>
        <w:bidi w:val="0"/>
        <w:spacing w:lineRule="auto" w:line="268" w:before="0" w:after="0"/>
        <w:jc w:val="center"/>
        <w:rPr>
          <w:rFonts w:ascii="Arial;sans-serif" w:hAnsi="Arial;sans-serif"/>
          <w:b w:val="false"/>
          <w:color w:val="13294B"/>
          <w:sz w:val="22"/>
        </w:rPr>
      </w:pPr>
      <w:r>
        <w:rPr>
          <w:rFonts w:ascii="Arial;sans-serif" w:hAnsi="Arial;sans-serif"/>
          <w:b w:val="false"/>
          <w:color w:val="13294B"/>
          <w:sz w:val="22"/>
        </w:rPr>
        <w: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9009</Words>
  <Characters>45303</Characters>
  <CharactersWithSpaces>54367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exh992-2q26bfhfinancials</dc:title>
</cp:coreProperties>
</file>