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 Pursuant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Section 13 or 15(d) of the</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June 1, 2026</w:t>
      </w:r>
    </w:p>
    <w:p>
      <w:pPr>
        <w:spacing w:after="0" w:line="2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World Financial Network Credit Card Master Note Trust</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(Exact Name of Issuing Entity as Specified in its Charter)</w:t>
      </w:r>
    </w:p>
    <w:p>
      <w:pPr>
        <w:spacing w:after="0" w:line="2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of Issuing Entity: 333-113669</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Central Index Key Number of Issuing Entity: 0001282663</w:t>
      </w:r>
    </w:p>
    <w:p>
      <w:pPr>
        <w:spacing w:after="0" w:line="2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World Financial Network Credit Card Master Trust</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(Exact Name of Issuer of Collateral Certificate as Specified in its Charter)</w:t>
      </w:r>
    </w:p>
    <w:p>
      <w:pPr>
        <w:spacing w:after="0" w:line="228"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Commission File Number of Issuer of the Collateral Certificate: 333-60418-01</w:t>
      </w:r>
    </w:p>
    <w:p>
      <w:pPr>
        <w:spacing w:after="0" w:line="3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Central Index Key Number of Issuer of the Collateral Certificate: 0001140096</w:t>
      </w:r>
    </w:p>
    <w:p>
      <w:pPr>
        <w:spacing w:after="0" w:line="2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WFN Credit Company, LLC</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(Exact Name of Depositor/Registrant as Specified in its Charter)</w:t>
      </w:r>
    </w:p>
    <w:p>
      <w:pPr>
        <w:spacing w:after="0" w:line="2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of Depositor: 333-60418</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Central Index Key Number of Depositor: 0001139552</w:t>
      </w:r>
    </w:p>
    <w:p>
      <w:pPr>
        <w:spacing w:after="0" w:line="2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Comenity Bank</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(Exact Name of Sponsor as Specified in its Charter)</w:t>
      </w:r>
    </w:p>
    <w:p>
      <w:pPr>
        <w:spacing w:after="0" w:line="2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Central Index Key Number of Sponsor: 0001007254</w:t>
      </w:r>
    </w:p>
    <w:p>
      <w:pPr>
        <w:spacing w:after="0" w:line="30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 of Issuing Entity and Registrant)</w:t>
      </w:r>
    </w:p>
    <w:p>
      <w:pPr>
        <w:spacing w:after="0" w:line="2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31-1772814</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(I.R.S. Employer Identification No. of Registrant)</w:t>
      </w:r>
    </w:p>
    <w:p>
      <w:pPr>
        <w:sectPr>
          <w:pgSz w:w="11900" w:h="16838" w:orient="portrait"/>
          <w:cols w:equalWidth="0" w:num="1">
            <w:col w:w="9059"/>
          </w:cols>
          <w:pgMar w:left="1400" w:top="1305" w:right="1440" w:bottom="1440" w:gutter="0" w:footer="0" w:header="0"/>
        </w:sectPr>
      </w:pPr>
    </w:p>
    <w:p>
      <w:pPr>
        <w:spacing w:after="0" w:line="24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3095 Loyalty Circle, Columbus, Ohio</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 of Registrant)</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43219</w:t>
      </w:r>
    </w:p>
    <w:p>
      <w:pPr>
        <w:spacing w:after="0" w:line="31"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6600" w:space="720"/>
            <w:col w:w="1739"/>
          </w:cols>
          <w:pgMar w:left="1400" w:top="1305" w:right="1440" w:bottom="1440" w:gutter="0" w:footer="0" w:header="0"/>
          <w:type w:val="continuous"/>
        </w:sectPr>
      </w:pP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(614) 729-5044</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(Registrant’s Telephone Number, Including Area Code)</w:t>
      </w:r>
    </w:p>
    <w:p>
      <w:pPr>
        <w:sectPr>
          <w:pgSz w:w="11900" w:h="16838" w:orient="portrait"/>
          <w:cols w:equalWidth="0" w:num="1">
            <w:col w:w="9059"/>
          </w:cols>
          <w:pgMar w:left="1400" w:top="1305" w:right="1440"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(Former Name or Former Address, if Changed Since Last Report)</w:t>
      </w:r>
    </w:p>
    <w:p>
      <w:pPr>
        <w:spacing w:after="0" w:line="274" w:lineRule="exact"/>
        <w:rPr>
          <w:sz w:val="20"/>
          <w:szCs w:val="20"/>
          <w:color w:val="auto"/>
        </w:rPr>
      </w:pPr>
    </w:p>
    <w:p>
      <w:pPr>
        <w:ind w:left="80" w:right="64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 w:lineRule="exact"/>
        <w:rPr>
          <w:sz w:val="20"/>
          <w:szCs w:val="20"/>
          <w:color w:val="auto"/>
        </w:rPr>
      </w:pPr>
    </w:p>
    <w:p>
      <w:pPr>
        <w:ind w:left="180" w:hanging="104"/>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7" w:lineRule="exact"/>
        <w:rPr>
          <w:rFonts w:ascii="Times New Roman" w:cs="Times New Roman" w:eastAsia="Times New Roman" w:hAnsi="Times New Roman"/>
          <w:sz w:val="18"/>
          <w:szCs w:val="18"/>
          <w:color w:val="auto"/>
        </w:rPr>
      </w:pPr>
    </w:p>
    <w:p>
      <w:pPr>
        <w:ind w:left="180" w:hanging="104"/>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2" w:lineRule="exact"/>
        <w:rPr>
          <w:rFonts w:ascii="Times New Roman" w:cs="Times New Roman" w:eastAsia="Times New Roman" w:hAnsi="Times New Roman"/>
          <w:sz w:val="18"/>
          <w:szCs w:val="18"/>
          <w:color w:val="auto"/>
        </w:rPr>
      </w:pPr>
    </w:p>
    <w:p>
      <w:pPr>
        <w:ind w:left="180" w:hanging="104"/>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 w:lineRule="exact"/>
        <w:rPr>
          <w:rFonts w:ascii="Times New Roman" w:cs="Times New Roman" w:eastAsia="Times New Roman" w:hAnsi="Times New Roman"/>
          <w:sz w:val="18"/>
          <w:szCs w:val="18"/>
          <w:color w:val="auto"/>
        </w:rPr>
      </w:pPr>
    </w:p>
    <w:p>
      <w:pPr>
        <w:ind w:left="180" w:hanging="104"/>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31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 ]</w:t>
      </w:r>
    </w:p>
    <w:p>
      <w:pPr>
        <w:spacing w:after="0" w:line="25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ectPr>
          <w:pgSz w:w="11900" w:h="16838" w:orient="portrait"/>
          <w:cols w:equalWidth="0" w:num="1">
            <w:col w:w="11260"/>
          </w:cols>
          <w:pgMar w:left="320" w:top="1413"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1.01. Entry into a Material Definitive Agreement</w:t>
      </w:r>
    </w:p>
    <w:p>
      <w:pPr>
        <w:spacing w:after="0" w:line="23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On June 1, 2026, Comenity Bank (“Bank”) and Comenity Servicing LLC (“CSERV”) entered into the Seventh Addendum (“Seventh Addendum”) to that certain Sixth Amended and Restated Service Agreement, dated as of January 1, 2025, pursuant to which CSERV provides certain services to Bank (the “Sixth Amended and Restated Service Agreement”), by and between Bank and CSERV. A copy of the Seventh Addendum is filed with this Form 8-K as Exhibit 99.1.</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51" w:lineRule="exact"/>
        <w:rPr>
          <w:sz w:val="20"/>
          <w:szCs w:val="20"/>
          <w:color w:val="auto"/>
        </w:rPr>
      </w:pPr>
    </w:p>
    <w:p>
      <w:pPr>
        <w:ind w:left="940" w:hanging="284"/>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246"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246"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260"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Exhibits.</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60" w:type="dxa"/>
            <w:vAlign w:val="bottom"/>
          </w:tcPr>
          <w:p>
            <w:pPr>
              <w:spacing w:after="0"/>
              <w:rPr>
                <w:sz w:val="22"/>
                <w:szCs w:val="22"/>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4"/>
              </w:rPr>
              <w:t>Exhibit No.</w:t>
            </w:r>
          </w:p>
        </w:tc>
        <w:tc>
          <w:tcPr>
            <w:tcW w:w="1100" w:type="dxa"/>
            <w:vAlign w:val="bottom"/>
          </w:tcPr>
          <w:p>
            <w:pPr>
              <w:spacing w:after="0"/>
              <w:rPr>
                <w:sz w:val="22"/>
                <w:szCs w:val="22"/>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Document Description</w:t>
            </w:r>
          </w:p>
        </w:tc>
      </w:tr>
      <w:tr>
        <w:trPr>
          <w:trHeight w:val="20"/>
        </w:trPr>
        <w:tc>
          <w:tcPr>
            <w:tcW w:w="60" w:type="dxa"/>
            <w:vAlign w:val="bottom"/>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506"/>
        </w:trPr>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9"/>
              </w:rPr>
              <w:t>Exhibit 99.1</w:t>
            </w:r>
          </w:p>
        </w:tc>
        <w:tc>
          <w:tcPr>
            <w:tcW w:w="1100" w:type="dxa"/>
            <w:vAlign w:val="bottom"/>
          </w:tcPr>
          <w:p>
            <w:pPr>
              <w:spacing w:after="0"/>
              <w:rPr>
                <w:sz w:val="24"/>
                <w:szCs w:val="24"/>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Seventh Addendum to Sixth Amended and Restated Service Agreement</w:t>
            </w:r>
          </w:p>
        </w:tc>
      </w:tr>
    </w:tbl>
    <w:p>
      <w:pPr>
        <w:sectPr>
          <w:pgSz w:w="11900" w:h="16838" w:orient="portrait"/>
          <w:cols w:equalWidth="0" w:num="1">
            <w:col w:w="11120"/>
          </w:cols>
          <w:pgMar w:left="320" w:top="1418" w:right="459" w:bottom="1440" w:gutter="0" w:footer="0" w:header="0"/>
        </w:sectPr>
      </w:pPr>
    </w:p>
    <w:bookmarkStart w:id="3" w:name="page4"/>
    <w:bookmarkEnd w:id="3"/>
    <w:p>
      <w:pPr>
        <w:ind w:left="4280"/>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5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WFN CREDIT COMPANY, LLC as depositor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Wai Chung</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Wai Chung</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June 1, 2026</w:t>
      </w:r>
    </w:p>
    <w:p>
      <w:pPr>
        <w:sectPr>
          <w:pgSz w:w="11900" w:h="16838" w:orient="portrait"/>
          <w:cols w:equalWidth="0" w:num="1">
            <w:col w:w="11160"/>
          </w:cols>
          <w:pgMar w:left="320" w:top="1418" w:right="419" w:bottom="1440" w:gutter="0" w:footer="0" w:header="0"/>
        </w:sectPr>
      </w:pPr>
    </w:p>
    <w:bookmarkStart w:id="4" w:name="page5"/>
    <w:bookmarkEnd w:id="4"/>
    <w:p>
      <w:pPr>
        <w:ind w:left="10220"/>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SEVENTH ADDENDUM TO SIXTH AMENDED AND RESTATED SERVICE AGREEMENT</w:t>
      </w:r>
    </w:p>
    <w:p>
      <w:pPr>
        <w:spacing w:after="0" w:line="22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color w:val="auto"/>
        </w:rPr>
        <w:t>This Seventh Addendum to that certain Sixth Amended and Restated Service Agreement (the “Addendum”) effective as of the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day of June, 2026 (the “Effective Date”), is entered into by and between Comenity Bank (“Bank”), a Delaware state bank, with its principal place of business at One Righter Parkway, Suite 100, Wilmington, Delaware 19803 and Comenity Servicing LLC (“Servicer”), a Texas limited liability company with its principal place of business at 3095 Loyalty Circle, Columbus, OH 43219.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3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WHEREAS, Bank and Servicer entered into that certain Sixth Amended and Restated Service Agreement as of January 1, 2025 (the “Agreement”) to outsource certain services to Servicer; and</w:t>
      </w:r>
    </w:p>
    <w:p>
      <w:pPr>
        <w:spacing w:after="0" w:line="18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WHEREAS, Bank and Servicer desire to modify certain Services and Performance Standards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xml:space="preserve"> to the Agreement.</w:t>
      </w:r>
    </w:p>
    <w:p>
      <w:pPr>
        <w:spacing w:after="0" w:line="18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agreements hereinafter set forth, and for other good and valuable consideration, the receipt and adequacy of which is hereby acknowledged, Bank and Servicer agree as follows:</w:t>
      </w:r>
    </w:p>
    <w:p>
      <w:pPr>
        <w:spacing w:after="0" w:line="168" w:lineRule="exact"/>
        <w:rPr>
          <w:sz w:val="20"/>
          <w:szCs w:val="20"/>
          <w:color w:val="auto"/>
        </w:rPr>
      </w:pPr>
    </w:p>
    <w:p>
      <w:pPr>
        <w:ind w:left="660" w:hanging="328"/>
        <w:spacing w:after="0" w:line="261" w:lineRule="auto"/>
        <w:tabs>
          <w:tab w:leader="none" w:pos="66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b w:val="1"/>
          <w:bCs w:val="1"/>
          <w:u w:val="single" w:color="auto"/>
          <w:color w:val="auto"/>
        </w:rPr>
        <w:t>Services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Bank and Servicer agree to amend the Services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Agreement, such that a certain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Service is hereby amended as set forth in further detail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pacing w:after="0" w:line="178" w:lineRule="exact"/>
        <w:rPr>
          <w:sz w:val="20"/>
          <w:szCs w:val="20"/>
          <w:color w:val="auto"/>
        </w:rPr>
      </w:pPr>
    </w:p>
    <w:p>
      <w:pPr>
        <w:jc w:val="both"/>
        <w:ind w:left="660" w:hanging="328"/>
        <w:spacing w:after="0" w:line="245" w:lineRule="auto"/>
        <w:tabs>
          <w:tab w:leader="none" w:pos="66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b w:val="1"/>
          <w:bCs w:val="1"/>
          <w:u w:val="single" w:color="auto"/>
          <w:color w:val="auto"/>
        </w:rPr>
        <w:t>Performance Standards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Bank and Servicer agree to amend the Performance Standards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Agreement, such that certain Performance Standards are hereby amended or deleted as set forth in further detail in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hereto.</w:t>
      </w:r>
    </w:p>
    <w:p>
      <w:pPr>
        <w:spacing w:after="0" w:line="196" w:lineRule="exact"/>
        <w:rPr>
          <w:sz w:val="20"/>
          <w:szCs w:val="20"/>
          <w:color w:val="auto"/>
        </w:rPr>
      </w:pPr>
    </w:p>
    <w:p>
      <w:pPr>
        <w:jc w:val="both"/>
        <w:ind w:left="660" w:hanging="328"/>
        <w:spacing w:after="0" w:line="238" w:lineRule="auto"/>
        <w:tabs>
          <w:tab w:leader="none" w:pos="665" w:val="left"/>
        </w:tabs>
        <w:numPr>
          <w:ilvl w:val="0"/>
          <w:numId w:val="5"/>
        </w:numPr>
        <w:rPr>
          <w:rFonts w:ascii="Arial" w:cs="Arial" w:eastAsia="Arial" w:hAnsi="Arial"/>
          <w:sz w:val="22"/>
          <w:szCs w:val="22"/>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 Capitalized terms not otherwise defined in this Addendum shall have the meanings assigned to them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Agreement. Other than as set forth above and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the parties agree that the Agreement, as amended by this Addendum, shall continue in full force and effect. The parties may execute this Addendum in one or more counterparts, each of which shall be deemed an original, but all of which shall constitute but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Seventh Addendum to</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Sixth Amended and Restated Service Agreement</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Comenity Servicing LLC / Comenity Bank</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09" w:right="339" w:bottom="1440" w:gutter="0" w:footer="0" w:header="0"/>
        </w:sectPr>
      </w:pPr>
    </w:p>
    <w:bookmarkStart w:id="5" w:name="page6"/>
    <w:bookmarkEnd w:id="5"/>
    <w:p>
      <w:pPr>
        <w:ind w:right="30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caused this Addendum to be executed by their authorized officers effective as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first written above.</w:t>
      </w: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COMENITY BANK</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Baron Schlachter</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Baron Schlachter</w:t>
      </w:r>
    </w:p>
    <w:p>
      <w:pPr>
        <w:spacing w:after="0" w:line="6" w:lineRule="exact"/>
        <w:rPr>
          <w:sz w:val="20"/>
          <w:szCs w:val="20"/>
          <w:color w:val="auto"/>
        </w:rPr>
      </w:pPr>
    </w:p>
    <w:p>
      <w:pPr>
        <w:ind w:left="3900"/>
        <w:spacing w:after="0"/>
        <w:tabs>
          <w:tab w:leader="none" w:pos="4540" w:val="left"/>
        </w:tabs>
        <w:rPr>
          <w:sz w:val="20"/>
          <w:szCs w:val="20"/>
          <w:color w:val="auto"/>
        </w:rPr>
      </w:pPr>
      <w:r>
        <w:rPr>
          <w:rFonts w:ascii="Times New Roman" w:cs="Times New Roman" w:eastAsia="Times New Roman" w:hAnsi="Times New Roman"/>
          <w:sz w:val="20"/>
          <w:szCs w:val="20"/>
          <w:color w:val="auto"/>
        </w:rPr>
        <w:t>Title:</w:t>
        <w:tab/>
        <w:t>President, Comenity Bank</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COMENITY SERVICING LLC</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Tammy McConnaughey</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Tammy McConnaughey</w:t>
      </w:r>
    </w:p>
    <w:p>
      <w:pPr>
        <w:spacing w:after="0" w:line="6" w:lineRule="exact"/>
        <w:rPr>
          <w:sz w:val="20"/>
          <w:szCs w:val="20"/>
          <w:color w:val="auto"/>
        </w:rPr>
      </w:pPr>
    </w:p>
    <w:p>
      <w:pPr>
        <w:ind w:left="3900"/>
        <w:spacing w:after="0"/>
        <w:tabs>
          <w:tab w:leader="none" w:pos="4540" w:val="left"/>
        </w:tabs>
        <w:rPr>
          <w:sz w:val="20"/>
          <w:szCs w:val="20"/>
          <w:color w:val="auto"/>
        </w:rPr>
      </w:pPr>
      <w:r>
        <w:rPr>
          <w:rFonts w:ascii="Times New Roman" w:cs="Times New Roman" w:eastAsia="Times New Roman" w:hAnsi="Times New Roman"/>
          <w:sz w:val="20"/>
          <w:szCs w:val="20"/>
          <w:color w:val="auto"/>
        </w:rPr>
        <w:t>Title:</w:t>
        <w:tab/>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16"/>
          <w:szCs w:val="16"/>
          <w:color w:val="auto"/>
        </w:rPr>
        <w:t>Seventh Addendum to</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Sixth Amended and Restated Service Agreement</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Comenity Servicing LLC / Comenity Bank</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09" w:right="339" w:bottom="1440" w:gutter="0" w:footer="0" w:header="0"/>
        </w:sectPr>
      </w:pPr>
    </w:p>
    <w:bookmarkStart w:id="6" w:name="page7"/>
    <w:bookmarkEnd w:id="6"/>
    <w:p>
      <w:pPr>
        <w:jc w:val="center"/>
        <w:ind w:right="312"/>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4" w:lineRule="exact"/>
        <w:rPr>
          <w:sz w:val="20"/>
          <w:szCs w:val="20"/>
          <w:color w:val="auto"/>
        </w:rPr>
      </w:pPr>
    </w:p>
    <w:p>
      <w:pPr>
        <w:ind w:left="328" w:right="180" w:hanging="328"/>
        <w:spacing w:after="0" w:line="258" w:lineRule="auto"/>
        <w:tabs>
          <w:tab w:leader="none" w:pos="331" w:val="left"/>
        </w:tabs>
        <w:numPr>
          <w:ilvl w:val="0"/>
          <w:numId w:val="6"/>
        </w:numPr>
        <w:rPr>
          <w:rFonts w:ascii="Arial" w:cs="Arial" w:eastAsia="Arial" w:hAnsi="Arial"/>
          <w:sz w:val="20"/>
          <w:szCs w:val="20"/>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xml:space="preserve">. Set forth below are revisions to an existing Service, all of which shall be incorporated into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to the Agreement.</w:t>
      </w:r>
    </w:p>
    <w:p>
      <w:pPr>
        <w:spacing w:after="0" w:line="168" w:lineRule="exact"/>
        <w:rPr>
          <w:sz w:val="20"/>
          <w:szCs w:val="20"/>
          <w:color w:val="auto"/>
        </w:rPr>
      </w:pPr>
    </w:p>
    <w:p>
      <w:pPr>
        <w:ind w:left="1708"/>
        <w:spacing w:after="0"/>
        <w:rPr>
          <w:sz w:val="20"/>
          <w:szCs w:val="20"/>
          <w:color w:val="auto"/>
        </w:rPr>
      </w:pPr>
      <w:r>
        <w:rPr>
          <w:rFonts w:ascii="Times New Roman" w:cs="Times New Roman" w:eastAsia="Times New Roman" w:hAnsi="Times New Roman"/>
          <w:sz w:val="22"/>
          <w:szCs w:val="22"/>
          <w:b w:val="1"/>
          <w:bCs w:val="1"/>
          <w:u w:val="single" w:color="auto"/>
          <w:color w:val="auto"/>
        </w:rPr>
        <w:t>SECTION I: SERVICES APPLICABLE TO ALL COMENITY BANK PRODUCTS</w:t>
      </w:r>
    </w:p>
    <w:p>
      <w:pPr>
        <w:spacing w:after="0" w:line="200" w:lineRule="exact"/>
        <w:rPr>
          <w:sz w:val="20"/>
          <w:szCs w:val="20"/>
          <w:color w:val="auto"/>
        </w:rPr>
      </w:pPr>
    </w:p>
    <w:p>
      <w:pPr>
        <w:spacing w:after="0" w:line="301" w:lineRule="exact"/>
        <w:rPr>
          <w:sz w:val="20"/>
          <w:szCs w:val="20"/>
          <w:color w:val="auto"/>
        </w:rPr>
      </w:pPr>
    </w:p>
    <w:tbl>
      <w:tblPr>
        <w:tblLayout w:type="fixed"/>
        <w:tblInd w:w="398" w:type="dxa"/>
        <w:tblCellMar>
          <w:top w:w="0" w:type="dxa"/>
          <w:left w:w="0" w:type="dxa"/>
          <w:bottom w:w="0" w:type="dxa"/>
          <w:right w:w="0" w:type="dxa"/>
        </w:tblCellMar>
      </w:tblPr>
      <w:tr>
        <w:trPr>
          <w:trHeight w:val="187"/>
        </w:trPr>
        <w:tc>
          <w:tcPr>
            <w:tcW w:w="2220" w:type="dxa"/>
            <w:vAlign w:val="bottom"/>
            <w:tcBorders>
              <w:top w:val="single" w:sz="8" w:color="auto"/>
              <w:left w:val="single" w:sz="8" w:color="auto"/>
              <w:right w:val="single" w:sz="8" w:color="auto"/>
            </w:tcBorders>
            <w:shd w:val="clear" w:color="auto" w:fill="BFBFBF"/>
          </w:tcPr>
          <w:p>
            <w:pPr>
              <w:ind w:left="520"/>
              <w:spacing w:after="0"/>
              <w:rPr>
                <w:sz w:val="20"/>
                <w:szCs w:val="20"/>
                <w:color w:val="auto"/>
              </w:rPr>
            </w:pPr>
            <w:r>
              <w:rPr>
                <w:rFonts w:ascii="Times New Roman" w:cs="Times New Roman" w:eastAsia="Times New Roman" w:hAnsi="Times New Roman"/>
                <w:sz w:val="16"/>
                <w:szCs w:val="16"/>
                <w:b w:val="1"/>
                <w:bCs w:val="1"/>
                <w:color w:val="auto"/>
              </w:rPr>
              <w:t>Service Category</w:t>
            </w:r>
          </w:p>
        </w:tc>
        <w:tc>
          <w:tcPr>
            <w:tcW w:w="6380" w:type="dxa"/>
            <w:vAlign w:val="bottom"/>
            <w:tcBorders>
              <w:top w:val="single" w:sz="8" w:color="auto"/>
              <w:right w:val="single" w:sz="8" w:color="auto"/>
            </w:tcBorders>
            <w:shd w:val="clear" w:color="auto" w:fill="BFBFBF"/>
          </w:tcPr>
          <w:p>
            <w:pPr>
              <w:ind w:left="2520"/>
              <w:spacing w:after="0"/>
              <w:rPr>
                <w:sz w:val="20"/>
                <w:szCs w:val="20"/>
                <w:color w:val="auto"/>
              </w:rPr>
            </w:pPr>
            <w:r>
              <w:rPr>
                <w:rFonts w:ascii="Times New Roman" w:cs="Times New Roman" w:eastAsia="Times New Roman" w:hAnsi="Times New Roman"/>
                <w:sz w:val="16"/>
                <w:szCs w:val="16"/>
                <w:b w:val="1"/>
                <w:bCs w:val="1"/>
                <w:color w:val="auto"/>
              </w:rPr>
              <w:t>Service Description</w:t>
            </w:r>
          </w:p>
        </w:tc>
        <w:tc>
          <w:tcPr>
            <w:tcW w:w="122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Amended/</w:t>
            </w:r>
          </w:p>
        </w:tc>
      </w:tr>
      <w:tr>
        <w:trPr>
          <w:trHeight w:val="250"/>
        </w:trPr>
        <w:tc>
          <w:tcPr>
            <w:tcW w:w="2220" w:type="dxa"/>
            <w:vAlign w:val="bottom"/>
            <w:tcBorders>
              <w:left w:val="single" w:sz="8" w:color="auto"/>
              <w:bottom w:val="single" w:sz="8" w:color="BFBFBF"/>
              <w:right w:val="single" w:sz="8" w:color="auto"/>
            </w:tcBorders>
            <w:shd w:val="clear" w:color="auto" w:fill="BFBFBF"/>
          </w:tcPr>
          <w:p>
            <w:pPr>
              <w:spacing w:after="0"/>
              <w:rPr>
                <w:sz w:val="21"/>
                <w:szCs w:val="21"/>
                <w:color w:val="auto"/>
              </w:rPr>
            </w:pPr>
          </w:p>
        </w:tc>
        <w:tc>
          <w:tcPr>
            <w:tcW w:w="6380" w:type="dxa"/>
            <w:vAlign w:val="bottom"/>
            <w:tcBorders>
              <w:bottom w:val="single" w:sz="8" w:color="BFBFBF"/>
              <w:right w:val="single" w:sz="8" w:color="auto"/>
            </w:tcBorders>
            <w:shd w:val="clear" w:color="auto" w:fill="BFBFBF"/>
          </w:tcPr>
          <w:p>
            <w:pPr>
              <w:spacing w:after="0"/>
              <w:rPr>
                <w:sz w:val="21"/>
                <w:szCs w:val="21"/>
                <w:color w:val="auto"/>
              </w:rPr>
            </w:pPr>
          </w:p>
        </w:tc>
        <w:tc>
          <w:tcPr>
            <w:tcW w:w="122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Added</w:t>
            </w:r>
          </w:p>
        </w:tc>
      </w:tr>
      <w:tr>
        <w:trPr>
          <w:trHeight w:val="218"/>
        </w:trPr>
        <w:tc>
          <w:tcPr>
            <w:tcW w:w="22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Issues Management</w:t>
            </w:r>
          </w:p>
        </w:tc>
        <w:tc>
          <w:tcPr>
            <w:tcW w:w="6380" w:type="dxa"/>
            <w:vAlign w:val="bottom"/>
            <w:tcBorders>
              <w:top w:val="single" w:sz="8" w:color="auto"/>
              <w:right w:val="single" w:sz="8" w:color="auto"/>
            </w:tcBorders>
          </w:tcPr>
          <w:p>
            <w:pPr>
              <w:ind w:left="340"/>
              <w:spacing w:after="0" w:line="218" w:lineRule="exact"/>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17"/>
                <w:szCs w:val="17"/>
                <w:color w:val="auto"/>
              </w:rPr>
              <w:t>Assignment of issue ownership, risk pillar, and issue reviewer.</w:t>
            </w:r>
          </w:p>
        </w:tc>
        <w:tc>
          <w:tcPr>
            <w:tcW w:w="1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Amended</w:t>
            </w: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tcPr>
          <w:p>
            <w:pPr>
              <w:ind w:left="340"/>
              <w:spacing w:after="0" w:line="202" w:lineRule="exact"/>
              <w:rPr>
                <w:sz w:val="20"/>
                <w:szCs w:val="20"/>
                <w:color w:val="auto"/>
              </w:rPr>
            </w:pPr>
            <w:r>
              <w:rPr>
                <w:rFonts w:ascii="Times New Roman" w:cs="Times New Roman" w:eastAsia="Times New Roman" w:hAnsi="Times New Roman"/>
                <w:sz w:val="18"/>
                <w:szCs w:val="18"/>
                <w:color w:val="auto"/>
              </w:rPr>
              <w:t>•   Validation of completeness and accuracy of issue description.</w:t>
            </w:r>
          </w:p>
        </w:tc>
        <w:tc>
          <w:tcPr>
            <w:tcW w:w="1220" w:type="dxa"/>
            <w:vAlign w:val="bottom"/>
            <w:tcBorders>
              <w:right w:val="single" w:sz="8" w:color="auto"/>
            </w:tcBorders>
          </w:tcPr>
          <w:p>
            <w:pPr>
              <w:spacing w:after="0"/>
              <w:rPr>
                <w:sz w:val="17"/>
                <w:szCs w:val="17"/>
                <w:color w:val="auto"/>
              </w:rPr>
            </w:pP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tcPr>
          <w:p>
            <w:pPr>
              <w:ind w:left="340"/>
              <w:spacing w:after="0" w:line="202" w:lineRule="exact"/>
              <w:rPr>
                <w:sz w:val="20"/>
                <w:szCs w:val="20"/>
                <w:color w:val="auto"/>
              </w:rPr>
            </w:pPr>
            <w:r>
              <w:rPr>
                <w:rFonts w:ascii="Times New Roman" w:cs="Times New Roman" w:eastAsia="Times New Roman" w:hAnsi="Times New Roman"/>
                <w:sz w:val="18"/>
                <w:szCs w:val="18"/>
                <w:color w:val="auto"/>
              </w:rPr>
              <w:t>•   Verification of root cause accuracy.</w:t>
            </w:r>
          </w:p>
        </w:tc>
        <w:tc>
          <w:tcPr>
            <w:tcW w:w="1220" w:type="dxa"/>
            <w:vAlign w:val="bottom"/>
            <w:tcBorders>
              <w:right w:val="single" w:sz="8" w:color="auto"/>
            </w:tcBorders>
          </w:tcPr>
          <w:p>
            <w:pPr>
              <w:spacing w:after="0"/>
              <w:rPr>
                <w:sz w:val="17"/>
                <w:szCs w:val="17"/>
                <w:color w:val="auto"/>
              </w:rPr>
            </w:pP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tcPr>
          <w:p>
            <w:pPr>
              <w:ind w:left="340"/>
              <w:spacing w:after="0" w:line="202" w:lineRule="exact"/>
              <w:rPr>
                <w:sz w:val="20"/>
                <w:szCs w:val="20"/>
                <w:color w:val="auto"/>
              </w:rPr>
            </w:pPr>
            <w:r>
              <w:rPr>
                <w:rFonts w:ascii="Times New Roman" w:cs="Times New Roman" w:eastAsia="Times New Roman" w:hAnsi="Times New Roman"/>
                <w:sz w:val="18"/>
                <w:szCs w:val="18"/>
                <w:color w:val="auto"/>
              </w:rPr>
              <w:t>•   Establishment of remediation plans and ownership.</w:t>
            </w:r>
          </w:p>
        </w:tc>
        <w:tc>
          <w:tcPr>
            <w:tcW w:w="1220" w:type="dxa"/>
            <w:vAlign w:val="bottom"/>
            <w:tcBorders>
              <w:right w:val="single" w:sz="8" w:color="auto"/>
            </w:tcBorders>
          </w:tcPr>
          <w:p>
            <w:pPr>
              <w:spacing w:after="0"/>
              <w:rPr>
                <w:sz w:val="17"/>
                <w:szCs w:val="17"/>
                <w:color w:val="auto"/>
              </w:rPr>
            </w:pP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tcPr>
          <w:p>
            <w:pPr>
              <w:ind w:left="340"/>
              <w:spacing w:after="0" w:line="202" w:lineRule="exact"/>
              <w:rPr>
                <w:sz w:val="20"/>
                <w:szCs w:val="20"/>
                <w:color w:val="auto"/>
              </w:rPr>
            </w:pPr>
            <w:r>
              <w:rPr>
                <w:rFonts w:ascii="Times New Roman" w:cs="Times New Roman" w:eastAsia="Times New Roman" w:hAnsi="Times New Roman"/>
                <w:sz w:val="18"/>
                <w:szCs w:val="18"/>
                <w:color w:val="auto"/>
              </w:rPr>
              <w:t>•   Identify applicable risk(s) and control(s) to assign to issue.</w:t>
            </w:r>
          </w:p>
        </w:tc>
        <w:tc>
          <w:tcPr>
            <w:tcW w:w="1220" w:type="dxa"/>
            <w:vAlign w:val="bottom"/>
            <w:tcBorders>
              <w:right w:val="single" w:sz="8" w:color="auto"/>
            </w:tcBorders>
          </w:tcPr>
          <w:p>
            <w:pPr>
              <w:spacing w:after="0"/>
              <w:rPr>
                <w:sz w:val="17"/>
                <w:szCs w:val="17"/>
                <w:color w:val="auto"/>
              </w:rPr>
            </w:pP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tcPr>
          <w:p>
            <w:pPr>
              <w:ind w:left="340"/>
              <w:spacing w:after="0" w:line="202" w:lineRule="exact"/>
              <w:rPr>
                <w:sz w:val="20"/>
                <w:szCs w:val="20"/>
                <w:color w:val="auto"/>
              </w:rPr>
            </w:pPr>
            <w:r>
              <w:rPr>
                <w:rFonts w:ascii="Times New Roman" w:cs="Times New Roman" w:eastAsia="Times New Roman" w:hAnsi="Times New Roman"/>
                <w:sz w:val="18"/>
                <w:szCs w:val="18"/>
                <w:color w:val="auto"/>
              </w:rPr>
              <w:t>•   Responsible for remediation and issue validation by the issue owner.</w:t>
            </w:r>
          </w:p>
        </w:tc>
        <w:tc>
          <w:tcPr>
            <w:tcW w:w="1220" w:type="dxa"/>
            <w:vAlign w:val="bottom"/>
            <w:tcBorders>
              <w:right w:val="single" w:sz="8" w:color="auto"/>
            </w:tcBorders>
          </w:tcPr>
          <w:p>
            <w:pPr>
              <w:spacing w:after="0"/>
              <w:rPr>
                <w:sz w:val="17"/>
                <w:szCs w:val="17"/>
                <w:color w:val="auto"/>
              </w:rPr>
            </w:pPr>
          </w:p>
        </w:tc>
      </w:tr>
      <w:tr>
        <w:trPr>
          <w:trHeight w:val="189"/>
        </w:trPr>
        <w:tc>
          <w:tcPr>
            <w:tcW w:w="2220" w:type="dxa"/>
            <w:vAlign w:val="bottom"/>
            <w:tcBorders>
              <w:left w:val="single" w:sz="8" w:color="auto"/>
              <w:right w:val="single" w:sz="8" w:color="auto"/>
            </w:tcBorders>
          </w:tcPr>
          <w:p>
            <w:pPr>
              <w:spacing w:after="0"/>
              <w:rPr>
                <w:sz w:val="16"/>
                <w:szCs w:val="16"/>
                <w:color w:val="auto"/>
              </w:rPr>
            </w:pPr>
          </w:p>
        </w:tc>
        <w:tc>
          <w:tcPr>
            <w:tcW w:w="6380" w:type="dxa"/>
            <w:vAlign w:val="bottom"/>
            <w:tcBorders>
              <w:right w:val="single" w:sz="8" w:color="auto"/>
            </w:tcBorders>
          </w:tcPr>
          <w:p>
            <w:pPr>
              <w:ind w:left="340"/>
              <w:spacing w:after="0" w:line="189" w:lineRule="exact"/>
              <w:rPr>
                <w:sz w:val="20"/>
                <w:szCs w:val="20"/>
                <w:color w:val="auto"/>
              </w:rPr>
            </w:pPr>
            <w:r>
              <w:rPr>
                <w:rFonts w:ascii="Times New Roman" w:cs="Times New Roman" w:eastAsia="Times New Roman" w:hAnsi="Times New Roman"/>
                <w:sz w:val="18"/>
                <w:szCs w:val="18"/>
                <w:color w:val="auto"/>
              </w:rPr>
              <w:t>•   Participate in various Committees and Management forums to provide updates</w:t>
            </w:r>
          </w:p>
        </w:tc>
        <w:tc>
          <w:tcPr>
            <w:tcW w:w="1220" w:type="dxa"/>
            <w:vAlign w:val="bottom"/>
            <w:tcBorders>
              <w:right w:val="single" w:sz="8" w:color="auto"/>
            </w:tcBorders>
          </w:tcPr>
          <w:p>
            <w:pPr>
              <w:spacing w:after="0"/>
              <w:rPr>
                <w:sz w:val="16"/>
                <w:szCs w:val="16"/>
                <w:color w:val="auto"/>
              </w:rPr>
            </w:pP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on issue containment, remediation and closure.</w:t>
            </w:r>
          </w:p>
        </w:tc>
        <w:tc>
          <w:tcPr>
            <w:tcW w:w="1220" w:type="dxa"/>
            <w:vAlign w:val="bottom"/>
            <w:tcBorders>
              <w:right w:val="single" w:sz="8" w:color="auto"/>
            </w:tcBorders>
          </w:tcPr>
          <w:p>
            <w:pPr>
              <w:spacing w:after="0"/>
              <w:rPr>
                <w:sz w:val="17"/>
                <w:szCs w:val="17"/>
                <w:color w:val="auto"/>
              </w:rPr>
            </w:pP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tcPr>
          <w:p>
            <w:pPr>
              <w:ind w:left="340"/>
              <w:spacing w:after="0" w:line="202" w:lineRule="exact"/>
              <w:rPr>
                <w:sz w:val="20"/>
                <w:szCs w:val="20"/>
                <w:color w:val="auto"/>
              </w:rPr>
            </w:pPr>
            <w:r>
              <w:rPr>
                <w:rFonts w:ascii="Times New Roman" w:cs="Times New Roman" w:eastAsia="Times New Roman" w:hAnsi="Times New Roman"/>
                <w:sz w:val="18"/>
                <w:szCs w:val="18"/>
                <w:color w:val="auto"/>
              </w:rPr>
              <w:t>•   Escalate remediation roadblocks and service standard non-adherence to Bank</w:t>
            </w:r>
          </w:p>
        </w:tc>
        <w:tc>
          <w:tcPr>
            <w:tcW w:w="1220" w:type="dxa"/>
            <w:vAlign w:val="bottom"/>
            <w:tcBorders>
              <w:right w:val="single" w:sz="8" w:color="auto"/>
            </w:tcBorders>
          </w:tcPr>
          <w:p>
            <w:pPr>
              <w:spacing w:after="0"/>
              <w:rPr>
                <w:sz w:val="17"/>
                <w:szCs w:val="17"/>
                <w:color w:val="auto"/>
              </w:rPr>
            </w:pPr>
          </w:p>
        </w:tc>
      </w:tr>
      <w:tr>
        <w:trPr>
          <w:trHeight w:val="234"/>
        </w:trPr>
        <w:tc>
          <w:tcPr>
            <w:tcW w:w="2220" w:type="dxa"/>
            <w:vAlign w:val="bottom"/>
            <w:tcBorders>
              <w:left w:val="single" w:sz="8" w:color="auto"/>
              <w:right w:val="single" w:sz="8" w:color="auto"/>
            </w:tcBorders>
          </w:tcPr>
          <w:p>
            <w:pPr>
              <w:spacing w:after="0"/>
              <w:rPr>
                <w:sz w:val="20"/>
                <w:szCs w:val="20"/>
                <w:color w:val="auto"/>
              </w:rPr>
            </w:pPr>
          </w:p>
        </w:tc>
        <w:tc>
          <w:tcPr>
            <w:tcW w:w="63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management, as needed.</w:t>
            </w:r>
          </w:p>
        </w:tc>
        <w:tc>
          <w:tcPr>
            <w:tcW w:w="1220" w:type="dxa"/>
            <w:vAlign w:val="bottom"/>
            <w:tcBorders>
              <w:right w:val="single" w:sz="8" w:color="auto"/>
            </w:tcBorders>
          </w:tcPr>
          <w:p>
            <w:pPr>
              <w:spacing w:after="0"/>
              <w:rPr>
                <w:sz w:val="20"/>
                <w:szCs w:val="20"/>
                <w:color w:val="auto"/>
              </w:rPr>
            </w:pPr>
          </w:p>
        </w:tc>
      </w:tr>
      <w:tr>
        <w:trPr>
          <w:trHeight w:val="270"/>
        </w:trPr>
        <w:tc>
          <w:tcPr>
            <w:tcW w:w="2220" w:type="dxa"/>
            <w:vAlign w:val="bottom"/>
            <w:tcBorders>
              <w:left w:val="single" w:sz="8" w:color="auto"/>
              <w:right w:val="single" w:sz="8" w:color="auto"/>
            </w:tcBorders>
          </w:tcPr>
          <w:p>
            <w:pPr>
              <w:spacing w:after="0"/>
              <w:rPr>
                <w:sz w:val="23"/>
                <w:szCs w:val="23"/>
                <w:color w:val="auto"/>
              </w:rPr>
            </w:pPr>
          </w:p>
        </w:tc>
        <w:tc>
          <w:tcPr>
            <w:tcW w:w="6380" w:type="dxa"/>
            <w:vAlign w:val="bottom"/>
            <w:tcBorders>
              <w:right w:val="single" w:sz="8" w:color="auto"/>
            </w:tcBorders>
          </w:tcPr>
          <w:p>
            <w:pPr>
              <w:spacing w:after="0"/>
              <w:rPr>
                <w:sz w:val="23"/>
                <w:szCs w:val="23"/>
                <w:color w:val="auto"/>
              </w:rPr>
            </w:pPr>
          </w:p>
        </w:tc>
        <w:tc>
          <w:tcPr>
            <w:tcW w:w="1220" w:type="dxa"/>
            <w:vAlign w:val="bottom"/>
            <w:tcBorders>
              <w:right w:val="single" w:sz="8" w:color="auto"/>
            </w:tcBorders>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Seventh Addendum to</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Sixth Amended and Restated Service Agreement</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Comenity Servicing LLC/Comenity Bank</w:t>
      </w:r>
    </w:p>
    <w:p>
      <w:pPr>
        <w:spacing w:after="0" w:line="7"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0908"/>
          </w:cols>
          <w:pgMar w:left="652" w:top="1404"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5" w:lineRule="exact"/>
        <w:rPr>
          <w:sz w:val="20"/>
          <w:szCs w:val="20"/>
          <w:color w:val="auto"/>
        </w:rPr>
      </w:pPr>
    </w:p>
    <w:p>
      <w:pPr>
        <w:ind w:left="660" w:right="440" w:hanging="328"/>
        <w:spacing w:after="0" w:line="237" w:lineRule="auto"/>
        <w:tabs>
          <w:tab w:leader="none" w:pos="663" w:val="left"/>
        </w:tabs>
        <w:numPr>
          <w:ilvl w:val="0"/>
          <w:numId w:val="7"/>
        </w:numPr>
        <w:rPr>
          <w:rFonts w:ascii="Arial" w:cs="Arial" w:eastAsia="Arial" w:hAnsi="Arial"/>
          <w:sz w:val="20"/>
          <w:szCs w:val="20"/>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xml:space="preserve">. Set forth below are revisions to existing Performance Standards, all of which shall be incorporated into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xml:space="preserve"> to the Agreement.</w:t>
      </w:r>
    </w:p>
    <w:p>
      <w:pPr>
        <w:spacing w:after="0" w:line="18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b w:val="1"/>
          <w:bCs w:val="1"/>
          <w:u w:val="single" w:color="auto"/>
          <w:color w:val="auto"/>
        </w:rPr>
        <w:t>SECTION I: PERFORMANCE STANDARDS APPLICABLE TO ALL COMENITY BANK PRODUCTS</w: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2380" w:type="dxa"/>
            <w:vAlign w:val="bottom"/>
            <w:tcBorders>
              <w:top w:val="single" w:sz="8" w:color="auto"/>
              <w:left w:val="single" w:sz="8" w:color="auto"/>
              <w:right w:val="single" w:sz="8" w:color="auto"/>
            </w:tcBorders>
            <w:shd w:val="clear" w:color="auto" w:fill="BFBFBF"/>
          </w:tcPr>
          <w:p>
            <w:pPr>
              <w:ind w:left="600"/>
              <w:spacing w:after="0" w:line="169" w:lineRule="exact"/>
              <w:rPr>
                <w:sz w:val="20"/>
                <w:szCs w:val="20"/>
                <w:color w:val="auto"/>
              </w:rPr>
            </w:pPr>
            <w:r>
              <w:rPr>
                <w:rFonts w:ascii="Times New Roman" w:cs="Times New Roman" w:eastAsia="Times New Roman" w:hAnsi="Times New Roman"/>
                <w:sz w:val="16"/>
                <w:szCs w:val="16"/>
                <w:b w:val="1"/>
                <w:bCs w:val="1"/>
                <w:color w:val="auto"/>
              </w:rPr>
              <w:t>Service Category</w:t>
            </w:r>
          </w:p>
        </w:tc>
        <w:tc>
          <w:tcPr>
            <w:tcW w:w="6020" w:type="dxa"/>
            <w:vAlign w:val="bottom"/>
            <w:tcBorders>
              <w:top w:val="single" w:sz="8" w:color="auto"/>
              <w:right w:val="single" w:sz="8" w:color="auto"/>
            </w:tcBorders>
            <w:shd w:val="clear" w:color="auto" w:fill="BFBFBF"/>
          </w:tcPr>
          <w:p>
            <w:pPr>
              <w:ind w:left="2200"/>
              <w:spacing w:after="0" w:line="169" w:lineRule="exact"/>
              <w:rPr>
                <w:sz w:val="20"/>
                <w:szCs w:val="20"/>
                <w:color w:val="auto"/>
              </w:rPr>
            </w:pPr>
            <w:r>
              <w:rPr>
                <w:rFonts w:ascii="Times New Roman" w:cs="Times New Roman" w:eastAsia="Times New Roman" w:hAnsi="Times New Roman"/>
                <w:sz w:val="16"/>
                <w:szCs w:val="16"/>
                <w:b w:val="1"/>
                <w:bCs w:val="1"/>
                <w:color w:val="auto"/>
              </w:rPr>
              <w:t>Performance Standard</w:t>
            </w:r>
          </w:p>
        </w:tc>
        <w:tc>
          <w:tcPr>
            <w:tcW w:w="1020" w:type="dxa"/>
            <w:vAlign w:val="bottom"/>
            <w:tcBorders>
              <w:top w:val="single" w:sz="8" w:color="auto"/>
              <w:right w:val="single" w:sz="8" w:color="auto"/>
            </w:tcBorders>
            <w:shd w:val="clear" w:color="auto" w:fill="BFBFBF"/>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rPr>
              <w:t>Measuring</w:t>
            </w:r>
          </w:p>
        </w:tc>
        <w:tc>
          <w:tcPr>
            <w:tcW w:w="1840" w:type="dxa"/>
            <w:vAlign w:val="bottom"/>
            <w:tcBorders>
              <w:top w:val="single" w:sz="8" w:color="auto"/>
              <w:right w:val="single" w:sz="8" w:color="auto"/>
            </w:tcBorders>
            <w:shd w:val="clear" w:color="auto" w:fill="BFBFBF"/>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rPr>
              <w:t>Amended/ Added</w:t>
            </w:r>
          </w:p>
        </w:tc>
      </w:tr>
      <w:tr>
        <w:trPr>
          <w:trHeight w:val="250"/>
        </w:trPr>
        <w:tc>
          <w:tcPr>
            <w:tcW w:w="2380" w:type="dxa"/>
            <w:vAlign w:val="bottom"/>
            <w:tcBorders>
              <w:left w:val="single" w:sz="8" w:color="auto"/>
              <w:bottom w:val="single" w:sz="8" w:color="BFBFBF"/>
              <w:right w:val="single" w:sz="8" w:color="auto"/>
            </w:tcBorders>
            <w:shd w:val="clear" w:color="auto" w:fill="BFBFBF"/>
          </w:tcPr>
          <w:p>
            <w:pPr>
              <w:spacing w:after="0"/>
              <w:rPr>
                <w:sz w:val="21"/>
                <w:szCs w:val="21"/>
                <w:color w:val="auto"/>
              </w:rPr>
            </w:pPr>
          </w:p>
        </w:tc>
        <w:tc>
          <w:tcPr>
            <w:tcW w:w="6020" w:type="dxa"/>
            <w:vAlign w:val="bottom"/>
            <w:tcBorders>
              <w:bottom w:val="single" w:sz="8" w:color="BFBFBF"/>
              <w:right w:val="single" w:sz="8" w:color="auto"/>
            </w:tcBorders>
            <w:shd w:val="clear" w:color="auto" w:fill="BFBFBF"/>
          </w:tcPr>
          <w:p>
            <w:pPr>
              <w:spacing w:after="0"/>
              <w:rPr>
                <w:sz w:val="21"/>
                <w:szCs w:val="21"/>
                <w:color w:val="auto"/>
              </w:rPr>
            </w:pPr>
          </w:p>
        </w:tc>
        <w:tc>
          <w:tcPr>
            <w:tcW w:w="102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40" w:type="dxa"/>
            <w:vAlign w:val="bottom"/>
            <w:tcBorders>
              <w:bottom w:val="single" w:sz="8" w:color="BFBFBF"/>
              <w:right w:val="single" w:sz="8" w:color="auto"/>
            </w:tcBorders>
            <w:shd w:val="clear" w:color="auto" w:fill="BFBFBF"/>
          </w:tcPr>
          <w:p>
            <w:pPr>
              <w:spacing w:after="0"/>
              <w:rPr>
                <w:sz w:val="21"/>
                <w:szCs w:val="21"/>
                <w:color w:val="auto"/>
              </w:rPr>
            </w:pPr>
          </w:p>
        </w:tc>
      </w:tr>
      <w:tr>
        <w:trPr>
          <w:trHeight w:val="232"/>
        </w:trPr>
        <w:tc>
          <w:tcPr>
            <w:tcW w:w="23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Issues Management</w:t>
            </w:r>
          </w:p>
        </w:tc>
        <w:tc>
          <w:tcPr>
            <w:tcW w:w="60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Close 90% of issues within 250 days.</w:t>
            </w:r>
          </w:p>
        </w:tc>
        <w:tc>
          <w:tcPr>
            <w:tcW w:w="1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Amended</w:t>
            </w:r>
          </w:p>
        </w:tc>
      </w:tr>
      <w:tr>
        <w:trPr>
          <w:trHeight w:val="113"/>
        </w:trPr>
        <w:tc>
          <w:tcPr>
            <w:tcW w:w="2380" w:type="dxa"/>
            <w:vAlign w:val="bottom"/>
            <w:tcBorders>
              <w:left w:val="single" w:sz="8" w:color="auto"/>
              <w:right w:val="single" w:sz="8" w:color="auto"/>
            </w:tcBorders>
          </w:tcPr>
          <w:p>
            <w:pPr>
              <w:spacing w:after="0"/>
              <w:rPr>
                <w:sz w:val="9"/>
                <w:szCs w:val="9"/>
                <w:color w:val="auto"/>
              </w:rPr>
            </w:pPr>
          </w:p>
        </w:tc>
        <w:tc>
          <w:tcPr>
            <w:tcW w:w="602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r>
      <w:tr>
        <w:trPr>
          <w:trHeight w:val="228"/>
        </w:trPr>
        <w:tc>
          <w:tcPr>
            <w:tcW w:w="2380" w:type="dxa"/>
            <w:vAlign w:val="bottom"/>
            <w:tcBorders>
              <w:left w:val="single" w:sz="8" w:color="auto"/>
              <w:right w:val="single" w:sz="8" w:color="auto"/>
            </w:tcBorders>
          </w:tcPr>
          <w:p>
            <w:pPr>
              <w:spacing w:after="0"/>
              <w:rPr>
                <w:sz w:val="19"/>
                <w:szCs w:val="19"/>
                <w:color w:val="auto"/>
              </w:rPr>
            </w:pPr>
          </w:p>
        </w:tc>
        <w:tc>
          <w:tcPr>
            <w:tcW w:w="6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Complete 90% of Level 3 Consumer Containment/Remediation within 210 days.</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Amended</w:t>
            </w:r>
          </w:p>
        </w:tc>
      </w:tr>
      <w:tr>
        <w:trPr>
          <w:trHeight w:val="130"/>
        </w:trPr>
        <w:tc>
          <w:tcPr>
            <w:tcW w:w="2380" w:type="dxa"/>
            <w:vAlign w:val="bottom"/>
            <w:tcBorders>
              <w:left w:val="single" w:sz="8" w:color="auto"/>
              <w:bottom w:val="single" w:sz="8" w:color="auto"/>
              <w:right w:val="single" w:sz="8" w:color="auto"/>
            </w:tcBorders>
          </w:tcPr>
          <w:p>
            <w:pPr>
              <w:spacing w:after="0"/>
              <w:rPr>
                <w:sz w:val="11"/>
                <w:szCs w:val="11"/>
                <w:color w:val="auto"/>
              </w:rPr>
            </w:pPr>
          </w:p>
        </w:tc>
        <w:tc>
          <w:tcPr>
            <w:tcW w:w="6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r>
    </w:tbl>
    <w:p>
      <w:pPr>
        <w:spacing w:after="0" w:line="31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2"/>
          <w:szCs w:val="22"/>
          <w:u w:val="single" w:color="auto"/>
          <w:color w:val="auto"/>
        </w:rPr>
        <w:t>Deletions</w:t>
      </w:r>
      <w:r>
        <w:rPr>
          <w:rFonts w:ascii="Times New Roman" w:cs="Times New Roman" w:eastAsia="Times New Roman" w:hAnsi="Times New Roman"/>
          <w:sz w:val="22"/>
          <w:szCs w:val="22"/>
          <w:color w:val="auto"/>
        </w:rPr>
        <w:t xml:space="preserve">. Set forth below are Performance Standards which shall be deleted from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xml:space="preserve"> to the Agreement.</w:t>
      </w:r>
    </w:p>
    <w:p>
      <w:pPr>
        <w:spacing w:after="0" w:line="215" w:lineRule="exact"/>
        <w:rPr>
          <w:rFonts w:ascii="Arial" w:cs="Arial" w:eastAsia="Arial" w:hAnsi="Arial"/>
          <w:sz w:val="20"/>
          <w:szCs w:val="20"/>
          <w:color w:val="auto"/>
        </w:rPr>
      </w:pPr>
    </w:p>
    <w:p>
      <w:pPr>
        <w:ind w:left="1060"/>
        <w:spacing w:after="0"/>
        <w:rPr>
          <w:rFonts w:ascii="Arial" w:cs="Arial" w:eastAsia="Arial" w:hAnsi="Arial"/>
          <w:sz w:val="20"/>
          <w:szCs w:val="20"/>
          <w:color w:val="auto"/>
        </w:rPr>
      </w:pPr>
      <w:r>
        <w:rPr>
          <w:rFonts w:ascii="Times New Roman" w:cs="Times New Roman" w:eastAsia="Times New Roman" w:hAnsi="Times New Roman"/>
          <w:sz w:val="22"/>
          <w:szCs w:val="22"/>
          <w:b w:val="1"/>
          <w:bCs w:val="1"/>
          <w:u w:val="single" w:color="auto"/>
          <w:color w:val="auto"/>
        </w:rPr>
        <w:t>SECTION I: PERFORMANCE STANDARDS APPLICABLE TO ALL COMENITY BANK PRODUCTS</w: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2360" w:type="dxa"/>
            <w:vAlign w:val="bottom"/>
            <w:tcBorders>
              <w:top w:val="single" w:sz="8" w:color="auto"/>
              <w:left w:val="single" w:sz="8" w:color="auto"/>
              <w:right w:val="single" w:sz="8" w:color="auto"/>
            </w:tcBorders>
            <w:shd w:val="clear" w:color="auto" w:fill="BFBFBF"/>
          </w:tcPr>
          <w:p>
            <w:pPr>
              <w:ind w:left="600"/>
              <w:spacing w:after="0" w:line="182" w:lineRule="exact"/>
              <w:rPr>
                <w:sz w:val="20"/>
                <w:szCs w:val="20"/>
                <w:color w:val="auto"/>
              </w:rPr>
            </w:pPr>
            <w:r>
              <w:rPr>
                <w:rFonts w:ascii="Times New Roman" w:cs="Times New Roman" w:eastAsia="Times New Roman" w:hAnsi="Times New Roman"/>
                <w:sz w:val="16"/>
                <w:szCs w:val="16"/>
                <w:b w:val="1"/>
                <w:bCs w:val="1"/>
                <w:color w:val="auto"/>
              </w:rPr>
              <w:t>Service Category</w:t>
            </w:r>
          </w:p>
        </w:tc>
        <w:tc>
          <w:tcPr>
            <w:tcW w:w="6060" w:type="dxa"/>
            <w:vAlign w:val="bottom"/>
            <w:tcBorders>
              <w:top w:val="single" w:sz="8" w:color="auto"/>
              <w:right w:val="single" w:sz="8" w:color="auto"/>
            </w:tcBorders>
            <w:shd w:val="clear" w:color="auto" w:fill="BFBFBF"/>
          </w:tcPr>
          <w:p>
            <w:pPr>
              <w:ind w:left="2220"/>
              <w:spacing w:after="0" w:line="182" w:lineRule="exact"/>
              <w:rPr>
                <w:sz w:val="20"/>
                <w:szCs w:val="20"/>
                <w:color w:val="auto"/>
              </w:rPr>
            </w:pPr>
            <w:r>
              <w:rPr>
                <w:rFonts w:ascii="Times New Roman" w:cs="Times New Roman" w:eastAsia="Times New Roman" w:hAnsi="Times New Roman"/>
                <w:sz w:val="16"/>
                <w:szCs w:val="16"/>
                <w:b w:val="1"/>
                <w:bCs w:val="1"/>
                <w:color w:val="auto"/>
              </w:rPr>
              <w:t>Performance Standard</w:t>
            </w:r>
          </w:p>
        </w:tc>
        <w:tc>
          <w:tcPr>
            <w:tcW w:w="960" w:type="dxa"/>
            <w:vAlign w:val="bottom"/>
            <w:tcBorders>
              <w:top w:val="single" w:sz="8" w:color="auto"/>
              <w:right w:val="single" w:sz="8" w:color="auto"/>
            </w:tcBorders>
            <w:shd w:val="clear" w:color="auto" w:fill="BFBFBF"/>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Measuring</w:t>
            </w:r>
          </w:p>
        </w:tc>
        <w:tc>
          <w:tcPr>
            <w:tcW w:w="1880" w:type="dxa"/>
            <w:vAlign w:val="bottom"/>
            <w:tcBorders>
              <w:top w:val="single" w:sz="8" w:color="auto"/>
              <w:right w:val="single" w:sz="8" w:color="auto"/>
            </w:tcBorders>
            <w:shd w:val="clear" w:color="auto" w:fill="BFBFBF"/>
          </w:tcPr>
          <w:p>
            <w:pPr>
              <w:jc w:val="right"/>
              <w:ind w:right="615"/>
              <w:spacing w:after="0" w:line="182" w:lineRule="exact"/>
              <w:rPr>
                <w:sz w:val="20"/>
                <w:szCs w:val="20"/>
                <w:color w:val="auto"/>
              </w:rPr>
            </w:pPr>
            <w:r>
              <w:rPr>
                <w:rFonts w:ascii="Times New Roman" w:cs="Times New Roman" w:eastAsia="Times New Roman" w:hAnsi="Times New Roman"/>
                <w:sz w:val="16"/>
                <w:szCs w:val="16"/>
                <w:b w:val="1"/>
                <w:bCs w:val="1"/>
                <w:color w:val="auto"/>
              </w:rPr>
              <w:t>Deleted</w:t>
            </w:r>
          </w:p>
        </w:tc>
      </w:tr>
      <w:tr>
        <w:trPr>
          <w:trHeight w:val="225"/>
        </w:trPr>
        <w:tc>
          <w:tcPr>
            <w:tcW w:w="2360" w:type="dxa"/>
            <w:vAlign w:val="bottom"/>
            <w:tcBorders>
              <w:left w:val="single" w:sz="8" w:color="auto"/>
              <w:bottom w:val="single" w:sz="8" w:color="auto"/>
              <w:right w:val="single" w:sz="8" w:color="auto"/>
            </w:tcBorders>
            <w:shd w:val="clear" w:color="auto" w:fill="BFBFBF"/>
          </w:tcPr>
          <w:p>
            <w:pPr>
              <w:spacing w:after="0"/>
              <w:rPr>
                <w:sz w:val="19"/>
                <w:szCs w:val="19"/>
                <w:color w:val="auto"/>
              </w:rPr>
            </w:pPr>
          </w:p>
        </w:tc>
        <w:tc>
          <w:tcPr>
            <w:tcW w:w="6060" w:type="dxa"/>
            <w:vAlign w:val="bottom"/>
            <w:tcBorders>
              <w:bottom w:val="single" w:sz="8" w:color="auto"/>
              <w:right w:val="single" w:sz="8" w:color="auto"/>
            </w:tcBorders>
            <w:shd w:val="clear" w:color="auto" w:fill="BFBFBF"/>
          </w:tcPr>
          <w:p>
            <w:pPr>
              <w:spacing w:after="0"/>
              <w:rPr>
                <w:sz w:val="19"/>
                <w:szCs w:val="19"/>
                <w:color w:val="auto"/>
              </w:rPr>
            </w:pPr>
          </w:p>
        </w:tc>
        <w:tc>
          <w:tcPr>
            <w:tcW w:w="9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80" w:type="dxa"/>
            <w:vAlign w:val="bottom"/>
            <w:tcBorders>
              <w:bottom w:val="single" w:sz="8" w:color="auto"/>
              <w:right w:val="single" w:sz="8" w:color="auto"/>
            </w:tcBorders>
            <w:shd w:val="clear" w:color="auto" w:fill="BFBFBF"/>
          </w:tcPr>
          <w:p>
            <w:pPr>
              <w:spacing w:after="0"/>
              <w:rPr>
                <w:sz w:val="19"/>
                <w:szCs w:val="19"/>
                <w:color w:val="auto"/>
              </w:rPr>
            </w:pPr>
          </w:p>
        </w:tc>
      </w:tr>
      <w:tr>
        <w:trPr>
          <w:trHeight w:val="198"/>
        </w:trPr>
        <w:tc>
          <w:tcPr>
            <w:tcW w:w="2360" w:type="dxa"/>
            <w:vAlign w:val="bottom"/>
            <w:tcBorders>
              <w:left w:val="single" w:sz="8" w:color="auto"/>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Issues Management</w:t>
            </w:r>
          </w:p>
        </w:tc>
        <w:tc>
          <w:tcPr>
            <w:tcW w:w="606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Contain 90% of non-technical issues impacting customers OR four or less non-</w:t>
            </w:r>
          </w:p>
        </w:tc>
        <w:tc>
          <w:tcPr>
            <w:tcW w:w="9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w:t>
            </w:r>
          </w:p>
        </w:tc>
        <w:tc>
          <w:tcPr>
            <w:tcW w:w="1880" w:type="dxa"/>
            <w:vAlign w:val="bottom"/>
            <w:tcBorders>
              <w:right w:val="single" w:sz="8" w:color="auto"/>
            </w:tcBorders>
          </w:tcPr>
          <w:p>
            <w:pPr>
              <w:jc w:val="right"/>
              <w:ind w:right="595"/>
              <w:spacing w:after="0" w:line="198" w:lineRule="exact"/>
              <w:rPr>
                <w:sz w:val="20"/>
                <w:szCs w:val="20"/>
                <w:color w:val="auto"/>
              </w:rPr>
            </w:pPr>
            <w:r>
              <w:rPr>
                <w:rFonts w:ascii="Times New Roman" w:cs="Times New Roman" w:eastAsia="Times New Roman" w:hAnsi="Times New Roman"/>
                <w:sz w:val="18"/>
                <w:szCs w:val="18"/>
                <w:color w:val="auto"/>
              </w:rPr>
              <w:t>Deleted</w:t>
            </w:r>
          </w:p>
        </w:tc>
      </w:tr>
      <w:tr>
        <w:trPr>
          <w:trHeight w:val="203"/>
        </w:trPr>
        <w:tc>
          <w:tcPr>
            <w:tcW w:w="2360" w:type="dxa"/>
            <w:vAlign w:val="bottom"/>
            <w:tcBorders>
              <w:left w:val="single" w:sz="8" w:color="auto"/>
              <w:right w:val="single" w:sz="8" w:color="auto"/>
            </w:tcBorders>
          </w:tcPr>
          <w:p>
            <w:pPr>
              <w:spacing w:after="0"/>
              <w:rPr>
                <w:sz w:val="17"/>
                <w:szCs w:val="17"/>
                <w:color w:val="auto"/>
              </w:rPr>
            </w:pPr>
          </w:p>
        </w:tc>
        <w:tc>
          <w:tcPr>
            <w:tcW w:w="606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technical issues if 90% is not achieved within timelines established in the Issues</w:t>
            </w:r>
          </w:p>
        </w:tc>
        <w:tc>
          <w:tcPr>
            <w:tcW w:w="96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6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Management Procedure.</w:t>
            </w:r>
          </w:p>
        </w:tc>
        <w:tc>
          <w:tcPr>
            <w:tcW w:w="96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r>
      <w:tr>
        <w:trPr>
          <w:trHeight w:val="94"/>
        </w:trPr>
        <w:tc>
          <w:tcPr>
            <w:tcW w:w="2360" w:type="dxa"/>
            <w:vAlign w:val="bottom"/>
            <w:tcBorders>
              <w:left w:val="single" w:sz="8" w:color="auto"/>
              <w:right w:val="single" w:sz="8" w:color="auto"/>
            </w:tcBorders>
          </w:tcPr>
          <w:p>
            <w:pPr>
              <w:spacing w:after="0"/>
              <w:rPr>
                <w:sz w:val="8"/>
                <w:szCs w:val="8"/>
                <w:color w:val="auto"/>
              </w:rPr>
            </w:pPr>
          </w:p>
        </w:tc>
        <w:tc>
          <w:tcPr>
            <w:tcW w:w="606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r>
      <w:tr>
        <w:trPr>
          <w:trHeight w:val="191"/>
        </w:trPr>
        <w:tc>
          <w:tcPr>
            <w:tcW w:w="2360" w:type="dxa"/>
            <w:vAlign w:val="bottom"/>
            <w:tcBorders>
              <w:left w:val="single" w:sz="8" w:color="auto"/>
              <w:right w:val="single" w:sz="8" w:color="auto"/>
            </w:tcBorders>
          </w:tcPr>
          <w:p>
            <w:pPr>
              <w:spacing w:after="0"/>
              <w:rPr>
                <w:sz w:val="16"/>
                <w:szCs w:val="16"/>
                <w:color w:val="auto"/>
              </w:rPr>
            </w:pPr>
          </w:p>
        </w:tc>
        <w:tc>
          <w:tcPr>
            <w:tcW w:w="606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Contain 90% of technology or system dependent issues impacting customers OR</w:t>
            </w:r>
          </w:p>
        </w:tc>
        <w:tc>
          <w:tcPr>
            <w:tcW w:w="9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w:t>
            </w:r>
          </w:p>
        </w:tc>
        <w:tc>
          <w:tcPr>
            <w:tcW w:w="1880" w:type="dxa"/>
            <w:vAlign w:val="bottom"/>
            <w:tcBorders>
              <w:right w:val="single" w:sz="8" w:color="auto"/>
            </w:tcBorders>
          </w:tcPr>
          <w:p>
            <w:pPr>
              <w:jc w:val="right"/>
              <w:ind w:right="595"/>
              <w:spacing w:after="0" w:line="191" w:lineRule="exact"/>
              <w:rPr>
                <w:sz w:val="20"/>
                <w:szCs w:val="20"/>
                <w:color w:val="auto"/>
              </w:rPr>
            </w:pPr>
            <w:r>
              <w:rPr>
                <w:rFonts w:ascii="Times New Roman" w:cs="Times New Roman" w:eastAsia="Times New Roman" w:hAnsi="Times New Roman"/>
                <w:sz w:val="18"/>
                <w:szCs w:val="18"/>
                <w:color w:val="auto"/>
              </w:rPr>
              <w:t>Deleted</w:t>
            </w:r>
          </w:p>
        </w:tc>
      </w:tr>
      <w:tr>
        <w:trPr>
          <w:trHeight w:val="203"/>
        </w:trPr>
        <w:tc>
          <w:tcPr>
            <w:tcW w:w="2360" w:type="dxa"/>
            <w:vAlign w:val="bottom"/>
            <w:tcBorders>
              <w:left w:val="single" w:sz="8" w:color="auto"/>
              <w:right w:val="single" w:sz="8" w:color="auto"/>
            </w:tcBorders>
          </w:tcPr>
          <w:p>
            <w:pPr>
              <w:spacing w:after="0"/>
              <w:rPr>
                <w:sz w:val="17"/>
                <w:szCs w:val="17"/>
                <w:color w:val="auto"/>
              </w:rPr>
            </w:pPr>
          </w:p>
        </w:tc>
        <w:tc>
          <w:tcPr>
            <w:tcW w:w="606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four or less technology or system dependent issues if the 90% is not achieved</w:t>
            </w:r>
          </w:p>
        </w:tc>
        <w:tc>
          <w:tcPr>
            <w:tcW w:w="96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6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within timelines established in the Issues Management Procedure.</w:t>
            </w:r>
          </w:p>
        </w:tc>
        <w:tc>
          <w:tcPr>
            <w:tcW w:w="96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r>
      <w:tr>
        <w:trPr>
          <w:trHeight w:val="94"/>
        </w:trPr>
        <w:tc>
          <w:tcPr>
            <w:tcW w:w="2360" w:type="dxa"/>
            <w:vAlign w:val="bottom"/>
            <w:tcBorders>
              <w:left w:val="single" w:sz="8" w:color="auto"/>
              <w:bottom w:val="single" w:sz="8" w:color="auto"/>
              <w:right w:val="single" w:sz="8" w:color="auto"/>
            </w:tcBorders>
          </w:tcPr>
          <w:p>
            <w:pPr>
              <w:spacing w:after="0"/>
              <w:rPr>
                <w:sz w:val="8"/>
                <w:szCs w:val="8"/>
                <w:color w:val="auto"/>
              </w:rPr>
            </w:pPr>
          </w:p>
        </w:tc>
        <w:tc>
          <w:tcPr>
            <w:tcW w:w="606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r>
      <w:tr>
        <w:trPr>
          <w:trHeight w:val="898"/>
        </w:trPr>
        <w:tc>
          <w:tcPr>
            <w:tcW w:w="23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Seventh Addendum to</w:t>
            </w:r>
          </w:p>
        </w:tc>
      </w:tr>
      <w:tr>
        <w:trPr>
          <w:trHeight w:val="203"/>
        </w:trPr>
        <w:tc>
          <w:tcPr>
            <w:tcW w:w="2360" w:type="dxa"/>
            <w:vAlign w:val="bottom"/>
          </w:tcPr>
          <w:p>
            <w:pPr>
              <w:spacing w:after="0"/>
              <w:rPr>
                <w:sz w:val="17"/>
                <w:szCs w:val="17"/>
                <w:color w:val="auto"/>
              </w:rPr>
            </w:pPr>
          </w:p>
        </w:tc>
        <w:tc>
          <w:tcPr>
            <w:tcW w:w="8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Sixth Amended and Restated Service Agreement</w:t>
            </w:r>
          </w:p>
        </w:tc>
      </w:tr>
      <w:tr>
        <w:trPr>
          <w:trHeight w:val="199"/>
        </w:trPr>
        <w:tc>
          <w:tcPr>
            <w:tcW w:w="236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Comenity Servicing LLC/Comenity Bank</w:t>
            </w:r>
          </w:p>
        </w:tc>
      </w:tr>
    </w:tbl>
    <w:p>
      <w:pPr>
        <w:jc w:val="center"/>
        <w:ind w:right="20"/>
        <w:spacing w:after="0"/>
        <w:rPr>
          <w:sz w:val="20"/>
          <w:szCs w:val="20"/>
          <w:color w:val="auto"/>
        </w:rPr>
      </w:pPr>
      <w:r>
        <w:rPr>
          <w:rFonts w:ascii="Arial" w:cs="Arial" w:eastAsia="Arial" w:hAnsi="Arial"/>
          <w:sz w:val="20"/>
          <w:szCs w:val="20"/>
          <w:color w:val="auto"/>
        </w:rPr>
        <w:t>B-1</w:t>
      </w:r>
    </w:p>
    <w:sectPr>
      <w:pgSz w:w="11900" w:h="16838" w:orient="portrait"/>
      <w:cols w:equalWidth="0" w:num="1">
        <w:col w:w="11260"/>
      </w:cols>
      <w:pgMar w:left="320" w:top="140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2026-06-02T05:03:03Z</dcterms:created>
  <dcterms:modified xsi:type="dcterms:W3CDTF">2026-06-02T05:03:03Z</dcterms:modified>
</cp:coreProperties>
</file>